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drawings/drawing3.xml" ContentType="application/vnd.openxmlformats-officedocument.drawingml.chartshapes+xml"/>
  <Override PartName="/word/charts/chart9.xml" ContentType="application/vnd.openxmlformats-officedocument.drawingml.chart+xml"/>
  <Override PartName="/word/charts/chart19.xml" ContentType="application/vnd.openxmlformats-officedocument.drawingml.chart+xml"/>
  <Override PartName="/word/drawings/drawing4.xml" ContentType="application/vnd.openxmlformats-officedocument.drawingml.chartshap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drawings/drawing2.xml" ContentType="application/vnd.openxmlformats-officedocument.drawingml.chartshapes+xml"/>
  <Override PartName="/word/diagrams/drawing1.xml" ContentType="application/vnd.ms-office.drawingml.diagramDrawing+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layout1.xml" ContentType="application/vnd.openxmlformats-officedocument.drawingml.diagramLayou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theme/themeOverride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90E" w:rsidRPr="00104331" w:rsidRDefault="006E490E" w:rsidP="00A77970">
      <w:pPr>
        <w:jc w:val="center"/>
        <w:rPr>
          <w:sz w:val="32"/>
          <w:szCs w:val="32"/>
        </w:rPr>
      </w:pPr>
      <w:r w:rsidRPr="00104331">
        <w:rPr>
          <w:sz w:val="32"/>
          <w:szCs w:val="32"/>
        </w:rPr>
        <w:t>INSTITUŢIA PREFECTULUI MUNICIPIULUI BUCUREŞTI</w:t>
      </w:r>
    </w:p>
    <w:p w:rsidR="006E490E" w:rsidRPr="00104331" w:rsidRDefault="006E490E" w:rsidP="00A77970">
      <w:pPr>
        <w:jc w:val="center"/>
        <w:rPr>
          <w:b/>
          <w:sz w:val="48"/>
          <w:szCs w:val="48"/>
        </w:rPr>
      </w:pPr>
    </w:p>
    <w:p w:rsidR="006E490E" w:rsidRPr="00104331" w:rsidRDefault="006E490E" w:rsidP="00A77970">
      <w:pPr>
        <w:jc w:val="center"/>
        <w:rPr>
          <w:b/>
          <w:sz w:val="48"/>
          <w:szCs w:val="48"/>
        </w:rPr>
      </w:pPr>
    </w:p>
    <w:p w:rsidR="006E490E" w:rsidRPr="00104331" w:rsidRDefault="006E490E" w:rsidP="00A77970">
      <w:pPr>
        <w:jc w:val="center"/>
        <w:rPr>
          <w:b/>
          <w:sz w:val="48"/>
          <w:szCs w:val="48"/>
        </w:rPr>
      </w:pPr>
    </w:p>
    <w:p w:rsidR="006E490E" w:rsidRPr="00104331" w:rsidRDefault="006E490E" w:rsidP="00A77970">
      <w:pPr>
        <w:jc w:val="center"/>
        <w:rPr>
          <w:b/>
          <w:sz w:val="48"/>
          <w:szCs w:val="48"/>
        </w:rPr>
      </w:pPr>
    </w:p>
    <w:p w:rsidR="006E490E" w:rsidRPr="00104331" w:rsidRDefault="006E490E" w:rsidP="00A77970">
      <w:pPr>
        <w:jc w:val="center"/>
        <w:rPr>
          <w:b/>
          <w:sz w:val="48"/>
          <w:szCs w:val="48"/>
        </w:rPr>
      </w:pPr>
    </w:p>
    <w:p w:rsidR="006E490E" w:rsidRPr="00104331" w:rsidRDefault="006E490E" w:rsidP="00A77970">
      <w:pPr>
        <w:rPr>
          <w:sz w:val="40"/>
          <w:szCs w:val="40"/>
        </w:rPr>
      </w:pPr>
    </w:p>
    <w:p w:rsidR="006E490E" w:rsidRPr="00104331" w:rsidRDefault="006E490E" w:rsidP="00A77970">
      <w:pPr>
        <w:jc w:val="center"/>
        <w:rPr>
          <w:sz w:val="40"/>
          <w:szCs w:val="40"/>
        </w:rPr>
      </w:pPr>
    </w:p>
    <w:p w:rsidR="006E490E" w:rsidRPr="00104331" w:rsidRDefault="006E490E" w:rsidP="00A77970">
      <w:pPr>
        <w:jc w:val="center"/>
        <w:rPr>
          <w:b/>
          <w:sz w:val="40"/>
          <w:szCs w:val="40"/>
        </w:rPr>
      </w:pPr>
      <w:r w:rsidRPr="00104331">
        <w:rPr>
          <w:b/>
          <w:sz w:val="40"/>
          <w:szCs w:val="40"/>
        </w:rPr>
        <w:t xml:space="preserve">RAPORT </w:t>
      </w:r>
      <w:r>
        <w:rPr>
          <w:b/>
          <w:sz w:val="40"/>
          <w:szCs w:val="40"/>
        </w:rPr>
        <w:t xml:space="preserve">ANUAL </w:t>
      </w:r>
      <w:r w:rsidRPr="00104331">
        <w:rPr>
          <w:b/>
          <w:sz w:val="40"/>
          <w:szCs w:val="40"/>
        </w:rPr>
        <w:t xml:space="preserve">PRIVIND STAREA </w:t>
      </w:r>
    </w:p>
    <w:p w:rsidR="006E490E" w:rsidRPr="00104331" w:rsidRDefault="006E490E" w:rsidP="00A77970">
      <w:pPr>
        <w:jc w:val="center"/>
        <w:rPr>
          <w:b/>
          <w:sz w:val="40"/>
          <w:szCs w:val="40"/>
        </w:rPr>
      </w:pPr>
      <w:r w:rsidRPr="00104331">
        <w:rPr>
          <w:b/>
          <w:sz w:val="40"/>
          <w:szCs w:val="40"/>
        </w:rPr>
        <w:t>ECONOMICO-SOCIALĂ A MUNICIPIULUI BUCUREŞTI ÎN ANUL 201</w:t>
      </w:r>
      <w:r w:rsidR="00940D22">
        <w:rPr>
          <w:b/>
          <w:sz w:val="40"/>
          <w:szCs w:val="40"/>
        </w:rPr>
        <w:t>8</w:t>
      </w:r>
    </w:p>
    <w:p w:rsidR="006E490E" w:rsidRPr="00104331" w:rsidRDefault="006E490E" w:rsidP="00A77970">
      <w:pPr>
        <w:jc w:val="center"/>
        <w:rPr>
          <w:b/>
          <w:sz w:val="40"/>
          <w:szCs w:val="40"/>
        </w:rPr>
      </w:pPr>
    </w:p>
    <w:p w:rsidR="006E490E" w:rsidRPr="00104331" w:rsidRDefault="006E490E" w:rsidP="00A77970">
      <w:pPr>
        <w:jc w:val="center"/>
        <w:rPr>
          <w:b/>
          <w:sz w:val="40"/>
          <w:szCs w:val="40"/>
        </w:rPr>
      </w:pPr>
    </w:p>
    <w:p w:rsidR="006E490E" w:rsidRPr="00104331" w:rsidRDefault="006E490E" w:rsidP="00A77970">
      <w:pPr>
        <w:jc w:val="center"/>
        <w:rPr>
          <w:b/>
          <w:sz w:val="40"/>
          <w:szCs w:val="40"/>
        </w:rPr>
      </w:pPr>
    </w:p>
    <w:p w:rsidR="006E490E" w:rsidRPr="00104331" w:rsidRDefault="006E490E" w:rsidP="00A77970">
      <w:pPr>
        <w:jc w:val="center"/>
        <w:rPr>
          <w:b/>
          <w:sz w:val="40"/>
          <w:szCs w:val="40"/>
        </w:rPr>
      </w:pPr>
    </w:p>
    <w:p w:rsidR="006E490E" w:rsidRPr="00104331" w:rsidRDefault="006E490E" w:rsidP="00A77970">
      <w:pPr>
        <w:jc w:val="center"/>
        <w:rPr>
          <w:b/>
          <w:sz w:val="40"/>
          <w:szCs w:val="40"/>
        </w:rPr>
      </w:pPr>
    </w:p>
    <w:p w:rsidR="006E490E" w:rsidRPr="00104331" w:rsidRDefault="006E490E" w:rsidP="00A77970">
      <w:pPr>
        <w:jc w:val="center"/>
        <w:rPr>
          <w:b/>
          <w:sz w:val="40"/>
          <w:szCs w:val="40"/>
        </w:rPr>
      </w:pPr>
    </w:p>
    <w:p w:rsidR="006E490E" w:rsidRPr="00104331" w:rsidRDefault="006E490E" w:rsidP="00A77970">
      <w:pPr>
        <w:jc w:val="center"/>
        <w:rPr>
          <w:b/>
          <w:sz w:val="40"/>
          <w:szCs w:val="40"/>
        </w:rPr>
      </w:pPr>
    </w:p>
    <w:p w:rsidR="006E490E" w:rsidRPr="00104331" w:rsidRDefault="006E490E" w:rsidP="00A77970">
      <w:pPr>
        <w:jc w:val="center"/>
        <w:rPr>
          <w:b/>
          <w:sz w:val="40"/>
          <w:szCs w:val="40"/>
        </w:rPr>
      </w:pPr>
    </w:p>
    <w:p w:rsidR="006E490E" w:rsidRPr="00104331" w:rsidRDefault="006E490E" w:rsidP="00A77970">
      <w:pPr>
        <w:jc w:val="center"/>
        <w:rPr>
          <w:b/>
          <w:sz w:val="40"/>
          <w:szCs w:val="40"/>
        </w:rPr>
      </w:pPr>
    </w:p>
    <w:p w:rsidR="006E490E" w:rsidRPr="00104331" w:rsidRDefault="006E490E" w:rsidP="00A77970">
      <w:pPr>
        <w:jc w:val="center"/>
        <w:rPr>
          <w:b/>
          <w:sz w:val="40"/>
          <w:szCs w:val="40"/>
        </w:rPr>
      </w:pPr>
    </w:p>
    <w:p w:rsidR="006E490E" w:rsidRPr="00104331" w:rsidRDefault="006E490E" w:rsidP="00A77970">
      <w:pPr>
        <w:jc w:val="center"/>
        <w:rPr>
          <w:b/>
          <w:sz w:val="40"/>
          <w:szCs w:val="40"/>
        </w:rPr>
      </w:pPr>
    </w:p>
    <w:p w:rsidR="006E490E" w:rsidRPr="00104331" w:rsidRDefault="006E490E" w:rsidP="00A77970">
      <w:pPr>
        <w:jc w:val="center"/>
        <w:rPr>
          <w:b/>
          <w:sz w:val="40"/>
          <w:szCs w:val="40"/>
        </w:rPr>
      </w:pPr>
    </w:p>
    <w:p w:rsidR="006E490E" w:rsidRPr="00104331" w:rsidRDefault="006E490E" w:rsidP="00A77970">
      <w:pPr>
        <w:jc w:val="center"/>
        <w:rPr>
          <w:b/>
          <w:sz w:val="40"/>
          <w:szCs w:val="40"/>
        </w:rPr>
      </w:pPr>
    </w:p>
    <w:p w:rsidR="006E490E" w:rsidRPr="00104331" w:rsidRDefault="006E490E" w:rsidP="00A77970">
      <w:pPr>
        <w:jc w:val="center"/>
        <w:rPr>
          <w:b/>
          <w:sz w:val="40"/>
          <w:szCs w:val="40"/>
        </w:rPr>
      </w:pPr>
    </w:p>
    <w:p w:rsidR="006E490E" w:rsidRPr="00104331" w:rsidRDefault="006E490E" w:rsidP="00A77970">
      <w:pPr>
        <w:jc w:val="center"/>
        <w:rPr>
          <w:b/>
          <w:sz w:val="40"/>
          <w:szCs w:val="40"/>
        </w:rPr>
      </w:pPr>
    </w:p>
    <w:p w:rsidR="006E490E" w:rsidRPr="00104331" w:rsidRDefault="006E490E" w:rsidP="00A77970">
      <w:pPr>
        <w:jc w:val="center"/>
        <w:rPr>
          <w:sz w:val="32"/>
          <w:szCs w:val="32"/>
        </w:rPr>
      </w:pPr>
      <w:r w:rsidRPr="00104331">
        <w:rPr>
          <w:sz w:val="32"/>
          <w:szCs w:val="32"/>
        </w:rPr>
        <w:t>– 201</w:t>
      </w:r>
      <w:r w:rsidR="00940D22">
        <w:rPr>
          <w:sz w:val="32"/>
          <w:szCs w:val="32"/>
        </w:rPr>
        <w:t>9</w:t>
      </w:r>
      <w:r w:rsidRPr="00104331">
        <w:rPr>
          <w:sz w:val="32"/>
          <w:szCs w:val="32"/>
        </w:rPr>
        <w:t xml:space="preserve"> – </w:t>
      </w:r>
    </w:p>
    <w:p w:rsidR="001A0ECE" w:rsidRDefault="001A0ECE" w:rsidP="00A77970">
      <w:pPr>
        <w:pStyle w:val="ListParagraph"/>
        <w:ind w:left="284"/>
        <w:jc w:val="center"/>
        <w:rPr>
          <w:b/>
          <w:sz w:val="28"/>
          <w:szCs w:val="28"/>
        </w:rPr>
      </w:pPr>
    </w:p>
    <w:p w:rsidR="00663E01" w:rsidRDefault="00663E01">
      <w:pPr>
        <w:spacing w:after="200" w:line="276" w:lineRule="auto"/>
        <w:rPr>
          <w:b/>
          <w:sz w:val="28"/>
          <w:szCs w:val="28"/>
        </w:rPr>
      </w:pPr>
      <w:r>
        <w:rPr>
          <w:b/>
          <w:sz w:val="28"/>
          <w:szCs w:val="28"/>
        </w:rPr>
        <w:br w:type="page"/>
      </w:r>
    </w:p>
    <w:p w:rsidR="00E95FF6" w:rsidRDefault="007B0E4D" w:rsidP="00A77970">
      <w:pPr>
        <w:pStyle w:val="ListParagraph"/>
        <w:ind w:left="284"/>
        <w:jc w:val="center"/>
        <w:rPr>
          <w:b/>
          <w:sz w:val="28"/>
          <w:szCs w:val="28"/>
        </w:rPr>
      </w:pPr>
      <w:r w:rsidRPr="007B0E4D">
        <w:rPr>
          <w:b/>
          <w:sz w:val="28"/>
          <w:szCs w:val="28"/>
        </w:rPr>
        <w:lastRenderedPageBreak/>
        <w:t>CUPRINS</w:t>
      </w:r>
    </w:p>
    <w:p w:rsidR="00624714" w:rsidRPr="00E95FF6" w:rsidRDefault="00ED6E15" w:rsidP="00A77970">
      <w:pPr>
        <w:pStyle w:val="ListParagraph"/>
        <w:ind w:left="284"/>
        <w:jc w:val="right"/>
        <w:rPr>
          <w:b/>
          <w:sz w:val="28"/>
          <w:szCs w:val="28"/>
        </w:rPr>
      </w:pPr>
      <w:r w:rsidRPr="00570850">
        <w:rPr>
          <w:sz w:val="28"/>
          <w:szCs w:val="28"/>
        </w:rPr>
        <w:t>pag.</w:t>
      </w:r>
    </w:p>
    <w:p w:rsidR="00624714" w:rsidRDefault="00624714" w:rsidP="00A77970">
      <w:pPr>
        <w:pStyle w:val="ListParagraph"/>
        <w:ind w:left="284"/>
        <w:jc w:val="both"/>
        <w:rPr>
          <w:b/>
          <w:sz w:val="28"/>
          <w:szCs w:val="28"/>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gridCol w:w="2693"/>
      </w:tblGrid>
      <w:tr w:rsidR="00624714" w:rsidRPr="00386309" w:rsidTr="00E95FF6">
        <w:trPr>
          <w:trHeight w:val="295"/>
        </w:trPr>
        <w:tc>
          <w:tcPr>
            <w:tcW w:w="7621" w:type="dxa"/>
            <w:tcBorders>
              <w:bottom w:val="single" w:sz="4" w:space="0" w:color="auto"/>
            </w:tcBorders>
          </w:tcPr>
          <w:p w:rsidR="00624714" w:rsidRPr="00386309" w:rsidRDefault="00624714" w:rsidP="00A77970">
            <w:pPr>
              <w:numPr>
                <w:ilvl w:val="0"/>
                <w:numId w:val="7"/>
              </w:numPr>
              <w:ind w:left="284" w:hanging="284"/>
              <w:contextualSpacing/>
              <w:jc w:val="both"/>
              <w:rPr>
                <w:rFonts w:eastAsiaTheme="minorHAnsi"/>
                <w:b/>
                <w:sz w:val="28"/>
                <w:szCs w:val="28"/>
                <w:lang w:eastAsia="en-US"/>
              </w:rPr>
            </w:pPr>
            <w:r w:rsidRPr="00386309">
              <w:rPr>
                <w:rFonts w:eastAsiaTheme="minorHAnsi"/>
                <w:b/>
                <w:sz w:val="28"/>
                <w:szCs w:val="28"/>
                <w:lang w:eastAsia="en-US"/>
              </w:rPr>
              <w:t>STAREA ECONOMICĂ</w:t>
            </w:r>
          </w:p>
        </w:tc>
        <w:tc>
          <w:tcPr>
            <w:tcW w:w="2693" w:type="dxa"/>
            <w:tcBorders>
              <w:bottom w:val="single" w:sz="4" w:space="0" w:color="auto"/>
            </w:tcBorders>
            <w:vAlign w:val="center"/>
          </w:tcPr>
          <w:p w:rsidR="00624714" w:rsidRPr="00386309" w:rsidRDefault="00ED6E15" w:rsidP="00A77970">
            <w:pPr>
              <w:jc w:val="right"/>
              <w:rPr>
                <w:rFonts w:eastAsiaTheme="minorHAnsi"/>
                <w:sz w:val="28"/>
                <w:szCs w:val="28"/>
                <w:lang w:eastAsia="en-US"/>
              </w:rPr>
            </w:pPr>
            <w:r>
              <w:rPr>
                <w:rFonts w:eastAsiaTheme="minorHAnsi"/>
                <w:sz w:val="28"/>
                <w:szCs w:val="28"/>
                <w:lang w:eastAsia="en-US"/>
              </w:rPr>
              <w:t>3</w:t>
            </w:r>
          </w:p>
        </w:tc>
      </w:tr>
      <w:tr w:rsidR="00624714" w:rsidRPr="00386309" w:rsidTr="00E95FF6">
        <w:trPr>
          <w:trHeight w:val="281"/>
        </w:trPr>
        <w:tc>
          <w:tcPr>
            <w:tcW w:w="7621" w:type="dxa"/>
            <w:tcBorders>
              <w:top w:val="single" w:sz="4" w:space="0" w:color="auto"/>
            </w:tcBorders>
          </w:tcPr>
          <w:p w:rsidR="00624714" w:rsidRPr="00386309" w:rsidRDefault="00624714" w:rsidP="00A77970">
            <w:pPr>
              <w:ind w:left="284"/>
              <w:contextualSpacing/>
              <w:jc w:val="both"/>
              <w:rPr>
                <w:rFonts w:eastAsiaTheme="minorHAnsi"/>
                <w:b/>
                <w:sz w:val="28"/>
                <w:szCs w:val="28"/>
                <w:lang w:eastAsia="en-US"/>
              </w:rPr>
            </w:pPr>
          </w:p>
        </w:tc>
        <w:tc>
          <w:tcPr>
            <w:tcW w:w="2693" w:type="dxa"/>
            <w:tcBorders>
              <w:top w:val="single" w:sz="4" w:space="0" w:color="auto"/>
            </w:tcBorders>
            <w:vAlign w:val="center"/>
          </w:tcPr>
          <w:p w:rsidR="00624714" w:rsidRPr="00386309" w:rsidRDefault="00624714" w:rsidP="00A77970">
            <w:pPr>
              <w:jc w:val="right"/>
              <w:rPr>
                <w:rFonts w:eastAsiaTheme="minorHAnsi"/>
                <w:sz w:val="28"/>
                <w:szCs w:val="28"/>
                <w:lang w:eastAsia="en-US"/>
              </w:rPr>
            </w:pPr>
          </w:p>
        </w:tc>
      </w:tr>
      <w:tr w:rsidR="00624714" w:rsidRPr="00386309" w:rsidTr="00E95FF6">
        <w:trPr>
          <w:trHeight w:val="295"/>
        </w:trPr>
        <w:tc>
          <w:tcPr>
            <w:tcW w:w="7621" w:type="dxa"/>
          </w:tcPr>
          <w:p w:rsidR="00624714" w:rsidRPr="00386309" w:rsidRDefault="00624714" w:rsidP="00A77970">
            <w:pPr>
              <w:numPr>
                <w:ilvl w:val="1"/>
                <w:numId w:val="7"/>
              </w:numPr>
              <w:ind w:hanging="436"/>
              <w:contextualSpacing/>
              <w:jc w:val="both"/>
              <w:rPr>
                <w:rFonts w:eastAsiaTheme="minorHAnsi"/>
                <w:b/>
                <w:sz w:val="28"/>
                <w:szCs w:val="28"/>
                <w:lang w:eastAsia="en-US"/>
              </w:rPr>
            </w:pPr>
            <w:r w:rsidRPr="00386309">
              <w:rPr>
                <w:rFonts w:eastAsiaTheme="minorHAnsi"/>
                <w:b/>
                <w:sz w:val="28"/>
                <w:szCs w:val="28"/>
                <w:lang w:eastAsia="en-US"/>
              </w:rPr>
              <w:t>Evoluția principalelor sectoare economice</w:t>
            </w:r>
          </w:p>
        </w:tc>
        <w:tc>
          <w:tcPr>
            <w:tcW w:w="2693" w:type="dxa"/>
            <w:vAlign w:val="center"/>
          </w:tcPr>
          <w:p w:rsidR="00624714" w:rsidRPr="00386309" w:rsidRDefault="00C83B6B" w:rsidP="00A77970">
            <w:pPr>
              <w:jc w:val="right"/>
              <w:rPr>
                <w:rFonts w:eastAsiaTheme="minorHAnsi"/>
                <w:sz w:val="28"/>
                <w:szCs w:val="28"/>
                <w:lang w:eastAsia="en-US"/>
              </w:rPr>
            </w:pPr>
            <w:r>
              <w:rPr>
                <w:rFonts w:eastAsiaTheme="minorHAnsi"/>
                <w:sz w:val="28"/>
                <w:szCs w:val="28"/>
                <w:lang w:eastAsia="en-US"/>
              </w:rPr>
              <w:t>6</w:t>
            </w:r>
          </w:p>
        </w:tc>
      </w:tr>
      <w:tr w:rsidR="00624714" w:rsidRPr="00386309" w:rsidTr="00E95FF6">
        <w:trPr>
          <w:trHeight w:val="281"/>
        </w:trPr>
        <w:tc>
          <w:tcPr>
            <w:tcW w:w="7621" w:type="dxa"/>
          </w:tcPr>
          <w:p w:rsidR="00624714" w:rsidRPr="00386309" w:rsidRDefault="00624714" w:rsidP="00A77970">
            <w:pPr>
              <w:numPr>
                <w:ilvl w:val="0"/>
                <w:numId w:val="8"/>
              </w:numPr>
              <w:tabs>
                <w:tab w:val="left" w:pos="1134"/>
              </w:tabs>
              <w:ind w:hanging="11"/>
              <w:contextualSpacing/>
              <w:jc w:val="both"/>
              <w:rPr>
                <w:rFonts w:eastAsiaTheme="minorHAnsi"/>
                <w:sz w:val="28"/>
                <w:szCs w:val="28"/>
                <w:lang w:eastAsia="en-US"/>
              </w:rPr>
            </w:pPr>
            <w:r w:rsidRPr="00386309">
              <w:rPr>
                <w:rFonts w:eastAsiaTheme="minorHAnsi"/>
                <w:sz w:val="28"/>
                <w:szCs w:val="28"/>
                <w:lang w:eastAsia="en-US"/>
              </w:rPr>
              <w:t>Industrie</w:t>
            </w:r>
          </w:p>
        </w:tc>
        <w:tc>
          <w:tcPr>
            <w:tcW w:w="2693" w:type="dxa"/>
            <w:vAlign w:val="center"/>
          </w:tcPr>
          <w:p w:rsidR="00624714" w:rsidRPr="00386309" w:rsidRDefault="00C83B6B" w:rsidP="00A77970">
            <w:pPr>
              <w:jc w:val="right"/>
              <w:rPr>
                <w:rFonts w:eastAsiaTheme="minorHAnsi"/>
                <w:sz w:val="28"/>
                <w:szCs w:val="28"/>
                <w:lang w:eastAsia="en-US"/>
              </w:rPr>
            </w:pPr>
            <w:r>
              <w:rPr>
                <w:rFonts w:eastAsiaTheme="minorHAnsi"/>
                <w:sz w:val="28"/>
                <w:szCs w:val="28"/>
                <w:lang w:eastAsia="en-US"/>
              </w:rPr>
              <w:t>6</w:t>
            </w:r>
          </w:p>
        </w:tc>
      </w:tr>
      <w:tr w:rsidR="00624714" w:rsidRPr="00386309" w:rsidTr="00E95FF6">
        <w:trPr>
          <w:trHeight w:val="295"/>
        </w:trPr>
        <w:tc>
          <w:tcPr>
            <w:tcW w:w="7621" w:type="dxa"/>
          </w:tcPr>
          <w:p w:rsidR="00624714" w:rsidRPr="00386309" w:rsidRDefault="00624714" w:rsidP="00A77970">
            <w:pPr>
              <w:numPr>
                <w:ilvl w:val="0"/>
                <w:numId w:val="8"/>
              </w:numPr>
              <w:tabs>
                <w:tab w:val="left" w:pos="1134"/>
              </w:tabs>
              <w:ind w:hanging="11"/>
              <w:contextualSpacing/>
              <w:jc w:val="both"/>
              <w:rPr>
                <w:rFonts w:eastAsiaTheme="minorHAnsi"/>
                <w:sz w:val="28"/>
                <w:szCs w:val="28"/>
                <w:lang w:eastAsia="en-US"/>
              </w:rPr>
            </w:pPr>
            <w:r w:rsidRPr="00386309">
              <w:rPr>
                <w:rFonts w:eastAsiaTheme="minorHAnsi"/>
                <w:sz w:val="28"/>
                <w:szCs w:val="28"/>
                <w:lang w:eastAsia="en-US"/>
              </w:rPr>
              <w:t>Agricultură</w:t>
            </w:r>
          </w:p>
        </w:tc>
        <w:tc>
          <w:tcPr>
            <w:tcW w:w="2693" w:type="dxa"/>
            <w:vAlign w:val="center"/>
          </w:tcPr>
          <w:p w:rsidR="00624714" w:rsidRPr="00386309" w:rsidRDefault="00C83B6B" w:rsidP="00A77970">
            <w:pPr>
              <w:jc w:val="right"/>
              <w:rPr>
                <w:rFonts w:eastAsiaTheme="minorHAnsi"/>
                <w:sz w:val="28"/>
                <w:szCs w:val="28"/>
                <w:lang w:eastAsia="en-US"/>
              </w:rPr>
            </w:pPr>
            <w:r>
              <w:rPr>
                <w:rFonts w:eastAsiaTheme="minorHAnsi"/>
                <w:sz w:val="28"/>
                <w:szCs w:val="28"/>
                <w:lang w:eastAsia="en-US"/>
              </w:rPr>
              <w:t>6</w:t>
            </w:r>
          </w:p>
        </w:tc>
      </w:tr>
      <w:tr w:rsidR="00624714" w:rsidRPr="00386309" w:rsidTr="00E95FF6">
        <w:trPr>
          <w:trHeight w:val="281"/>
        </w:trPr>
        <w:tc>
          <w:tcPr>
            <w:tcW w:w="7621" w:type="dxa"/>
          </w:tcPr>
          <w:p w:rsidR="00624714" w:rsidRPr="00386309" w:rsidRDefault="00624714" w:rsidP="00A77970">
            <w:pPr>
              <w:numPr>
                <w:ilvl w:val="0"/>
                <w:numId w:val="8"/>
              </w:numPr>
              <w:tabs>
                <w:tab w:val="left" w:pos="1134"/>
              </w:tabs>
              <w:ind w:hanging="11"/>
              <w:contextualSpacing/>
              <w:jc w:val="both"/>
              <w:rPr>
                <w:rFonts w:eastAsiaTheme="minorHAnsi"/>
                <w:sz w:val="28"/>
                <w:szCs w:val="28"/>
                <w:lang w:eastAsia="en-US"/>
              </w:rPr>
            </w:pPr>
            <w:r w:rsidRPr="00386309">
              <w:rPr>
                <w:rFonts w:eastAsiaTheme="minorHAnsi"/>
                <w:sz w:val="28"/>
                <w:szCs w:val="28"/>
                <w:lang w:eastAsia="en-US"/>
              </w:rPr>
              <w:t>Turism</w:t>
            </w:r>
          </w:p>
        </w:tc>
        <w:tc>
          <w:tcPr>
            <w:tcW w:w="2693" w:type="dxa"/>
            <w:vAlign w:val="center"/>
          </w:tcPr>
          <w:p w:rsidR="00624714" w:rsidRPr="00386309" w:rsidRDefault="00C83B6B" w:rsidP="00A77970">
            <w:pPr>
              <w:jc w:val="right"/>
              <w:rPr>
                <w:rFonts w:eastAsiaTheme="minorHAnsi"/>
                <w:sz w:val="28"/>
                <w:szCs w:val="28"/>
                <w:lang w:eastAsia="en-US"/>
              </w:rPr>
            </w:pPr>
            <w:r>
              <w:rPr>
                <w:rFonts w:eastAsiaTheme="minorHAnsi"/>
                <w:sz w:val="28"/>
                <w:szCs w:val="28"/>
                <w:lang w:eastAsia="en-US"/>
              </w:rPr>
              <w:t>15</w:t>
            </w:r>
          </w:p>
        </w:tc>
      </w:tr>
      <w:tr w:rsidR="00624714" w:rsidRPr="00386309" w:rsidTr="00E95FF6">
        <w:trPr>
          <w:trHeight w:val="295"/>
        </w:trPr>
        <w:tc>
          <w:tcPr>
            <w:tcW w:w="7621" w:type="dxa"/>
          </w:tcPr>
          <w:p w:rsidR="00624714" w:rsidRPr="00386309" w:rsidRDefault="00624714" w:rsidP="00A77970">
            <w:pPr>
              <w:numPr>
                <w:ilvl w:val="0"/>
                <w:numId w:val="8"/>
              </w:numPr>
              <w:tabs>
                <w:tab w:val="left" w:pos="1134"/>
              </w:tabs>
              <w:ind w:hanging="11"/>
              <w:contextualSpacing/>
              <w:jc w:val="both"/>
              <w:rPr>
                <w:rFonts w:eastAsiaTheme="minorHAnsi"/>
                <w:sz w:val="28"/>
                <w:szCs w:val="28"/>
                <w:lang w:eastAsia="en-US"/>
              </w:rPr>
            </w:pPr>
            <w:r w:rsidRPr="00386309">
              <w:rPr>
                <w:rFonts w:eastAsiaTheme="minorHAnsi"/>
                <w:sz w:val="28"/>
                <w:szCs w:val="28"/>
                <w:lang w:eastAsia="en-US"/>
              </w:rPr>
              <w:t>Transporturi</w:t>
            </w:r>
          </w:p>
        </w:tc>
        <w:tc>
          <w:tcPr>
            <w:tcW w:w="2693" w:type="dxa"/>
            <w:vAlign w:val="center"/>
          </w:tcPr>
          <w:p w:rsidR="00624714" w:rsidRPr="00386309" w:rsidRDefault="00C83B6B" w:rsidP="00A77970">
            <w:pPr>
              <w:jc w:val="right"/>
              <w:rPr>
                <w:rFonts w:eastAsiaTheme="minorHAnsi"/>
                <w:sz w:val="28"/>
                <w:szCs w:val="28"/>
                <w:lang w:eastAsia="en-US"/>
              </w:rPr>
            </w:pPr>
            <w:r>
              <w:rPr>
                <w:rFonts w:eastAsiaTheme="minorHAnsi"/>
                <w:sz w:val="28"/>
                <w:szCs w:val="28"/>
                <w:lang w:eastAsia="en-US"/>
              </w:rPr>
              <w:t>17</w:t>
            </w:r>
          </w:p>
        </w:tc>
      </w:tr>
      <w:tr w:rsidR="00624714" w:rsidRPr="00386309" w:rsidTr="00E95FF6">
        <w:trPr>
          <w:trHeight w:val="281"/>
        </w:trPr>
        <w:tc>
          <w:tcPr>
            <w:tcW w:w="7621" w:type="dxa"/>
          </w:tcPr>
          <w:p w:rsidR="00624714" w:rsidRPr="00386309" w:rsidRDefault="00624714" w:rsidP="00A77970">
            <w:pPr>
              <w:tabs>
                <w:tab w:val="left" w:pos="1134"/>
              </w:tabs>
              <w:ind w:left="720"/>
              <w:contextualSpacing/>
              <w:jc w:val="both"/>
              <w:rPr>
                <w:rFonts w:eastAsiaTheme="minorHAnsi"/>
                <w:sz w:val="28"/>
                <w:szCs w:val="28"/>
                <w:lang w:eastAsia="en-US"/>
              </w:rPr>
            </w:pPr>
          </w:p>
        </w:tc>
        <w:tc>
          <w:tcPr>
            <w:tcW w:w="2693" w:type="dxa"/>
            <w:vAlign w:val="center"/>
          </w:tcPr>
          <w:p w:rsidR="00624714" w:rsidRPr="00386309" w:rsidRDefault="00624714" w:rsidP="00A77970">
            <w:pPr>
              <w:jc w:val="right"/>
              <w:rPr>
                <w:rFonts w:eastAsiaTheme="minorHAnsi"/>
                <w:sz w:val="28"/>
                <w:szCs w:val="28"/>
                <w:lang w:eastAsia="en-US"/>
              </w:rPr>
            </w:pPr>
          </w:p>
        </w:tc>
      </w:tr>
      <w:tr w:rsidR="00624714" w:rsidRPr="00386309" w:rsidTr="00E95FF6">
        <w:trPr>
          <w:trHeight w:val="576"/>
        </w:trPr>
        <w:tc>
          <w:tcPr>
            <w:tcW w:w="7621" w:type="dxa"/>
          </w:tcPr>
          <w:p w:rsidR="00624714" w:rsidRPr="00386309" w:rsidRDefault="00624714" w:rsidP="00A77970">
            <w:pPr>
              <w:numPr>
                <w:ilvl w:val="1"/>
                <w:numId w:val="7"/>
              </w:numPr>
              <w:ind w:hanging="436"/>
              <w:contextualSpacing/>
              <w:jc w:val="both"/>
              <w:rPr>
                <w:rFonts w:eastAsiaTheme="minorHAnsi"/>
                <w:b/>
                <w:sz w:val="28"/>
                <w:szCs w:val="28"/>
                <w:lang w:eastAsia="en-US"/>
              </w:rPr>
            </w:pPr>
            <w:r w:rsidRPr="00386309">
              <w:rPr>
                <w:rFonts w:eastAsiaTheme="minorHAnsi"/>
                <w:b/>
                <w:sz w:val="28"/>
                <w:szCs w:val="28"/>
                <w:lang w:eastAsia="en-US"/>
              </w:rPr>
              <w:t>Amenajarea teritoriului, urbanism și locuințe, servicii publice de gospodărire comunală</w:t>
            </w:r>
          </w:p>
        </w:tc>
        <w:tc>
          <w:tcPr>
            <w:tcW w:w="2693" w:type="dxa"/>
            <w:vAlign w:val="center"/>
          </w:tcPr>
          <w:p w:rsidR="00624714" w:rsidRPr="00386309" w:rsidRDefault="00C83B6B" w:rsidP="00A77970">
            <w:pPr>
              <w:jc w:val="right"/>
              <w:rPr>
                <w:rFonts w:eastAsiaTheme="minorHAnsi"/>
                <w:sz w:val="28"/>
                <w:szCs w:val="28"/>
                <w:lang w:eastAsia="en-US"/>
              </w:rPr>
            </w:pPr>
            <w:r>
              <w:rPr>
                <w:rFonts w:eastAsiaTheme="minorHAnsi"/>
                <w:sz w:val="28"/>
                <w:szCs w:val="28"/>
                <w:lang w:eastAsia="en-US"/>
              </w:rPr>
              <w:t>18</w:t>
            </w:r>
          </w:p>
        </w:tc>
      </w:tr>
      <w:tr w:rsidR="00624714" w:rsidRPr="00386309" w:rsidTr="00E95FF6">
        <w:trPr>
          <w:trHeight w:val="281"/>
        </w:trPr>
        <w:tc>
          <w:tcPr>
            <w:tcW w:w="7621" w:type="dxa"/>
          </w:tcPr>
          <w:p w:rsidR="00624714" w:rsidRPr="00386309" w:rsidRDefault="00624714" w:rsidP="00A77970">
            <w:pPr>
              <w:numPr>
                <w:ilvl w:val="0"/>
                <w:numId w:val="9"/>
              </w:numPr>
              <w:tabs>
                <w:tab w:val="left" w:pos="1134"/>
              </w:tabs>
              <w:ind w:hanging="11"/>
              <w:contextualSpacing/>
              <w:jc w:val="both"/>
              <w:rPr>
                <w:rFonts w:eastAsiaTheme="minorHAnsi"/>
                <w:sz w:val="28"/>
                <w:szCs w:val="28"/>
                <w:lang w:eastAsia="en-US"/>
              </w:rPr>
            </w:pPr>
            <w:r w:rsidRPr="00386309">
              <w:rPr>
                <w:rFonts w:eastAsiaTheme="minorHAnsi"/>
                <w:sz w:val="28"/>
                <w:szCs w:val="28"/>
                <w:lang w:eastAsia="en-US"/>
              </w:rPr>
              <w:t>Urbanism și amenajarea teritoriului</w:t>
            </w:r>
          </w:p>
        </w:tc>
        <w:tc>
          <w:tcPr>
            <w:tcW w:w="2693" w:type="dxa"/>
            <w:vAlign w:val="center"/>
          </w:tcPr>
          <w:p w:rsidR="00624714" w:rsidRPr="00386309" w:rsidRDefault="00C83B6B" w:rsidP="00A77970">
            <w:pPr>
              <w:jc w:val="right"/>
              <w:rPr>
                <w:rFonts w:eastAsiaTheme="minorHAnsi"/>
                <w:sz w:val="28"/>
                <w:szCs w:val="28"/>
                <w:lang w:eastAsia="en-US"/>
              </w:rPr>
            </w:pPr>
            <w:r>
              <w:rPr>
                <w:rFonts w:eastAsiaTheme="minorHAnsi"/>
                <w:sz w:val="28"/>
                <w:szCs w:val="28"/>
                <w:lang w:eastAsia="en-US"/>
              </w:rPr>
              <w:t>18</w:t>
            </w:r>
          </w:p>
        </w:tc>
      </w:tr>
      <w:tr w:rsidR="00624714" w:rsidRPr="00386309" w:rsidTr="00E95FF6">
        <w:trPr>
          <w:trHeight w:val="295"/>
        </w:trPr>
        <w:tc>
          <w:tcPr>
            <w:tcW w:w="7621" w:type="dxa"/>
          </w:tcPr>
          <w:p w:rsidR="00624714" w:rsidRPr="00386309" w:rsidRDefault="00624714" w:rsidP="00A77970">
            <w:pPr>
              <w:numPr>
                <w:ilvl w:val="0"/>
                <w:numId w:val="9"/>
              </w:numPr>
              <w:tabs>
                <w:tab w:val="left" w:pos="1134"/>
              </w:tabs>
              <w:ind w:hanging="11"/>
              <w:contextualSpacing/>
              <w:jc w:val="both"/>
              <w:rPr>
                <w:rFonts w:eastAsiaTheme="minorHAnsi"/>
                <w:sz w:val="28"/>
                <w:szCs w:val="28"/>
                <w:lang w:eastAsia="en-US"/>
              </w:rPr>
            </w:pPr>
            <w:r w:rsidRPr="00386309">
              <w:rPr>
                <w:rFonts w:eastAsiaTheme="minorHAnsi"/>
                <w:sz w:val="28"/>
                <w:szCs w:val="28"/>
                <w:lang w:eastAsia="en-US"/>
              </w:rPr>
              <w:t>Locuințe</w:t>
            </w:r>
          </w:p>
        </w:tc>
        <w:tc>
          <w:tcPr>
            <w:tcW w:w="2693" w:type="dxa"/>
            <w:vAlign w:val="center"/>
          </w:tcPr>
          <w:p w:rsidR="00624714" w:rsidRPr="00386309" w:rsidRDefault="00C83B6B" w:rsidP="00A77970">
            <w:pPr>
              <w:jc w:val="right"/>
              <w:rPr>
                <w:rFonts w:eastAsiaTheme="minorHAnsi"/>
                <w:sz w:val="28"/>
                <w:szCs w:val="28"/>
                <w:lang w:eastAsia="en-US"/>
              </w:rPr>
            </w:pPr>
            <w:r>
              <w:rPr>
                <w:rFonts w:eastAsiaTheme="minorHAnsi"/>
                <w:sz w:val="28"/>
                <w:szCs w:val="28"/>
                <w:lang w:eastAsia="en-US"/>
              </w:rPr>
              <w:t>28</w:t>
            </w:r>
          </w:p>
        </w:tc>
      </w:tr>
      <w:tr w:rsidR="00624714" w:rsidRPr="00386309" w:rsidTr="00E95FF6">
        <w:trPr>
          <w:trHeight w:val="281"/>
        </w:trPr>
        <w:tc>
          <w:tcPr>
            <w:tcW w:w="7621" w:type="dxa"/>
          </w:tcPr>
          <w:p w:rsidR="00624714" w:rsidRPr="00386309" w:rsidRDefault="00624714" w:rsidP="00A77970">
            <w:pPr>
              <w:numPr>
                <w:ilvl w:val="0"/>
                <w:numId w:val="9"/>
              </w:numPr>
              <w:tabs>
                <w:tab w:val="left" w:pos="1134"/>
              </w:tabs>
              <w:ind w:hanging="11"/>
              <w:contextualSpacing/>
              <w:jc w:val="both"/>
              <w:rPr>
                <w:rFonts w:eastAsiaTheme="minorHAnsi"/>
                <w:sz w:val="28"/>
                <w:szCs w:val="28"/>
                <w:lang w:eastAsia="en-US"/>
              </w:rPr>
            </w:pPr>
            <w:r w:rsidRPr="00386309">
              <w:rPr>
                <w:rFonts w:eastAsiaTheme="minorHAnsi"/>
                <w:sz w:val="28"/>
                <w:szCs w:val="28"/>
                <w:lang w:eastAsia="en-US"/>
              </w:rPr>
              <w:t>Servicii publice de gospodărire comunală</w:t>
            </w:r>
          </w:p>
        </w:tc>
        <w:tc>
          <w:tcPr>
            <w:tcW w:w="2693" w:type="dxa"/>
            <w:vAlign w:val="center"/>
          </w:tcPr>
          <w:p w:rsidR="00624714" w:rsidRPr="00386309" w:rsidRDefault="00C83B6B" w:rsidP="00A77970">
            <w:pPr>
              <w:jc w:val="right"/>
              <w:rPr>
                <w:rFonts w:eastAsiaTheme="minorHAnsi"/>
                <w:sz w:val="28"/>
                <w:szCs w:val="28"/>
                <w:lang w:eastAsia="en-US"/>
              </w:rPr>
            </w:pPr>
            <w:r>
              <w:rPr>
                <w:rFonts w:eastAsiaTheme="minorHAnsi"/>
                <w:sz w:val="28"/>
                <w:szCs w:val="28"/>
                <w:lang w:eastAsia="en-US"/>
              </w:rPr>
              <w:t>32</w:t>
            </w:r>
          </w:p>
        </w:tc>
      </w:tr>
      <w:tr w:rsidR="00624714" w:rsidRPr="00386309" w:rsidTr="00E95FF6">
        <w:trPr>
          <w:trHeight w:val="295"/>
        </w:trPr>
        <w:tc>
          <w:tcPr>
            <w:tcW w:w="7621" w:type="dxa"/>
          </w:tcPr>
          <w:p w:rsidR="00624714" w:rsidRPr="00386309" w:rsidRDefault="00624714" w:rsidP="00A77970">
            <w:pPr>
              <w:tabs>
                <w:tab w:val="left" w:pos="1134"/>
              </w:tabs>
              <w:ind w:left="720"/>
              <w:contextualSpacing/>
              <w:jc w:val="both"/>
              <w:rPr>
                <w:rFonts w:eastAsiaTheme="minorHAnsi"/>
                <w:sz w:val="28"/>
                <w:szCs w:val="28"/>
                <w:lang w:eastAsia="en-US"/>
              </w:rPr>
            </w:pPr>
          </w:p>
        </w:tc>
        <w:tc>
          <w:tcPr>
            <w:tcW w:w="2693" w:type="dxa"/>
            <w:vAlign w:val="center"/>
          </w:tcPr>
          <w:p w:rsidR="00624714" w:rsidRPr="00386309" w:rsidRDefault="00624714" w:rsidP="00A77970">
            <w:pPr>
              <w:jc w:val="right"/>
              <w:rPr>
                <w:rFonts w:eastAsiaTheme="minorHAnsi"/>
                <w:sz w:val="28"/>
                <w:szCs w:val="28"/>
                <w:lang w:eastAsia="en-US"/>
              </w:rPr>
            </w:pPr>
          </w:p>
        </w:tc>
      </w:tr>
      <w:tr w:rsidR="00624714" w:rsidRPr="00386309" w:rsidTr="00E95FF6">
        <w:trPr>
          <w:trHeight w:val="281"/>
        </w:trPr>
        <w:tc>
          <w:tcPr>
            <w:tcW w:w="7621" w:type="dxa"/>
          </w:tcPr>
          <w:p w:rsidR="00624714" w:rsidRPr="00386309" w:rsidRDefault="00624714" w:rsidP="00A77970">
            <w:pPr>
              <w:numPr>
                <w:ilvl w:val="1"/>
                <w:numId w:val="7"/>
              </w:numPr>
              <w:ind w:hanging="436"/>
              <w:contextualSpacing/>
              <w:jc w:val="both"/>
              <w:rPr>
                <w:rFonts w:eastAsiaTheme="minorHAnsi"/>
                <w:b/>
                <w:sz w:val="28"/>
                <w:szCs w:val="28"/>
                <w:lang w:eastAsia="en-US"/>
              </w:rPr>
            </w:pPr>
            <w:r w:rsidRPr="00386309">
              <w:rPr>
                <w:rFonts w:eastAsiaTheme="minorHAnsi"/>
                <w:b/>
                <w:sz w:val="28"/>
                <w:szCs w:val="28"/>
                <w:lang w:eastAsia="en-US"/>
              </w:rPr>
              <w:t>Stadiul realizării programului de investiții</w:t>
            </w:r>
          </w:p>
        </w:tc>
        <w:tc>
          <w:tcPr>
            <w:tcW w:w="2693" w:type="dxa"/>
            <w:vAlign w:val="center"/>
          </w:tcPr>
          <w:p w:rsidR="00624714" w:rsidRPr="00386309" w:rsidRDefault="00C83B6B" w:rsidP="00A77970">
            <w:pPr>
              <w:jc w:val="right"/>
              <w:rPr>
                <w:rFonts w:eastAsiaTheme="minorHAnsi"/>
                <w:sz w:val="28"/>
                <w:szCs w:val="28"/>
                <w:lang w:eastAsia="en-US"/>
              </w:rPr>
            </w:pPr>
            <w:r>
              <w:rPr>
                <w:rFonts w:eastAsiaTheme="minorHAnsi"/>
                <w:sz w:val="28"/>
                <w:szCs w:val="28"/>
                <w:lang w:eastAsia="en-US"/>
              </w:rPr>
              <w:t>38</w:t>
            </w:r>
          </w:p>
        </w:tc>
      </w:tr>
      <w:tr w:rsidR="00624714" w:rsidRPr="00386309" w:rsidTr="00E95FF6">
        <w:trPr>
          <w:trHeight w:val="295"/>
        </w:trPr>
        <w:tc>
          <w:tcPr>
            <w:tcW w:w="7621" w:type="dxa"/>
          </w:tcPr>
          <w:p w:rsidR="00624714" w:rsidRPr="00386309" w:rsidRDefault="00624714" w:rsidP="00A77970">
            <w:pPr>
              <w:ind w:left="720"/>
              <w:contextualSpacing/>
              <w:jc w:val="both"/>
              <w:rPr>
                <w:rFonts w:eastAsiaTheme="minorHAnsi"/>
                <w:sz w:val="28"/>
                <w:szCs w:val="28"/>
                <w:lang w:eastAsia="en-US"/>
              </w:rPr>
            </w:pPr>
          </w:p>
        </w:tc>
        <w:tc>
          <w:tcPr>
            <w:tcW w:w="2693" w:type="dxa"/>
            <w:vAlign w:val="center"/>
          </w:tcPr>
          <w:p w:rsidR="00624714" w:rsidRPr="00386309" w:rsidRDefault="00624714" w:rsidP="00A77970">
            <w:pPr>
              <w:jc w:val="right"/>
              <w:rPr>
                <w:rFonts w:eastAsiaTheme="minorHAnsi"/>
                <w:sz w:val="28"/>
                <w:szCs w:val="28"/>
                <w:lang w:eastAsia="en-US"/>
              </w:rPr>
            </w:pPr>
          </w:p>
        </w:tc>
      </w:tr>
      <w:tr w:rsidR="00624714" w:rsidRPr="00386309" w:rsidTr="00E95FF6">
        <w:trPr>
          <w:trHeight w:val="281"/>
        </w:trPr>
        <w:tc>
          <w:tcPr>
            <w:tcW w:w="7621" w:type="dxa"/>
          </w:tcPr>
          <w:p w:rsidR="00624714" w:rsidRPr="00386309" w:rsidRDefault="00624714" w:rsidP="00A77970">
            <w:pPr>
              <w:numPr>
                <w:ilvl w:val="1"/>
                <w:numId w:val="7"/>
              </w:numPr>
              <w:ind w:hanging="436"/>
              <w:contextualSpacing/>
              <w:jc w:val="both"/>
              <w:rPr>
                <w:rFonts w:eastAsiaTheme="minorHAnsi"/>
                <w:b/>
                <w:sz w:val="28"/>
                <w:szCs w:val="28"/>
                <w:lang w:eastAsia="en-US"/>
              </w:rPr>
            </w:pPr>
            <w:r w:rsidRPr="00386309">
              <w:rPr>
                <w:rFonts w:eastAsiaTheme="minorHAnsi"/>
                <w:b/>
                <w:sz w:val="28"/>
                <w:szCs w:val="28"/>
                <w:lang w:eastAsia="en-US"/>
              </w:rPr>
              <w:t>Comerț și protecția consumatorului</w:t>
            </w:r>
          </w:p>
        </w:tc>
        <w:tc>
          <w:tcPr>
            <w:tcW w:w="2693" w:type="dxa"/>
            <w:vAlign w:val="center"/>
          </w:tcPr>
          <w:p w:rsidR="00624714" w:rsidRPr="00386309" w:rsidRDefault="00C83B6B" w:rsidP="00A77970">
            <w:pPr>
              <w:jc w:val="right"/>
              <w:rPr>
                <w:rFonts w:eastAsiaTheme="minorHAnsi"/>
                <w:sz w:val="28"/>
                <w:szCs w:val="28"/>
                <w:lang w:eastAsia="en-US"/>
              </w:rPr>
            </w:pPr>
            <w:r>
              <w:rPr>
                <w:rFonts w:eastAsiaTheme="minorHAnsi"/>
                <w:sz w:val="28"/>
                <w:szCs w:val="28"/>
                <w:lang w:eastAsia="en-US"/>
              </w:rPr>
              <w:t>53</w:t>
            </w:r>
          </w:p>
        </w:tc>
      </w:tr>
      <w:tr w:rsidR="00624714" w:rsidRPr="00386309" w:rsidTr="00E95FF6">
        <w:trPr>
          <w:trHeight w:val="295"/>
        </w:trPr>
        <w:tc>
          <w:tcPr>
            <w:tcW w:w="7621" w:type="dxa"/>
          </w:tcPr>
          <w:p w:rsidR="00624714" w:rsidRPr="00386309" w:rsidRDefault="00624714" w:rsidP="00A77970">
            <w:pPr>
              <w:ind w:left="720"/>
              <w:contextualSpacing/>
              <w:jc w:val="both"/>
              <w:rPr>
                <w:rFonts w:eastAsiaTheme="minorHAnsi"/>
                <w:sz w:val="28"/>
                <w:szCs w:val="28"/>
                <w:lang w:eastAsia="en-US"/>
              </w:rPr>
            </w:pPr>
          </w:p>
        </w:tc>
        <w:tc>
          <w:tcPr>
            <w:tcW w:w="2693" w:type="dxa"/>
            <w:vAlign w:val="center"/>
          </w:tcPr>
          <w:p w:rsidR="00624714" w:rsidRPr="00386309" w:rsidRDefault="00624714" w:rsidP="00A77970">
            <w:pPr>
              <w:jc w:val="right"/>
              <w:rPr>
                <w:rFonts w:eastAsiaTheme="minorHAnsi"/>
                <w:sz w:val="28"/>
                <w:szCs w:val="28"/>
                <w:lang w:eastAsia="en-US"/>
              </w:rPr>
            </w:pPr>
          </w:p>
        </w:tc>
      </w:tr>
      <w:tr w:rsidR="00624714" w:rsidRPr="00386309" w:rsidTr="00E95FF6">
        <w:trPr>
          <w:trHeight w:val="281"/>
        </w:trPr>
        <w:tc>
          <w:tcPr>
            <w:tcW w:w="7621" w:type="dxa"/>
          </w:tcPr>
          <w:p w:rsidR="00624714" w:rsidRPr="00386309" w:rsidRDefault="00624714" w:rsidP="00A77970">
            <w:pPr>
              <w:ind w:left="720"/>
              <w:contextualSpacing/>
              <w:jc w:val="both"/>
              <w:rPr>
                <w:rFonts w:eastAsiaTheme="minorHAnsi"/>
                <w:sz w:val="28"/>
                <w:szCs w:val="28"/>
                <w:lang w:eastAsia="en-US"/>
              </w:rPr>
            </w:pPr>
          </w:p>
        </w:tc>
        <w:tc>
          <w:tcPr>
            <w:tcW w:w="2693" w:type="dxa"/>
            <w:vAlign w:val="center"/>
          </w:tcPr>
          <w:p w:rsidR="00624714" w:rsidRPr="00386309" w:rsidRDefault="00624714" w:rsidP="00A77970">
            <w:pPr>
              <w:jc w:val="right"/>
              <w:rPr>
                <w:rFonts w:eastAsiaTheme="minorHAnsi"/>
                <w:sz w:val="28"/>
                <w:szCs w:val="28"/>
                <w:lang w:eastAsia="en-US"/>
              </w:rPr>
            </w:pPr>
          </w:p>
        </w:tc>
      </w:tr>
      <w:tr w:rsidR="00624714" w:rsidRPr="00386309" w:rsidTr="00E95FF6">
        <w:trPr>
          <w:trHeight w:val="295"/>
        </w:trPr>
        <w:tc>
          <w:tcPr>
            <w:tcW w:w="7621" w:type="dxa"/>
            <w:tcBorders>
              <w:bottom w:val="single" w:sz="4" w:space="0" w:color="auto"/>
            </w:tcBorders>
          </w:tcPr>
          <w:p w:rsidR="00624714" w:rsidRPr="00386309" w:rsidRDefault="00624714" w:rsidP="00A77970">
            <w:pPr>
              <w:numPr>
                <w:ilvl w:val="0"/>
                <w:numId w:val="7"/>
              </w:numPr>
              <w:ind w:left="284" w:hanging="284"/>
              <w:contextualSpacing/>
              <w:jc w:val="both"/>
              <w:rPr>
                <w:rFonts w:eastAsiaTheme="minorHAnsi"/>
                <w:b/>
                <w:sz w:val="28"/>
                <w:szCs w:val="28"/>
                <w:lang w:eastAsia="en-US"/>
              </w:rPr>
            </w:pPr>
            <w:r w:rsidRPr="00386309">
              <w:rPr>
                <w:rFonts w:eastAsiaTheme="minorHAnsi"/>
                <w:b/>
                <w:sz w:val="28"/>
                <w:szCs w:val="28"/>
                <w:lang w:eastAsia="en-US"/>
              </w:rPr>
              <w:t>STAREA SOCIALĂ</w:t>
            </w:r>
          </w:p>
        </w:tc>
        <w:tc>
          <w:tcPr>
            <w:tcW w:w="2693" w:type="dxa"/>
            <w:tcBorders>
              <w:bottom w:val="single" w:sz="4" w:space="0" w:color="auto"/>
            </w:tcBorders>
            <w:vAlign w:val="center"/>
          </w:tcPr>
          <w:p w:rsidR="00624714" w:rsidRPr="00386309" w:rsidRDefault="00C83B6B" w:rsidP="00A77970">
            <w:pPr>
              <w:jc w:val="right"/>
              <w:rPr>
                <w:rFonts w:eastAsiaTheme="minorHAnsi"/>
                <w:sz w:val="28"/>
                <w:szCs w:val="28"/>
                <w:lang w:eastAsia="en-US"/>
              </w:rPr>
            </w:pPr>
            <w:r>
              <w:rPr>
                <w:rFonts w:eastAsiaTheme="minorHAnsi"/>
                <w:sz w:val="28"/>
                <w:szCs w:val="28"/>
                <w:lang w:eastAsia="en-US"/>
              </w:rPr>
              <w:t>56</w:t>
            </w:r>
          </w:p>
        </w:tc>
      </w:tr>
      <w:tr w:rsidR="00624714" w:rsidRPr="00386309" w:rsidTr="00E95FF6">
        <w:trPr>
          <w:trHeight w:val="281"/>
        </w:trPr>
        <w:tc>
          <w:tcPr>
            <w:tcW w:w="7621" w:type="dxa"/>
            <w:tcBorders>
              <w:top w:val="single" w:sz="4" w:space="0" w:color="auto"/>
            </w:tcBorders>
          </w:tcPr>
          <w:p w:rsidR="00624714" w:rsidRPr="00386309" w:rsidRDefault="00624714" w:rsidP="00A77970">
            <w:pPr>
              <w:ind w:left="284"/>
              <w:contextualSpacing/>
              <w:jc w:val="both"/>
              <w:rPr>
                <w:rFonts w:eastAsiaTheme="minorHAnsi"/>
                <w:b/>
                <w:sz w:val="28"/>
                <w:szCs w:val="28"/>
                <w:lang w:eastAsia="en-US"/>
              </w:rPr>
            </w:pPr>
          </w:p>
        </w:tc>
        <w:tc>
          <w:tcPr>
            <w:tcW w:w="2693" w:type="dxa"/>
            <w:tcBorders>
              <w:top w:val="single" w:sz="4" w:space="0" w:color="auto"/>
            </w:tcBorders>
            <w:vAlign w:val="center"/>
          </w:tcPr>
          <w:p w:rsidR="00624714" w:rsidRPr="00386309" w:rsidRDefault="00624714" w:rsidP="00A77970">
            <w:pPr>
              <w:jc w:val="right"/>
              <w:rPr>
                <w:rFonts w:eastAsiaTheme="minorHAnsi"/>
                <w:sz w:val="28"/>
                <w:szCs w:val="28"/>
                <w:lang w:eastAsia="en-US"/>
              </w:rPr>
            </w:pPr>
          </w:p>
        </w:tc>
      </w:tr>
      <w:tr w:rsidR="00624714" w:rsidRPr="00386309" w:rsidTr="00E95FF6">
        <w:trPr>
          <w:trHeight w:val="295"/>
        </w:trPr>
        <w:tc>
          <w:tcPr>
            <w:tcW w:w="7621" w:type="dxa"/>
          </w:tcPr>
          <w:p w:rsidR="00624714" w:rsidRPr="00386309" w:rsidRDefault="00624714" w:rsidP="00A77970">
            <w:pPr>
              <w:numPr>
                <w:ilvl w:val="1"/>
                <w:numId w:val="7"/>
              </w:numPr>
              <w:ind w:hanging="436"/>
              <w:contextualSpacing/>
              <w:jc w:val="both"/>
              <w:rPr>
                <w:rFonts w:eastAsiaTheme="minorHAnsi"/>
                <w:b/>
                <w:sz w:val="28"/>
                <w:szCs w:val="28"/>
                <w:lang w:eastAsia="en-US"/>
              </w:rPr>
            </w:pPr>
            <w:r w:rsidRPr="00386309">
              <w:rPr>
                <w:rFonts w:eastAsiaTheme="minorHAnsi"/>
                <w:b/>
                <w:sz w:val="28"/>
                <w:szCs w:val="28"/>
                <w:lang w:eastAsia="en-US"/>
              </w:rPr>
              <w:t>Starea de sănătate și educație a populației</w:t>
            </w:r>
          </w:p>
        </w:tc>
        <w:tc>
          <w:tcPr>
            <w:tcW w:w="2693" w:type="dxa"/>
            <w:vAlign w:val="center"/>
          </w:tcPr>
          <w:p w:rsidR="00624714" w:rsidRPr="00386309" w:rsidRDefault="00C83B6B" w:rsidP="00A77970">
            <w:pPr>
              <w:jc w:val="right"/>
              <w:rPr>
                <w:rFonts w:eastAsiaTheme="minorHAnsi"/>
                <w:sz w:val="28"/>
                <w:szCs w:val="28"/>
                <w:lang w:eastAsia="en-US"/>
              </w:rPr>
            </w:pPr>
            <w:r>
              <w:rPr>
                <w:rFonts w:eastAsiaTheme="minorHAnsi"/>
                <w:sz w:val="28"/>
                <w:szCs w:val="28"/>
                <w:lang w:eastAsia="en-US"/>
              </w:rPr>
              <w:t>56</w:t>
            </w:r>
          </w:p>
        </w:tc>
      </w:tr>
      <w:tr w:rsidR="00624714" w:rsidRPr="00386309" w:rsidTr="00E95FF6">
        <w:trPr>
          <w:trHeight w:val="281"/>
        </w:trPr>
        <w:tc>
          <w:tcPr>
            <w:tcW w:w="7621" w:type="dxa"/>
          </w:tcPr>
          <w:p w:rsidR="00624714" w:rsidRPr="00386309" w:rsidRDefault="00624714" w:rsidP="00A77970">
            <w:pPr>
              <w:numPr>
                <w:ilvl w:val="0"/>
                <w:numId w:val="10"/>
              </w:numPr>
              <w:tabs>
                <w:tab w:val="left" w:pos="1134"/>
              </w:tabs>
              <w:ind w:hanging="11"/>
              <w:contextualSpacing/>
              <w:jc w:val="both"/>
              <w:rPr>
                <w:rFonts w:eastAsiaTheme="minorHAnsi"/>
                <w:sz w:val="28"/>
                <w:szCs w:val="28"/>
                <w:lang w:eastAsia="en-US"/>
              </w:rPr>
            </w:pPr>
            <w:r w:rsidRPr="00386309">
              <w:rPr>
                <w:rFonts w:eastAsiaTheme="minorHAnsi"/>
                <w:sz w:val="28"/>
                <w:szCs w:val="28"/>
                <w:lang w:eastAsia="en-US"/>
              </w:rPr>
              <w:t>Sănătate</w:t>
            </w:r>
          </w:p>
        </w:tc>
        <w:tc>
          <w:tcPr>
            <w:tcW w:w="2693" w:type="dxa"/>
            <w:vAlign w:val="center"/>
          </w:tcPr>
          <w:p w:rsidR="00624714" w:rsidRPr="00386309" w:rsidRDefault="00C83B6B" w:rsidP="00A77970">
            <w:pPr>
              <w:jc w:val="right"/>
              <w:rPr>
                <w:rFonts w:eastAsiaTheme="minorHAnsi"/>
                <w:sz w:val="28"/>
                <w:szCs w:val="28"/>
                <w:lang w:eastAsia="en-US"/>
              </w:rPr>
            </w:pPr>
            <w:r>
              <w:rPr>
                <w:rFonts w:eastAsiaTheme="minorHAnsi"/>
                <w:sz w:val="28"/>
                <w:szCs w:val="28"/>
                <w:lang w:eastAsia="en-US"/>
              </w:rPr>
              <w:t>56</w:t>
            </w:r>
          </w:p>
        </w:tc>
      </w:tr>
      <w:tr w:rsidR="00624714" w:rsidRPr="00386309" w:rsidTr="00E95FF6">
        <w:trPr>
          <w:trHeight w:val="281"/>
        </w:trPr>
        <w:tc>
          <w:tcPr>
            <w:tcW w:w="7621" w:type="dxa"/>
          </w:tcPr>
          <w:p w:rsidR="00624714" w:rsidRPr="00386309" w:rsidRDefault="00624714" w:rsidP="00A77970">
            <w:pPr>
              <w:numPr>
                <w:ilvl w:val="0"/>
                <w:numId w:val="10"/>
              </w:numPr>
              <w:tabs>
                <w:tab w:val="left" w:pos="1134"/>
              </w:tabs>
              <w:ind w:hanging="11"/>
              <w:contextualSpacing/>
              <w:jc w:val="both"/>
              <w:rPr>
                <w:rFonts w:eastAsiaTheme="minorHAnsi"/>
                <w:sz w:val="28"/>
                <w:szCs w:val="28"/>
                <w:lang w:eastAsia="en-US"/>
              </w:rPr>
            </w:pPr>
            <w:r w:rsidRPr="00386309">
              <w:rPr>
                <w:rFonts w:eastAsiaTheme="minorHAnsi"/>
                <w:sz w:val="28"/>
                <w:szCs w:val="28"/>
                <w:lang w:eastAsia="en-US"/>
              </w:rPr>
              <w:t>Educație</w:t>
            </w:r>
          </w:p>
        </w:tc>
        <w:tc>
          <w:tcPr>
            <w:tcW w:w="2693" w:type="dxa"/>
            <w:vAlign w:val="center"/>
          </w:tcPr>
          <w:p w:rsidR="00624714" w:rsidRPr="006109E1" w:rsidRDefault="00C83B6B" w:rsidP="00A77970">
            <w:pPr>
              <w:jc w:val="right"/>
              <w:rPr>
                <w:rFonts w:eastAsiaTheme="minorHAnsi"/>
                <w:sz w:val="28"/>
                <w:szCs w:val="28"/>
                <w:lang w:eastAsia="en-US"/>
              </w:rPr>
            </w:pPr>
            <w:r>
              <w:rPr>
                <w:rFonts w:eastAsiaTheme="minorHAnsi"/>
                <w:sz w:val="28"/>
                <w:szCs w:val="28"/>
                <w:lang w:eastAsia="en-US"/>
              </w:rPr>
              <w:t>67</w:t>
            </w:r>
          </w:p>
        </w:tc>
      </w:tr>
      <w:tr w:rsidR="00624714" w:rsidRPr="00386309" w:rsidTr="00E95FF6">
        <w:trPr>
          <w:trHeight w:val="295"/>
        </w:trPr>
        <w:tc>
          <w:tcPr>
            <w:tcW w:w="7621" w:type="dxa"/>
          </w:tcPr>
          <w:p w:rsidR="00624714" w:rsidRPr="00386309" w:rsidRDefault="00624714" w:rsidP="00A77970">
            <w:pPr>
              <w:numPr>
                <w:ilvl w:val="0"/>
                <w:numId w:val="10"/>
              </w:numPr>
              <w:tabs>
                <w:tab w:val="left" w:pos="1134"/>
              </w:tabs>
              <w:ind w:hanging="11"/>
              <w:contextualSpacing/>
              <w:jc w:val="both"/>
              <w:rPr>
                <w:rFonts w:eastAsiaTheme="minorHAnsi"/>
                <w:sz w:val="28"/>
                <w:szCs w:val="28"/>
                <w:lang w:eastAsia="en-US"/>
              </w:rPr>
            </w:pPr>
            <w:r w:rsidRPr="00386309">
              <w:rPr>
                <w:rFonts w:eastAsiaTheme="minorHAnsi"/>
                <w:sz w:val="28"/>
                <w:szCs w:val="28"/>
                <w:lang w:eastAsia="en-US"/>
              </w:rPr>
              <w:t>Cultură</w:t>
            </w:r>
          </w:p>
        </w:tc>
        <w:tc>
          <w:tcPr>
            <w:tcW w:w="2693" w:type="dxa"/>
            <w:vAlign w:val="center"/>
          </w:tcPr>
          <w:p w:rsidR="00624714" w:rsidRPr="006109E1" w:rsidRDefault="00C83B6B" w:rsidP="00A77970">
            <w:pPr>
              <w:jc w:val="right"/>
              <w:rPr>
                <w:rFonts w:eastAsiaTheme="minorHAnsi"/>
                <w:sz w:val="28"/>
                <w:szCs w:val="28"/>
                <w:lang w:eastAsia="en-US"/>
              </w:rPr>
            </w:pPr>
            <w:r>
              <w:rPr>
                <w:rFonts w:eastAsiaTheme="minorHAnsi"/>
                <w:sz w:val="28"/>
                <w:szCs w:val="28"/>
                <w:lang w:eastAsia="en-US"/>
              </w:rPr>
              <w:t>71</w:t>
            </w:r>
          </w:p>
        </w:tc>
      </w:tr>
      <w:tr w:rsidR="00624714" w:rsidRPr="00386309" w:rsidTr="00E95FF6">
        <w:trPr>
          <w:trHeight w:val="281"/>
        </w:trPr>
        <w:tc>
          <w:tcPr>
            <w:tcW w:w="7621" w:type="dxa"/>
          </w:tcPr>
          <w:p w:rsidR="00624714" w:rsidRPr="00386309" w:rsidRDefault="00624714" w:rsidP="00A77970">
            <w:pPr>
              <w:numPr>
                <w:ilvl w:val="0"/>
                <w:numId w:val="10"/>
              </w:numPr>
              <w:tabs>
                <w:tab w:val="left" w:pos="1134"/>
              </w:tabs>
              <w:ind w:hanging="11"/>
              <w:contextualSpacing/>
              <w:jc w:val="both"/>
              <w:rPr>
                <w:rFonts w:eastAsiaTheme="minorHAnsi"/>
                <w:sz w:val="28"/>
                <w:szCs w:val="28"/>
                <w:lang w:eastAsia="en-US"/>
              </w:rPr>
            </w:pPr>
            <w:r w:rsidRPr="00386309">
              <w:rPr>
                <w:rFonts w:eastAsiaTheme="minorHAnsi"/>
                <w:sz w:val="28"/>
                <w:szCs w:val="28"/>
                <w:lang w:eastAsia="en-US"/>
              </w:rPr>
              <w:t>Activitatea în domeniul tineretului și sportului</w:t>
            </w:r>
          </w:p>
        </w:tc>
        <w:tc>
          <w:tcPr>
            <w:tcW w:w="2693" w:type="dxa"/>
            <w:vAlign w:val="center"/>
          </w:tcPr>
          <w:p w:rsidR="00624714" w:rsidRPr="006109E1" w:rsidRDefault="00C83B6B" w:rsidP="00A77970">
            <w:pPr>
              <w:jc w:val="right"/>
              <w:rPr>
                <w:rFonts w:eastAsiaTheme="minorHAnsi"/>
                <w:sz w:val="28"/>
                <w:szCs w:val="28"/>
                <w:lang w:eastAsia="en-US"/>
              </w:rPr>
            </w:pPr>
            <w:r>
              <w:rPr>
                <w:rFonts w:eastAsiaTheme="minorHAnsi"/>
                <w:sz w:val="28"/>
                <w:szCs w:val="28"/>
                <w:lang w:eastAsia="en-US"/>
              </w:rPr>
              <w:t>73</w:t>
            </w:r>
          </w:p>
        </w:tc>
      </w:tr>
      <w:tr w:rsidR="00624714" w:rsidRPr="00386309" w:rsidTr="00E95FF6">
        <w:trPr>
          <w:trHeight w:val="295"/>
        </w:trPr>
        <w:tc>
          <w:tcPr>
            <w:tcW w:w="7621" w:type="dxa"/>
          </w:tcPr>
          <w:p w:rsidR="00624714" w:rsidRPr="00386309" w:rsidRDefault="00624714" w:rsidP="00A77970">
            <w:pPr>
              <w:tabs>
                <w:tab w:val="left" w:pos="1134"/>
              </w:tabs>
              <w:ind w:left="720"/>
              <w:contextualSpacing/>
              <w:jc w:val="both"/>
              <w:rPr>
                <w:rFonts w:eastAsiaTheme="minorHAnsi"/>
                <w:sz w:val="28"/>
                <w:szCs w:val="28"/>
                <w:lang w:eastAsia="en-US"/>
              </w:rPr>
            </w:pPr>
          </w:p>
        </w:tc>
        <w:tc>
          <w:tcPr>
            <w:tcW w:w="2693" w:type="dxa"/>
            <w:vAlign w:val="center"/>
          </w:tcPr>
          <w:p w:rsidR="00624714" w:rsidRPr="006109E1" w:rsidRDefault="00624714" w:rsidP="00A77970">
            <w:pPr>
              <w:jc w:val="right"/>
              <w:rPr>
                <w:rFonts w:eastAsiaTheme="minorHAnsi"/>
                <w:sz w:val="28"/>
                <w:szCs w:val="28"/>
                <w:lang w:eastAsia="en-US"/>
              </w:rPr>
            </w:pPr>
          </w:p>
        </w:tc>
      </w:tr>
      <w:tr w:rsidR="00624714" w:rsidRPr="00386309" w:rsidTr="00E95FF6">
        <w:trPr>
          <w:trHeight w:val="281"/>
        </w:trPr>
        <w:tc>
          <w:tcPr>
            <w:tcW w:w="7621" w:type="dxa"/>
          </w:tcPr>
          <w:p w:rsidR="00624714" w:rsidRPr="00386309" w:rsidRDefault="00624714" w:rsidP="00A77970">
            <w:pPr>
              <w:numPr>
                <w:ilvl w:val="1"/>
                <w:numId w:val="7"/>
              </w:numPr>
              <w:ind w:hanging="436"/>
              <w:contextualSpacing/>
              <w:jc w:val="both"/>
              <w:rPr>
                <w:rFonts w:eastAsiaTheme="minorHAnsi"/>
                <w:b/>
                <w:sz w:val="28"/>
                <w:szCs w:val="28"/>
                <w:lang w:eastAsia="en-US"/>
              </w:rPr>
            </w:pPr>
            <w:r w:rsidRPr="00386309">
              <w:rPr>
                <w:rFonts w:eastAsiaTheme="minorHAnsi"/>
                <w:b/>
                <w:sz w:val="28"/>
                <w:szCs w:val="28"/>
                <w:lang w:eastAsia="en-US"/>
              </w:rPr>
              <w:t>Combaterea sărăciei și a șomajului</w:t>
            </w:r>
            <w:r w:rsidR="00E95FF6">
              <w:rPr>
                <w:rFonts w:eastAsiaTheme="minorHAnsi"/>
                <w:b/>
                <w:sz w:val="28"/>
                <w:szCs w:val="28"/>
                <w:lang w:eastAsia="en-US"/>
              </w:rPr>
              <w:t>. Asigurări sociale</w:t>
            </w:r>
          </w:p>
        </w:tc>
        <w:tc>
          <w:tcPr>
            <w:tcW w:w="2693" w:type="dxa"/>
            <w:vAlign w:val="center"/>
          </w:tcPr>
          <w:p w:rsidR="00624714" w:rsidRPr="006109E1" w:rsidRDefault="00C83B6B" w:rsidP="00A77970">
            <w:pPr>
              <w:jc w:val="right"/>
              <w:rPr>
                <w:rFonts w:eastAsiaTheme="minorHAnsi"/>
                <w:sz w:val="28"/>
                <w:szCs w:val="28"/>
                <w:lang w:eastAsia="en-US"/>
              </w:rPr>
            </w:pPr>
            <w:r>
              <w:rPr>
                <w:rFonts w:eastAsiaTheme="minorHAnsi"/>
                <w:sz w:val="28"/>
                <w:szCs w:val="28"/>
                <w:lang w:eastAsia="en-US"/>
              </w:rPr>
              <w:t>75</w:t>
            </w:r>
          </w:p>
        </w:tc>
      </w:tr>
      <w:tr w:rsidR="00624714" w:rsidRPr="00386309" w:rsidTr="00E95FF6">
        <w:trPr>
          <w:trHeight w:val="295"/>
        </w:trPr>
        <w:tc>
          <w:tcPr>
            <w:tcW w:w="7621" w:type="dxa"/>
          </w:tcPr>
          <w:p w:rsidR="00624714" w:rsidRPr="00386309" w:rsidRDefault="00624714" w:rsidP="00A77970">
            <w:pPr>
              <w:ind w:left="720"/>
              <w:contextualSpacing/>
              <w:jc w:val="both"/>
              <w:rPr>
                <w:rFonts w:eastAsiaTheme="minorHAnsi"/>
                <w:sz w:val="28"/>
                <w:szCs w:val="28"/>
                <w:lang w:eastAsia="en-US"/>
              </w:rPr>
            </w:pPr>
          </w:p>
        </w:tc>
        <w:tc>
          <w:tcPr>
            <w:tcW w:w="2693" w:type="dxa"/>
            <w:vAlign w:val="center"/>
          </w:tcPr>
          <w:p w:rsidR="00624714" w:rsidRPr="006109E1" w:rsidRDefault="00624714" w:rsidP="00A77970">
            <w:pPr>
              <w:jc w:val="right"/>
              <w:rPr>
                <w:rFonts w:eastAsiaTheme="minorHAnsi"/>
                <w:sz w:val="28"/>
                <w:szCs w:val="28"/>
                <w:lang w:eastAsia="en-US"/>
              </w:rPr>
            </w:pPr>
          </w:p>
        </w:tc>
      </w:tr>
      <w:tr w:rsidR="00624714" w:rsidRPr="00386309" w:rsidTr="00E95FF6">
        <w:trPr>
          <w:trHeight w:val="281"/>
        </w:trPr>
        <w:tc>
          <w:tcPr>
            <w:tcW w:w="7621" w:type="dxa"/>
          </w:tcPr>
          <w:p w:rsidR="00624714" w:rsidRPr="00386309" w:rsidRDefault="00624714" w:rsidP="00A77970">
            <w:pPr>
              <w:numPr>
                <w:ilvl w:val="1"/>
                <w:numId w:val="7"/>
              </w:numPr>
              <w:ind w:hanging="436"/>
              <w:contextualSpacing/>
              <w:jc w:val="both"/>
              <w:rPr>
                <w:rFonts w:eastAsiaTheme="minorHAnsi"/>
                <w:b/>
                <w:sz w:val="28"/>
                <w:szCs w:val="28"/>
                <w:lang w:eastAsia="en-US"/>
              </w:rPr>
            </w:pPr>
            <w:r w:rsidRPr="00386309">
              <w:rPr>
                <w:rFonts w:eastAsiaTheme="minorHAnsi"/>
                <w:b/>
                <w:sz w:val="28"/>
                <w:szCs w:val="28"/>
                <w:lang w:eastAsia="en-US"/>
              </w:rPr>
              <w:t>Protecția mediului</w:t>
            </w:r>
          </w:p>
        </w:tc>
        <w:tc>
          <w:tcPr>
            <w:tcW w:w="2693" w:type="dxa"/>
            <w:vAlign w:val="center"/>
          </w:tcPr>
          <w:p w:rsidR="00624714" w:rsidRPr="006109E1" w:rsidRDefault="00C83B6B" w:rsidP="00A77970">
            <w:pPr>
              <w:jc w:val="right"/>
              <w:rPr>
                <w:rFonts w:eastAsiaTheme="minorHAnsi"/>
                <w:sz w:val="28"/>
                <w:szCs w:val="28"/>
                <w:lang w:eastAsia="en-US"/>
              </w:rPr>
            </w:pPr>
            <w:r>
              <w:rPr>
                <w:rFonts w:eastAsiaTheme="minorHAnsi"/>
                <w:sz w:val="28"/>
                <w:szCs w:val="28"/>
                <w:lang w:eastAsia="en-US"/>
              </w:rPr>
              <w:t>90</w:t>
            </w:r>
          </w:p>
        </w:tc>
      </w:tr>
      <w:tr w:rsidR="00624714" w:rsidRPr="00386309" w:rsidTr="00E95FF6">
        <w:trPr>
          <w:trHeight w:val="295"/>
        </w:trPr>
        <w:tc>
          <w:tcPr>
            <w:tcW w:w="7621" w:type="dxa"/>
          </w:tcPr>
          <w:p w:rsidR="00624714" w:rsidRPr="00386309" w:rsidRDefault="00624714" w:rsidP="00A77970">
            <w:pPr>
              <w:ind w:left="720"/>
              <w:contextualSpacing/>
              <w:jc w:val="both"/>
              <w:rPr>
                <w:rFonts w:eastAsiaTheme="minorHAnsi"/>
                <w:sz w:val="28"/>
                <w:szCs w:val="28"/>
                <w:lang w:eastAsia="en-US"/>
              </w:rPr>
            </w:pPr>
          </w:p>
        </w:tc>
        <w:tc>
          <w:tcPr>
            <w:tcW w:w="2693" w:type="dxa"/>
            <w:vAlign w:val="center"/>
          </w:tcPr>
          <w:p w:rsidR="00624714" w:rsidRPr="006109E1" w:rsidRDefault="00624714" w:rsidP="00A77970">
            <w:pPr>
              <w:jc w:val="right"/>
              <w:rPr>
                <w:rFonts w:eastAsiaTheme="minorHAnsi"/>
                <w:sz w:val="28"/>
                <w:szCs w:val="28"/>
                <w:lang w:eastAsia="en-US"/>
              </w:rPr>
            </w:pPr>
          </w:p>
        </w:tc>
      </w:tr>
      <w:tr w:rsidR="00624714" w:rsidRPr="00386309" w:rsidTr="00E95FF6">
        <w:trPr>
          <w:trHeight w:val="576"/>
        </w:trPr>
        <w:tc>
          <w:tcPr>
            <w:tcW w:w="7621" w:type="dxa"/>
          </w:tcPr>
          <w:p w:rsidR="00624714" w:rsidRPr="00386309" w:rsidRDefault="00624714" w:rsidP="00A77970">
            <w:pPr>
              <w:numPr>
                <w:ilvl w:val="1"/>
                <w:numId w:val="7"/>
              </w:numPr>
              <w:ind w:hanging="436"/>
              <w:contextualSpacing/>
              <w:jc w:val="both"/>
              <w:rPr>
                <w:rFonts w:eastAsiaTheme="minorHAnsi"/>
                <w:b/>
                <w:sz w:val="28"/>
                <w:szCs w:val="28"/>
                <w:lang w:eastAsia="en-US"/>
              </w:rPr>
            </w:pPr>
            <w:r w:rsidRPr="00386309">
              <w:rPr>
                <w:rFonts w:eastAsiaTheme="minorHAnsi"/>
                <w:b/>
                <w:sz w:val="28"/>
                <w:szCs w:val="28"/>
                <w:lang w:eastAsia="en-US"/>
              </w:rPr>
              <w:t>Siguranța cetățeanului și nivelul de infracționalitate la nivelul municipiului București</w:t>
            </w:r>
          </w:p>
        </w:tc>
        <w:tc>
          <w:tcPr>
            <w:tcW w:w="2693" w:type="dxa"/>
            <w:vAlign w:val="center"/>
          </w:tcPr>
          <w:p w:rsidR="00624714" w:rsidRPr="006109E1" w:rsidRDefault="00C83B6B" w:rsidP="00A77970">
            <w:pPr>
              <w:jc w:val="right"/>
              <w:rPr>
                <w:rFonts w:eastAsiaTheme="minorHAnsi"/>
                <w:sz w:val="28"/>
                <w:szCs w:val="28"/>
                <w:lang w:eastAsia="en-US"/>
              </w:rPr>
            </w:pPr>
            <w:r>
              <w:rPr>
                <w:rFonts w:eastAsiaTheme="minorHAnsi"/>
                <w:sz w:val="28"/>
                <w:szCs w:val="28"/>
                <w:lang w:eastAsia="en-US"/>
              </w:rPr>
              <w:t>102</w:t>
            </w:r>
          </w:p>
        </w:tc>
      </w:tr>
      <w:tr w:rsidR="00624714" w:rsidRPr="00386309" w:rsidTr="00E95FF6">
        <w:trPr>
          <w:trHeight w:val="281"/>
        </w:trPr>
        <w:tc>
          <w:tcPr>
            <w:tcW w:w="7621" w:type="dxa"/>
          </w:tcPr>
          <w:p w:rsidR="00624714" w:rsidRPr="00386309" w:rsidRDefault="00624714" w:rsidP="00A77970">
            <w:pPr>
              <w:ind w:left="720"/>
              <w:contextualSpacing/>
              <w:jc w:val="both"/>
              <w:rPr>
                <w:rFonts w:eastAsiaTheme="minorHAnsi"/>
                <w:sz w:val="28"/>
                <w:szCs w:val="28"/>
                <w:lang w:eastAsia="en-US"/>
              </w:rPr>
            </w:pPr>
          </w:p>
        </w:tc>
        <w:tc>
          <w:tcPr>
            <w:tcW w:w="2693" w:type="dxa"/>
            <w:vAlign w:val="center"/>
          </w:tcPr>
          <w:p w:rsidR="00624714" w:rsidRPr="006109E1" w:rsidRDefault="00624714" w:rsidP="00A77970">
            <w:pPr>
              <w:jc w:val="right"/>
              <w:rPr>
                <w:rFonts w:eastAsiaTheme="minorHAnsi"/>
                <w:sz w:val="28"/>
                <w:szCs w:val="28"/>
                <w:lang w:eastAsia="en-US"/>
              </w:rPr>
            </w:pPr>
          </w:p>
        </w:tc>
      </w:tr>
      <w:tr w:rsidR="00624714" w:rsidRPr="00386309" w:rsidTr="00E95FF6">
        <w:trPr>
          <w:trHeight w:val="295"/>
        </w:trPr>
        <w:tc>
          <w:tcPr>
            <w:tcW w:w="7621" w:type="dxa"/>
          </w:tcPr>
          <w:p w:rsidR="00624714" w:rsidRPr="00386309" w:rsidRDefault="00624714" w:rsidP="00A77970">
            <w:pPr>
              <w:numPr>
                <w:ilvl w:val="1"/>
                <w:numId w:val="7"/>
              </w:numPr>
              <w:ind w:hanging="436"/>
              <w:contextualSpacing/>
              <w:jc w:val="both"/>
              <w:rPr>
                <w:rFonts w:eastAsiaTheme="minorHAnsi"/>
                <w:b/>
                <w:sz w:val="28"/>
                <w:szCs w:val="28"/>
                <w:lang w:eastAsia="en-US"/>
              </w:rPr>
            </w:pPr>
            <w:r w:rsidRPr="00386309">
              <w:rPr>
                <w:rFonts w:eastAsiaTheme="minorHAnsi"/>
                <w:b/>
                <w:sz w:val="28"/>
                <w:szCs w:val="28"/>
                <w:lang w:eastAsia="en-US"/>
              </w:rPr>
              <w:t>Protecția copilului și a persoanelor cu dizabilități</w:t>
            </w:r>
          </w:p>
        </w:tc>
        <w:tc>
          <w:tcPr>
            <w:tcW w:w="2693" w:type="dxa"/>
            <w:vAlign w:val="center"/>
          </w:tcPr>
          <w:p w:rsidR="00624714" w:rsidRPr="006109E1" w:rsidRDefault="00C83B6B" w:rsidP="00A77970">
            <w:pPr>
              <w:jc w:val="right"/>
              <w:rPr>
                <w:rFonts w:eastAsiaTheme="minorHAnsi"/>
                <w:sz w:val="28"/>
                <w:szCs w:val="28"/>
                <w:lang w:eastAsia="en-US"/>
              </w:rPr>
            </w:pPr>
            <w:r>
              <w:rPr>
                <w:rFonts w:eastAsiaTheme="minorHAnsi"/>
                <w:sz w:val="28"/>
                <w:szCs w:val="28"/>
                <w:lang w:eastAsia="en-US"/>
              </w:rPr>
              <w:t>124</w:t>
            </w:r>
          </w:p>
        </w:tc>
      </w:tr>
      <w:tr w:rsidR="00624714" w:rsidRPr="00386309" w:rsidTr="00E95FF6">
        <w:trPr>
          <w:trHeight w:val="281"/>
        </w:trPr>
        <w:tc>
          <w:tcPr>
            <w:tcW w:w="7621" w:type="dxa"/>
          </w:tcPr>
          <w:p w:rsidR="00624714" w:rsidRPr="00386309" w:rsidRDefault="00624714" w:rsidP="00A77970">
            <w:pPr>
              <w:ind w:left="720"/>
              <w:contextualSpacing/>
              <w:jc w:val="both"/>
              <w:rPr>
                <w:rFonts w:eastAsiaTheme="minorHAnsi"/>
                <w:sz w:val="28"/>
                <w:szCs w:val="28"/>
                <w:lang w:eastAsia="en-US"/>
              </w:rPr>
            </w:pPr>
          </w:p>
        </w:tc>
        <w:tc>
          <w:tcPr>
            <w:tcW w:w="2693" w:type="dxa"/>
            <w:vAlign w:val="center"/>
          </w:tcPr>
          <w:p w:rsidR="00624714" w:rsidRPr="006109E1" w:rsidRDefault="00624714" w:rsidP="00A77970">
            <w:pPr>
              <w:jc w:val="right"/>
              <w:rPr>
                <w:rFonts w:eastAsiaTheme="minorHAnsi"/>
                <w:sz w:val="28"/>
                <w:szCs w:val="28"/>
                <w:lang w:eastAsia="en-US"/>
              </w:rPr>
            </w:pPr>
          </w:p>
        </w:tc>
      </w:tr>
      <w:tr w:rsidR="00624714" w:rsidRPr="00386309" w:rsidTr="00E95FF6">
        <w:trPr>
          <w:trHeight w:val="857"/>
        </w:trPr>
        <w:tc>
          <w:tcPr>
            <w:tcW w:w="7621" w:type="dxa"/>
          </w:tcPr>
          <w:p w:rsidR="00624714" w:rsidRPr="00386309" w:rsidRDefault="00624714" w:rsidP="00A77970">
            <w:pPr>
              <w:numPr>
                <w:ilvl w:val="1"/>
                <w:numId w:val="7"/>
              </w:numPr>
              <w:ind w:hanging="436"/>
              <w:contextualSpacing/>
              <w:jc w:val="both"/>
              <w:rPr>
                <w:rFonts w:eastAsiaTheme="minorHAnsi"/>
                <w:b/>
                <w:sz w:val="28"/>
                <w:szCs w:val="28"/>
                <w:lang w:eastAsia="en-US"/>
              </w:rPr>
            </w:pPr>
            <w:r w:rsidRPr="00386309">
              <w:rPr>
                <w:rFonts w:eastAsiaTheme="minorHAnsi"/>
                <w:b/>
                <w:sz w:val="28"/>
                <w:szCs w:val="28"/>
                <w:lang w:eastAsia="en-US"/>
              </w:rPr>
              <w:t>Relații externe, cooperare regională și transfrontalieră, programe și acțiuni cu finanțare externă</w:t>
            </w:r>
          </w:p>
        </w:tc>
        <w:tc>
          <w:tcPr>
            <w:tcW w:w="2693" w:type="dxa"/>
            <w:vAlign w:val="center"/>
          </w:tcPr>
          <w:p w:rsidR="00624714" w:rsidRPr="006109E1" w:rsidRDefault="00C83B6B" w:rsidP="00A77970">
            <w:pPr>
              <w:jc w:val="right"/>
              <w:rPr>
                <w:rFonts w:eastAsiaTheme="minorHAnsi"/>
                <w:sz w:val="28"/>
                <w:szCs w:val="28"/>
                <w:lang w:eastAsia="en-US"/>
              </w:rPr>
            </w:pPr>
            <w:r>
              <w:rPr>
                <w:rFonts w:eastAsiaTheme="minorHAnsi"/>
                <w:sz w:val="28"/>
                <w:szCs w:val="28"/>
                <w:lang w:eastAsia="en-US"/>
              </w:rPr>
              <w:t>125</w:t>
            </w:r>
          </w:p>
        </w:tc>
      </w:tr>
    </w:tbl>
    <w:p w:rsidR="00E95FF6" w:rsidRDefault="00E95FF6" w:rsidP="00A77970">
      <w:pPr>
        <w:pStyle w:val="ListParagraph"/>
        <w:ind w:left="0"/>
        <w:jc w:val="center"/>
        <w:rPr>
          <w:b/>
          <w:sz w:val="28"/>
          <w:szCs w:val="28"/>
          <w:u w:val="single"/>
        </w:rPr>
      </w:pPr>
    </w:p>
    <w:p w:rsidR="008F2BD3" w:rsidRPr="008F2BD3" w:rsidRDefault="008F2BD3" w:rsidP="00A77970">
      <w:pPr>
        <w:pStyle w:val="ListParagraph"/>
        <w:numPr>
          <w:ilvl w:val="0"/>
          <w:numId w:val="1"/>
        </w:numPr>
        <w:ind w:left="0" w:firstLine="0"/>
        <w:jc w:val="center"/>
        <w:rPr>
          <w:b/>
          <w:sz w:val="28"/>
          <w:szCs w:val="28"/>
          <w:u w:val="single"/>
        </w:rPr>
      </w:pPr>
      <w:r w:rsidRPr="008F2BD3">
        <w:rPr>
          <w:b/>
          <w:sz w:val="28"/>
          <w:szCs w:val="28"/>
          <w:u w:val="single"/>
        </w:rPr>
        <w:lastRenderedPageBreak/>
        <w:t>STAREA ECONOMICĂ</w:t>
      </w:r>
    </w:p>
    <w:p w:rsidR="008F2BD3" w:rsidRPr="008F2BD3" w:rsidRDefault="008F2BD3" w:rsidP="00A77970">
      <w:pPr>
        <w:pStyle w:val="ListParagraph"/>
        <w:jc w:val="both"/>
        <w:rPr>
          <w:sz w:val="28"/>
          <w:szCs w:val="28"/>
        </w:rPr>
      </w:pPr>
    </w:p>
    <w:p w:rsidR="0055031A" w:rsidRPr="00B03D9F" w:rsidRDefault="00841078" w:rsidP="00A77970">
      <w:pPr>
        <w:autoSpaceDE w:val="0"/>
        <w:autoSpaceDN w:val="0"/>
        <w:adjustRightInd w:val="0"/>
        <w:jc w:val="both"/>
        <w:rPr>
          <w:b/>
          <w:i/>
          <w:kern w:val="28"/>
          <w:szCs w:val="20"/>
          <w:lang w:eastAsia="en-US"/>
        </w:rPr>
      </w:pPr>
      <w:r>
        <w:rPr>
          <w:kern w:val="28"/>
          <w:szCs w:val="20"/>
          <w:lang w:eastAsia="en-US"/>
        </w:rPr>
        <w:tab/>
      </w:r>
      <w:r w:rsidR="0055031A" w:rsidRPr="0055031A">
        <w:rPr>
          <w:kern w:val="28"/>
          <w:szCs w:val="20"/>
          <w:lang w:eastAsia="en-US"/>
        </w:rPr>
        <w:t>Bucureşti este cel mai prosper oraş din România, fiind unul dintre principalele centre comerciale şi noduri de transport din Europa de Est</w:t>
      </w:r>
      <w:r w:rsidR="00B03D9F">
        <w:rPr>
          <w:kern w:val="28"/>
          <w:szCs w:val="20"/>
          <w:lang w:eastAsia="en-US"/>
        </w:rPr>
        <w:t>.</w:t>
      </w:r>
      <w:r w:rsidR="00B03D9F">
        <w:rPr>
          <w:b/>
          <w:i/>
          <w:kern w:val="28"/>
          <w:szCs w:val="20"/>
          <w:lang w:eastAsia="en-US"/>
        </w:rPr>
        <w:t xml:space="preserve"> </w:t>
      </w:r>
      <w:r w:rsidR="0055031A" w:rsidRPr="0055031A">
        <w:rPr>
          <w:kern w:val="28"/>
          <w:szCs w:val="20"/>
          <w:lang w:eastAsia="en-US"/>
        </w:rPr>
        <w:t>Economia Bucureştiului este în principal axată pe comerţ şi servicii, acestea din urmă crescând în importanţă în special în ultimii ani. Oraşul are peste 100.000 de unităţi locale active (firme), inclusiv sediile sociale pentru aproape toate marile companii care îşi des</w:t>
      </w:r>
      <w:r w:rsidR="00660E31">
        <w:rPr>
          <w:kern w:val="28"/>
          <w:szCs w:val="20"/>
          <w:lang w:eastAsia="en-US"/>
        </w:rPr>
        <w:t>făşoară activitatea în România</w:t>
      </w:r>
      <w:r w:rsidR="0055031A" w:rsidRPr="0055031A">
        <w:rPr>
          <w:b/>
          <w:bCs/>
          <w:iCs/>
          <w:kern w:val="28"/>
          <w:lang w:eastAsia="en-US"/>
        </w:rPr>
        <w:t xml:space="preserve">. </w:t>
      </w:r>
    </w:p>
    <w:p w:rsidR="001A0ECE" w:rsidRPr="0055031A" w:rsidRDefault="001A0ECE" w:rsidP="00A77970">
      <w:pPr>
        <w:autoSpaceDE w:val="0"/>
        <w:autoSpaceDN w:val="0"/>
        <w:adjustRightInd w:val="0"/>
        <w:ind w:firstLine="720"/>
        <w:jc w:val="both"/>
        <w:rPr>
          <w:b/>
          <w:bCs/>
          <w:iCs/>
          <w:kern w:val="28"/>
          <w:lang w:eastAsia="en-US"/>
        </w:rPr>
      </w:pPr>
    </w:p>
    <w:p w:rsidR="001902C0" w:rsidRDefault="00BE4D8C" w:rsidP="00A77970">
      <w:pPr>
        <w:rPr>
          <w:b/>
          <w:kern w:val="28"/>
          <w:lang w:eastAsia="en-US"/>
        </w:rPr>
      </w:pPr>
      <w:r>
        <w:rPr>
          <w:b/>
          <w:kern w:val="28"/>
          <w:lang w:eastAsia="en-US"/>
        </w:rPr>
        <w:tab/>
        <w:t xml:space="preserve">Potrivit Oficiului Național al Registrului Comerțului, în anul </w:t>
      </w:r>
      <w:r w:rsidR="00EC0F8A">
        <w:rPr>
          <w:b/>
          <w:kern w:val="28"/>
          <w:lang w:eastAsia="en-US"/>
        </w:rPr>
        <w:t>2018</w:t>
      </w:r>
      <w:r>
        <w:rPr>
          <w:b/>
          <w:kern w:val="28"/>
          <w:lang w:eastAsia="en-US"/>
        </w:rPr>
        <w:t xml:space="preserve"> au fost înmatriculate 2.3</w:t>
      </w:r>
      <w:r w:rsidR="00EC0F8A">
        <w:rPr>
          <w:b/>
          <w:kern w:val="28"/>
          <w:lang w:eastAsia="en-US"/>
        </w:rPr>
        <w:t>89</w:t>
      </w:r>
      <w:r>
        <w:rPr>
          <w:b/>
          <w:kern w:val="28"/>
          <w:lang w:eastAsia="en-US"/>
        </w:rPr>
        <w:t xml:space="preserve"> societăți comerciale.</w:t>
      </w:r>
    </w:p>
    <w:p w:rsidR="001902C0" w:rsidRPr="0055031A" w:rsidRDefault="001902C0" w:rsidP="00A77970">
      <w:pPr>
        <w:rPr>
          <w:b/>
          <w:kern w:val="28"/>
          <w:lang w:eastAsia="en-US"/>
        </w:rPr>
      </w:pPr>
    </w:p>
    <w:tbl>
      <w:tblPr>
        <w:tblW w:w="9791"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388"/>
        <w:gridCol w:w="1559"/>
        <w:gridCol w:w="2552"/>
        <w:gridCol w:w="1559"/>
        <w:gridCol w:w="1733"/>
      </w:tblGrid>
      <w:tr w:rsidR="0055031A" w:rsidRPr="004D0E4C" w:rsidTr="00C81B08">
        <w:trPr>
          <w:trHeight w:val="272"/>
          <w:jc w:val="center"/>
        </w:trPr>
        <w:tc>
          <w:tcPr>
            <w:tcW w:w="2388" w:type="dxa"/>
            <w:vMerge w:val="restart"/>
            <w:shd w:val="clear" w:color="auto" w:fill="auto"/>
            <w:vAlign w:val="center"/>
          </w:tcPr>
          <w:p w:rsidR="0055031A" w:rsidRPr="004D0E4C" w:rsidRDefault="0055031A" w:rsidP="00A77970">
            <w:pPr>
              <w:jc w:val="center"/>
              <w:rPr>
                <w:rFonts w:eastAsia="Arial Unicode MS"/>
                <w:b/>
                <w:kern w:val="28"/>
                <w:lang w:eastAsia="en-US"/>
              </w:rPr>
            </w:pPr>
          </w:p>
        </w:tc>
        <w:tc>
          <w:tcPr>
            <w:tcW w:w="1559" w:type="dxa"/>
            <w:vMerge w:val="restart"/>
            <w:shd w:val="clear" w:color="auto" w:fill="auto"/>
            <w:vAlign w:val="center"/>
          </w:tcPr>
          <w:p w:rsidR="0055031A" w:rsidRPr="004D0E4C" w:rsidRDefault="0055031A" w:rsidP="00A77970">
            <w:pPr>
              <w:jc w:val="center"/>
              <w:rPr>
                <w:b/>
                <w:kern w:val="28"/>
                <w:lang w:eastAsia="en-US"/>
              </w:rPr>
            </w:pPr>
            <w:r w:rsidRPr="004D0E4C">
              <w:rPr>
                <w:b/>
                <w:kern w:val="28"/>
                <w:lang w:eastAsia="en-US"/>
              </w:rPr>
              <w:t>Societăţi comerciale</w:t>
            </w:r>
          </w:p>
          <w:p w:rsidR="0055031A" w:rsidRPr="004D0E4C" w:rsidRDefault="0055031A" w:rsidP="00A77970">
            <w:pPr>
              <w:jc w:val="center"/>
              <w:rPr>
                <w:rFonts w:eastAsia="Arial Unicode MS"/>
                <w:b/>
                <w:kern w:val="28"/>
                <w:lang w:eastAsia="en-US"/>
              </w:rPr>
            </w:pPr>
            <w:r w:rsidRPr="004D0E4C">
              <w:rPr>
                <w:b/>
                <w:kern w:val="28"/>
                <w:lang w:eastAsia="en-US"/>
              </w:rPr>
              <w:t>-număr-</w:t>
            </w:r>
          </w:p>
        </w:tc>
        <w:tc>
          <w:tcPr>
            <w:tcW w:w="5844" w:type="dxa"/>
            <w:gridSpan w:val="3"/>
            <w:shd w:val="clear" w:color="auto" w:fill="auto"/>
            <w:vAlign w:val="center"/>
          </w:tcPr>
          <w:p w:rsidR="0055031A" w:rsidRPr="004D0E4C" w:rsidRDefault="0055031A" w:rsidP="00A77970">
            <w:pPr>
              <w:jc w:val="center"/>
              <w:rPr>
                <w:rFonts w:eastAsia="Arial Unicode MS"/>
                <w:b/>
                <w:kern w:val="28"/>
                <w:lang w:eastAsia="en-US"/>
              </w:rPr>
            </w:pPr>
            <w:r w:rsidRPr="004D0E4C">
              <w:rPr>
                <w:b/>
                <w:kern w:val="28"/>
                <w:lang w:eastAsia="en-US"/>
              </w:rPr>
              <w:t>Valoarea capitalului social total subscris exprimat în:</w:t>
            </w:r>
          </w:p>
        </w:tc>
      </w:tr>
      <w:tr w:rsidR="0055031A" w:rsidRPr="004D0E4C" w:rsidTr="00C81B08">
        <w:trPr>
          <w:trHeight w:val="272"/>
          <w:jc w:val="center"/>
        </w:trPr>
        <w:tc>
          <w:tcPr>
            <w:tcW w:w="2388" w:type="dxa"/>
            <w:vMerge/>
            <w:shd w:val="clear" w:color="auto" w:fill="auto"/>
            <w:vAlign w:val="center"/>
          </w:tcPr>
          <w:p w:rsidR="0055031A" w:rsidRPr="004D0E4C" w:rsidRDefault="0055031A" w:rsidP="00A77970">
            <w:pPr>
              <w:jc w:val="center"/>
              <w:rPr>
                <w:rFonts w:eastAsia="Arial Unicode MS"/>
                <w:b/>
                <w:kern w:val="28"/>
                <w:lang w:eastAsia="en-US"/>
              </w:rPr>
            </w:pPr>
          </w:p>
        </w:tc>
        <w:tc>
          <w:tcPr>
            <w:tcW w:w="1559" w:type="dxa"/>
            <w:vMerge/>
            <w:shd w:val="clear" w:color="auto" w:fill="auto"/>
            <w:vAlign w:val="center"/>
          </w:tcPr>
          <w:p w:rsidR="0055031A" w:rsidRPr="004D0E4C" w:rsidRDefault="0055031A" w:rsidP="00A77970">
            <w:pPr>
              <w:jc w:val="center"/>
              <w:rPr>
                <w:rFonts w:eastAsia="Arial Unicode MS"/>
                <w:b/>
                <w:kern w:val="28"/>
                <w:lang w:eastAsia="en-US"/>
              </w:rPr>
            </w:pPr>
          </w:p>
        </w:tc>
        <w:tc>
          <w:tcPr>
            <w:tcW w:w="2552" w:type="dxa"/>
            <w:vMerge w:val="restart"/>
            <w:shd w:val="clear" w:color="auto" w:fill="auto"/>
            <w:vAlign w:val="center"/>
          </w:tcPr>
          <w:p w:rsidR="0055031A" w:rsidRPr="004D0E4C" w:rsidRDefault="0055031A" w:rsidP="00A77970">
            <w:pPr>
              <w:jc w:val="center"/>
              <w:rPr>
                <w:b/>
                <w:kern w:val="28"/>
                <w:lang w:eastAsia="en-US"/>
              </w:rPr>
            </w:pPr>
            <w:r w:rsidRPr="004D0E4C">
              <w:rPr>
                <w:b/>
                <w:kern w:val="28"/>
                <w:lang w:eastAsia="en-US"/>
              </w:rPr>
              <w:t xml:space="preserve">Moneda naţională </w:t>
            </w:r>
          </w:p>
          <w:p w:rsidR="0055031A" w:rsidRPr="004D0E4C" w:rsidRDefault="0055031A" w:rsidP="00A77970">
            <w:pPr>
              <w:jc w:val="center"/>
              <w:rPr>
                <w:rFonts w:eastAsia="Arial Unicode MS"/>
                <w:b/>
                <w:kern w:val="28"/>
                <w:lang w:eastAsia="en-US"/>
              </w:rPr>
            </w:pPr>
            <w:r w:rsidRPr="004D0E4C">
              <w:rPr>
                <w:b/>
                <w:kern w:val="28"/>
                <w:lang w:eastAsia="en-US"/>
              </w:rPr>
              <w:t>- mii lei -</w:t>
            </w:r>
          </w:p>
        </w:tc>
        <w:tc>
          <w:tcPr>
            <w:tcW w:w="3292" w:type="dxa"/>
            <w:gridSpan w:val="2"/>
            <w:shd w:val="clear" w:color="auto" w:fill="auto"/>
            <w:vAlign w:val="center"/>
          </w:tcPr>
          <w:p w:rsidR="0055031A" w:rsidRPr="004D0E4C" w:rsidRDefault="0055031A" w:rsidP="00A77970">
            <w:pPr>
              <w:jc w:val="center"/>
              <w:rPr>
                <w:rFonts w:eastAsia="Arial Unicode MS"/>
                <w:b/>
                <w:kern w:val="28"/>
                <w:lang w:eastAsia="en-US"/>
              </w:rPr>
            </w:pPr>
            <w:r w:rsidRPr="004D0E4C">
              <w:rPr>
                <w:b/>
                <w:kern w:val="28"/>
                <w:lang w:eastAsia="en-US"/>
              </w:rPr>
              <w:t>Valută</w:t>
            </w:r>
          </w:p>
        </w:tc>
      </w:tr>
      <w:tr w:rsidR="0055031A" w:rsidRPr="004D0E4C" w:rsidTr="00C81B08">
        <w:trPr>
          <w:trHeight w:val="272"/>
          <w:jc w:val="center"/>
        </w:trPr>
        <w:tc>
          <w:tcPr>
            <w:tcW w:w="2388" w:type="dxa"/>
            <w:vMerge/>
            <w:shd w:val="clear" w:color="auto" w:fill="auto"/>
            <w:vAlign w:val="center"/>
          </w:tcPr>
          <w:p w:rsidR="0055031A" w:rsidRPr="004D0E4C" w:rsidRDefault="0055031A" w:rsidP="00A77970">
            <w:pPr>
              <w:jc w:val="center"/>
              <w:rPr>
                <w:rFonts w:eastAsia="Arial Unicode MS"/>
                <w:b/>
                <w:kern w:val="28"/>
                <w:lang w:eastAsia="en-US"/>
              </w:rPr>
            </w:pPr>
          </w:p>
        </w:tc>
        <w:tc>
          <w:tcPr>
            <w:tcW w:w="1559" w:type="dxa"/>
            <w:vMerge/>
            <w:shd w:val="clear" w:color="auto" w:fill="auto"/>
            <w:vAlign w:val="center"/>
          </w:tcPr>
          <w:p w:rsidR="0055031A" w:rsidRPr="004D0E4C" w:rsidRDefault="0055031A" w:rsidP="00A77970">
            <w:pPr>
              <w:jc w:val="center"/>
              <w:rPr>
                <w:rFonts w:eastAsia="Arial Unicode MS"/>
                <w:b/>
                <w:kern w:val="28"/>
                <w:lang w:eastAsia="en-US"/>
              </w:rPr>
            </w:pPr>
          </w:p>
        </w:tc>
        <w:tc>
          <w:tcPr>
            <w:tcW w:w="2552" w:type="dxa"/>
            <w:vMerge/>
            <w:shd w:val="clear" w:color="auto" w:fill="auto"/>
            <w:vAlign w:val="center"/>
          </w:tcPr>
          <w:p w:rsidR="0055031A" w:rsidRPr="004D0E4C" w:rsidRDefault="0055031A" w:rsidP="00A77970">
            <w:pPr>
              <w:jc w:val="center"/>
              <w:rPr>
                <w:rFonts w:eastAsia="Arial Unicode MS"/>
                <w:b/>
                <w:kern w:val="28"/>
                <w:lang w:eastAsia="en-US"/>
              </w:rPr>
            </w:pPr>
          </w:p>
        </w:tc>
        <w:tc>
          <w:tcPr>
            <w:tcW w:w="1559" w:type="dxa"/>
            <w:shd w:val="clear" w:color="auto" w:fill="auto"/>
            <w:vAlign w:val="center"/>
          </w:tcPr>
          <w:p w:rsidR="0055031A" w:rsidRPr="004D0E4C" w:rsidRDefault="0055031A" w:rsidP="00A77970">
            <w:pPr>
              <w:jc w:val="center"/>
              <w:rPr>
                <w:rFonts w:eastAsia="Arial Unicode MS"/>
                <w:b/>
                <w:kern w:val="28"/>
                <w:lang w:eastAsia="en-US"/>
              </w:rPr>
            </w:pPr>
            <w:r w:rsidRPr="004D0E4C">
              <w:rPr>
                <w:b/>
                <w:kern w:val="28"/>
                <w:lang w:eastAsia="en-US"/>
              </w:rPr>
              <w:t>- Dolari SUA -</w:t>
            </w:r>
          </w:p>
        </w:tc>
        <w:tc>
          <w:tcPr>
            <w:tcW w:w="1733" w:type="dxa"/>
            <w:shd w:val="clear" w:color="auto" w:fill="auto"/>
            <w:vAlign w:val="center"/>
          </w:tcPr>
          <w:p w:rsidR="0055031A" w:rsidRPr="004D0E4C" w:rsidRDefault="0055031A" w:rsidP="00A77970">
            <w:pPr>
              <w:jc w:val="center"/>
              <w:rPr>
                <w:rFonts w:eastAsia="Arial Unicode MS"/>
                <w:b/>
                <w:kern w:val="28"/>
                <w:lang w:eastAsia="en-US"/>
              </w:rPr>
            </w:pPr>
            <w:r w:rsidRPr="004D0E4C">
              <w:rPr>
                <w:b/>
                <w:kern w:val="28"/>
                <w:lang w:eastAsia="en-US"/>
              </w:rPr>
              <w:t>- EURO -</w:t>
            </w:r>
          </w:p>
        </w:tc>
      </w:tr>
      <w:tr w:rsidR="0055031A" w:rsidRPr="004D0E4C" w:rsidTr="00EC0F8A">
        <w:trPr>
          <w:trHeight w:val="340"/>
          <w:jc w:val="center"/>
        </w:trPr>
        <w:tc>
          <w:tcPr>
            <w:tcW w:w="2388" w:type="dxa"/>
            <w:shd w:val="clear" w:color="auto" w:fill="auto"/>
            <w:tcMar>
              <w:left w:w="57" w:type="dxa"/>
              <w:right w:w="57" w:type="dxa"/>
            </w:tcMar>
            <w:vAlign w:val="center"/>
          </w:tcPr>
          <w:p w:rsidR="0055031A" w:rsidRPr="004D0E4C" w:rsidRDefault="0055031A" w:rsidP="00A77970">
            <w:pPr>
              <w:tabs>
                <w:tab w:val="right" w:pos="9866"/>
              </w:tabs>
              <w:rPr>
                <w:i/>
                <w:kern w:val="28"/>
                <w:lang w:eastAsia="en-US"/>
              </w:rPr>
            </w:pPr>
            <w:r w:rsidRPr="004D0E4C">
              <w:rPr>
                <w:kern w:val="28"/>
                <w:lang w:eastAsia="en-US"/>
              </w:rPr>
              <w:t>Municipiul Bucureşti</w:t>
            </w:r>
          </w:p>
        </w:tc>
        <w:tc>
          <w:tcPr>
            <w:tcW w:w="1559" w:type="dxa"/>
            <w:shd w:val="clear" w:color="auto" w:fill="auto"/>
            <w:vAlign w:val="center"/>
          </w:tcPr>
          <w:p w:rsidR="0055031A" w:rsidRPr="004D0E4C" w:rsidRDefault="0055031A" w:rsidP="00A77970">
            <w:pPr>
              <w:jc w:val="center"/>
              <w:rPr>
                <w:color w:val="000000"/>
                <w:lang w:val="en-US" w:eastAsia="en-US"/>
              </w:rPr>
            </w:pPr>
            <w:r w:rsidRPr="004D0E4C">
              <w:rPr>
                <w:color w:val="000000"/>
                <w:kern w:val="28"/>
                <w:lang w:val="en-US" w:eastAsia="en-US"/>
              </w:rPr>
              <w:t>2</w:t>
            </w:r>
            <w:r w:rsidR="004D0E4C">
              <w:rPr>
                <w:color w:val="000000"/>
                <w:kern w:val="28"/>
                <w:lang w:val="en-US" w:eastAsia="en-US"/>
              </w:rPr>
              <w:t>.</w:t>
            </w:r>
            <w:r w:rsidRPr="004D0E4C">
              <w:rPr>
                <w:color w:val="000000"/>
                <w:kern w:val="28"/>
                <w:lang w:val="en-US" w:eastAsia="en-US"/>
              </w:rPr>
              <w:t>3</w:t>
            </w:r>
            <w:r w:rsidR="00EC0F8A">
              <w:rPr>
                <w:color w:val="000000"/>
                <w:kern w:val="28"/>
                <w:lang w:val="en-US" w:eastAsia="en-US"/>
              </w:rPr>
              <w:t>89</w:t>
            </w:r>
          </w:p>
        </w:tc>
        <w:tc>
          <w:tcPr>
            <w:tcW w:w="2552" w:type="dxa"/>
            <w:shd w:val="clear" w:color="auto" w:fill="auto"/>
            <w:tcMar>
              <w:right w:w="227" w:type="dxa"/>
            </w:tcMar>
            <w:vAlign w:val="center"/>
          </w:tcPr>
          <w:p w:rsidR="0055031A" w:rsidRPr="004D0E4C" w:rsidRDefault="00EC0F8A" w:rsidP="00A77970">
            <w:pPr>
              <w:jc w:val="center"/>
              <w:rPr>
                <w:color w:val="000000"/>
                <w:kern w:val="28"/>
                <w:lang w:val="en-US" w:eastAsia="en-US"/>
              </w:rPr>
            </w:pPr>
            <w:r>
              <w:rPr>
                <w:color w:val="000000"/>
                <w:kern w:val="28"/>
                <w:lang w:val="en-US" w:eastAsia="en-US"/>
              </w:rPr>
              <w:t>119.137,3</w:t>
            </w:r>
          </w:p>
        </w:tc>
        <w:tc>
          <w:tcPr>
            <w:tcW w:w="1559" w:type="dxa"/>
            <w:shd w:val="clear" w:color="auto" w:fill="auto"/>
            <w:tcMar>
              <w:right w:w="227" w:type="dxa"/>
            </w:tcMar>
            <w:vAlign w:val="center"/>
          </w:tcPr>
          <w:p w:rsidR="0055031A" w:rsidRPr="004D0E4C" w:rsidRDefault="00EC0F8A" w:rsidP="00A77970">
            <w:pPr>
              <w:jc w:val="center"/>
              <w:rPr>
                <w:color w:val="000000"/>
                <w:kern w:val="28"/>
                <w:lang w:val="en-US" w:eastAsia="en-US"/>
              </w:rPr>
            </w:pPr>
            <w:r>
              <w:rPr>
                <w:color w:val="000000"/>
                <w:kern w:val="28"/>
                <w:lang w:val="en-US" w:eastAsia="en-US"/>
              </w:rPr>
              <w:t>30.850.258,9</w:t>
            </w:r>
          </w:p>
        </w:tc>
        <w:tc>
          <w:tcPr>
            <w:tcW w:w="1733" w:type="dxa"/>
            <w:shd w:val="clear" w:color="auto" w:fill="auto"/>
            <w:tcMar>
              <w:right w:w="227" w:type="dxa"/>
            </w:tcMar>
            <w:vAlign w:val="center"/>
          </w:tcPr>
          <w:p w:rsidR="0055031A" w:rsidRPr="004D0E4C" w:rsidRDefault="0055031A" w:rsidP="00A77970">
            <w:pPr>
              <w:jc w:val="center"/>
              <w:rPr>
                <w:color w:val="000000"/>
                <w:kern w:val="28"/>
                <w:lang w:val="en-US" w:eastAsia="en-US"/>
              </w:rPr>
            </w:pPr>
            <w:r w:rsidRPr="004D0E4C">
              <w:rPr>
                <w:color w:val="000000"/>
                <w:kern w:val="28"/>
                <w:lang w:val="en-US" w:eastAsia="en-US"/>
              </w:rPr>
              <w:t>2</w:t>
            </w:r>
            <w:r w:rsidR="00EC0F8A">
              <w:rPr>
                <w:color w:val="000000"/>
                <w:kern w:val="28"/>
                <w:lang w:val="en-US" w:eastAsia="en-US"/>
              </w:rPr>
              <w:t>5</w:t>
            </w:r>
            <w:r w:rsidR="004D0E4C">
              <w:rPr>
                <w:color w:val="000000"/>
                <w:kern w:val="28"/>
                <w:lang w:val="en-US" w:eastAsia="en-US"/>
              </w:rPr>
              <w:t>.</w:t>
            </w:r>
            <w:r w:rsidR="00EC0F8A">
              <w:rPr>
                <w:color w:val="000000"/>
                <w:kern w:val="28"/>
                <w:lang w:val="en-US" w:eastAsia="en-US"/>
              </w:rPr>
              <w:t>589</w:t>
            </w:r>
            <w:r w:rsidR="004D0E4C">
              <w:rPr>
                <w:color w:val="000000"/>
                <w:kern w:val="28"/>
                <w:lang w:val="en-US" w:eastAsia="en-US"/>
              </w:rPr>
              <w:t>.</w:t>
            </w:r>
            <w:r w:rsidR="00EC0F8A">
              <w:rPr>
                <w:color w:val="000000"/>
                <w:kern w:val="28"/>
                <w:lang w:val="en-US" w:eastAsia="en-US"/>
              </w:rPr>
              <w:t>098,3</w:t>
            </w:r>
          </w:p>
        </w:tc>
      </w:tr>
    </w:tbl>
    <w:p w:rsidR="00BE4D8C" w:rsidRDefault="001A0ECE" w:rsidP="00A77970">
      <w:pPr>
        <w:jc w:val="both"/>
        <w:rPr>
          <w:b/>
          <w:bCs/>
          <w:kern w:val="28"/>
          <w:lang w:eastAsia="en-US"/>
        </w:rPr>
      </w:pPr>
      <w:r>
        <w:rPr>
          <w:b/>
          <w:bCs/>
          <w:kern w:val="28"/>
          <w:lang w:eastAsia="en-US"/>
        </w:rPr>
        <w:tab/>
      </w:r>
    </w:p>
    <w:p w:rsidR="007E3897" w:rsidRPr="007E3897" w:rsidRDefault="00BE4D8C" w:rsidP="00A77970">
      <w:pPr>
        <w:jc w:val="both"/>
        <w:rPr>
          <w:kern w:val="28"/>
          <w:szCs w:val="20"/>
          <w:lang w:eastAsia="en-US"/>
        </w:rPr>
      </w:pPr>
      <w:r>
        <w:rPr>
          <w:b/>
          <w:bCs/>
          <w:kern w:val="28"/>
          <w:lang w:eastAsia="en-US"/>
        </w:rPr>
        <w:tab/>
      </w:r>
      <w:r w:rsidR="007E3897" w:rsidRPr="007E3897">
        <w:rPr>
          <w:b/>
          <w:kern w:val="28"/>
          <w:szCs w:val="20"/>
          <w:lang w:eastAsia="en-US"/>
        </w:rPr>
        <w:t>Câştigul salarial mediu net</w:t>
      </w:r>
      <w:r w:rsidR="00660E31">
        <w:rPr>
          <w:b/>
          <w:kern w:val="28"/>
          <w:szCs w:val="20"/>
          <w:lang w:eastAsia="en-US"/>
        </w:rPr>
        <w:t xml:space="preserve"> (</w:t>
      </w:r>
      <w:r w:rsidR="00660E31" w:rsidRPr="007E3897">
        <w:rPr>
          <w:kern w:val="28"/>
          <w:lang w:eastAsia="en-US"/>
        </w:rPr>
        <w:t>se obţine prin scăderea din câştigul salarial nominal brut a: impozitului, contribuţiei salariaţilor pentru asigurările sociale de sănătate, contribuţiei individuale de asigurări sociale de stat şi a contribuţiei salariaţilor la bugetul asigurărilor pentru şomaj</w:t>
      </w:r>
      <w:r w:rsidR="00660E31">
        <w:rPr>
          <w:kern w:val="28"/>
          <w:lang w:eastAsia="en-US"/>
        </w:rPr>
        <w:t xml:space="preserve">) </w:t>
      </w:r>
      <w:r w:rsidR="007E3897" w:rsidRPr="007E3897">
        <w:rPr>
          <w:kern w:val="28"/>
          <w:szCs w:val="20"/>
          <w:lang w:eastAsia="en-US"/>
        </w:rPr>
        <w:t>în luna decembrie 201</w:t>
      </w:r>
      <w:r w:rsidR="00B03659">
        <w:rPr>
          <w:kern w:val="28"/>
          <w:szCs w:val="20"/>
          <w:lang w:eastAsia="en-US"/>
        </w:rPr>
        <w:t>8</w:t>
      </w:r>
      <w:r w:rsidR="007E3897" w:rsidRPr="007E3897">
        <w:rPr>
          <w:kern w:val="28"/>
          <w:szCs w:val="20"/>
          <w:lang w:eastAsia="en-US"/>
        </w:rPr>
        <w:t xml:space="preserve">, la nivelul Municipiului Bucureşti, a fost de </w:t>
      </w:r>
      <w:r w:rsidR="00B03659">
        <w:rPr>
          <w:kern w:val="28"/>
          <w:szCs w:val="20"/>
          <w:lang w:eastAsia="en-US"/>
        </w:rPr>
        <w:t>3.882</w:t>
      </w:r>
      <w:r w:rsidR="007E3897" w:rsidRPr="007E3897">
        <w:rPr>
          <w:b/>
          <w:kern w:val="28"/>
          <w:szCs w:val="20"/>
          <w:lang w:eastAsia="en-US"/>
        </w:rPr>
        <w:t xml:space="preserve"> </w:t>
      </w:r>
      <w:r w:rsidR="007E3897" w:rsidRPr="007E3897">
        <w:rPr>
          <w:kern w:val="28"/>
          <w:szCs w:val="20"/>
          <w:lang w:eastAsia="en-US"/>
        </w:rPr>
        <w:t>lei/persoană</w:t>
      </w:r>
      <w:r w:rsidR="00660E31">
        <w:rPr>
          <w:kern w:val="28"/>
          <w:szCs w:val="20"/>
          <w:lang w:eastAsia="en-US"/>
        </w:rPr>
        <w:t>, iar evoluția acestuia se reflectă în tabelul următor:</w:t>
      </w:r>
    </w:p>
    <w:p w:rsidR="007E3897" w:rsidRPr="007E3897" w:rsidRDefault="007E3897" w:rsidP="00A77970">
      <w:pPr>
        <w:jc w:val="right"/>
        <w:rPr>
          <w:sz w:val="18"/>
          <w:szCs w:val="18"/>
          <w:lang w:eastAsia="en-US"/>
        </w:rPr>
      </w:pPr>
      <w:r w:rsidRPr="004D0E4C">
        <w:rPr>
          <w:lang w:eastAsia="en-US"/>
        </w:rPr>
        <w:t>- lei/persoană</w:t>
      </w:r>
      <w:r w:rsidRPr="007E3897">
        <w:rPr>
          <w:sz w:val="18"/>
          <w:szCs w:val="18"/>
          <w:lang w:eastAsia="en-US"/>
        </w:rPr>
        <w:t xml:space="preserve"> -</w:t>
      </w:r>
    </w:p>
    <w:tbl>
      <w:tblPr>
        <w:tblW w:w="10038" w:type="dxa"/>
        <w:jc w:val="center"/>
        <w:tblInd w:w="287" w:type="dxa"/>
        <w:tblLayout w:type="fixed"/>
        <w:tblCellMar>
          <w:left w:w="0" w:type="dxa"/>
          <w:right w:w="0" w:type="dxa"/>
        </w:tblCellMar>
        <w:tblLook w:val="0000"/>
      </w:tblPr>
      <w:tblGrid>
        <w:gridCol w:w="3261"/>
        <w:gridCol w:w="567"/>
        <w:gridCol w:w="567"/>
        <w:gridCol w:w="567"/>
        <w:gridCol w:w="567"/>
        <w:gridCol w:w="567"/>
        <w:gridCol w:w="567"/>
        <w:gridCol w:w="567"/>
        <w:gridCol w:w="567"/>
        <w:gridCol w:w="567"/>
        <w:gridCol w:w="567"/>
        <w:gridCol w:w="567"/>
        <w:gridCol w:w="540"/>
      </w:tblGrid>
      <w:tr w:rsidR="007E3897" w:rsidRPr="007E3897" w:rsidTr="004D0E4C">
        <w:trPr>
          <w:cantSplit/>
          <w:trHeight w:val="272"/>
          <w:jc w:val="center"/>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E3897" w:rsidRPr="007E3897" w:rsidRDefault="007E3897" w:rsidP="00A77970">
            <w:pPr>
              <w:jc w:val="center"/>
              <w:rPr>
                <w:rFonts w:eastAsia="Arial Unicode MS"/>
                <w:b/>
                <w:kern w:val="28"/>
                <w:sz w:val="18"/>
                <w:szCs w:val="18"/>
                <w:lang w:eastAsia="en-US"/>
              </w:rPr>
            </w:pPr>
            <w:r w:rsidRPr="007E3897">
              <w:rPr>
                <w:b/>
                <w:kern w:val="28"/>
                <w:sz w:val="18"/>
                <w:szCs w:val="18"/>
                <w:lang w:eastAsia="en-US"/>
              </w:rPr>
              <w:t> </w:t>
            </w:r>
          </w:p>
        </w:tc>
        <w:tc>
          <w:tcPr>
            <w:tcW w:w="6777"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7E3897" w:rsidRPr="007E3897" w:rsidRDefault="007E3897" w:rsidP="00A77970">
            <w:pPr>
              <w:jc w:val="center"/>
              <w:rPr>
                <w:rFonts w:eastAsia="Arial Unicode MS"/>
                <w:b/>
                <w:kern w:val="28"/>
                <w:sz w:val="18"/>
                <w:szCs w:val="18"/>
                <w:lang w:eastAsia="en-US"/>
              </w:rPr>
            </w:pPr>
            <w:r w:rsidRPr="007E3897">
              <w:rPr>
                <w:rFonts w:eastAsia="Arial Unicode MS"/>
                <w:b/>
                <w:kern w:val="28"/>
                <w:sz w:val="18"/>
                <w:szCs w:val="18"/>
                <w:lang w:eastAsia="en-US"/>
              </w:rPr>
              <w:t>Anul 201</w:t>
            </w:r>
            <w:r w:rsidR="00B03659">
              <w:rPr>
                <w:rFonts w:eastAsia="Arial Unicode MS"/>
                <w:b/>
                <w:kern w:val="28"/>
                <w:sz w:val="18"/>
                <w:szCs w:val="18"/>
                <w:lang w:eastAsia="en-US"/>
              </w:rPr>
              <w:t>8</w:t>
            </w:r>
          </w:p>
        </w:tc>
      </w:tr>
      <w:tr w:rsidR="007E3897" w:rsidRPr="007E3897" w:rsidTr="004D0E4C">
        <w:trPr>
          <w:cantSplit/>
          <w:trHeight w:val="272"/>
          <w:jc w:val="center"/>
        </w:trPr>
        <w:tc>
          <w:tcPr>
            <w:tcW w:w="326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E3897" w:rsidRPr="007E3897" w:rsidRDefault="007E3897" w:rsidP="00A77970">
            <w:pPr>
              <w:rPr>
                <w:rFonts w:eastAsia="Arial Unicode MS"/>
                <w:b/>
                <w:kern w:val="28"/>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E3897" w:rsidRPr="007E3897" w:rsidRDefault="007E3897" w:rsidP="00A77970">
            <w:pPr>
              <w:jc w:val="center"/>
              <w:rPr>
                <w:rFonts w:eastAsia="Arial Unicode MS"/>
                <w:b/>
                <w:kern w:val="28"/>
                <w:sz w:val="18"/>
                <w:szCs w:val="18"/>
                <w:lang w:eastAsia="en-US"/>
              </w:rPr>
            </w:pPr>
            <w:r w:rsidRPr="007E3897">
              <w:rPr>
                <w:b/>
                <w:kern w:val="28"/>
                <w:sz w:val="18"/>
                <w:szCs w:val="18"/>
                <w:lang w:eastAsia="en-US"/>
              </w:rPr>
              <w:t>ian.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E3897" w:rsidRPr="007E3897" w:rsidRDefault="007E3897" w:rsidP="00A77970">
            <w:pPr>
              <w:jc w:val="center"/>
              <w:rPr>
                <w:rFonts w:eastAsia="Arial Unicode MS"/>
                <w:b/>
                <w:kern w:val="28"/>
                <w:sz w:val="18"/>
                <w:szCs w:val="18"/>
                <w:lang w:eastAsia="en-US"/>
              </w:rPr>
            </w:pPr>
            <w:r w:rsidRPr="007E3897">
              <w:rPr>
                <w:b/>
                <w:kern w:val="28"/>
                <w:sz w:val="18"/>
                <w:szCs w:val="18"/>
                <w:lang w:eastAsia="en-US"/>
              </w:rPr>
              <w:t>feb.</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E3897" w:rsidRPr="007E3897" w:rsidRDefault="007E3897" w:rsidP="00A77970">
            <w:pPr>
              <w:jc w:val="center"/>
              <w:rPr>
                <w:rFonts w:eastAsia="Arial Unicode MS"/>
                <w:b/>
                <w:kern w:val="28"/>
                <w:sz w:val="18"/>
                <w:szCs w:val="18"/>
                <w:lang w:eastAsia="en-US"/>
              </w:rPr>
            </w:pPr>
            <w:r w:rsidRPr="007E3897">
              <w:rPr>
                <w:b/>
                <w:kern w:val="28"/>
                <w:sz w:val="18"/>
                <w:szCs w:val="18"/>
                <w:lang w:eastAsia="en-US"/>
              </w:rPr>
              <w:t>mar.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E3897" w:rsidRPr="007E3897" w:rsidRDefault="007E3897" w:rsidP="00A77970">
            <w:pPr>
              <w:jc w:val="center"/>
              <w:rPr>
                <w:rFonts w:eastAsia="Arial Unicode MS"/>
                <w:b/>
                <w:kern w:val="28"/>
                <w:sz w:val="18"/>
                <w:szCs w:val="18"/>
                <w:lang w:eastAsia="en-US"/>
              </w:rPr>
            </w:pPr>
            <w:r w:rsidRPr="007E3897">
              <w:rPr>
                <w:b/>
                <w:kern w:val="28"/>
                <w:sz w:val="18"/>
                <w:szCs w:val="18"/>
                <w:lang w:eastAsia="en-US"/>
              </w:rPr>
              <w:t>apr.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E3897" w:rsidRPr="007E3897" w:rsidRDefault="007E3897" w:rsidP="00A77970">
            <w:pPr>
              <w:jc w:val="center"/>
              <w:rPr>
                <w:rFonts w:eastAsia="Arial Unicode MS"/>
                <w:b/>
                <w:kern w:val="28"/>
                <w:sz w:val="18"/>
                <w:szCs w:val="18"/>
                <w:lang w:eastAsia="en-US"/>
              </w:rPr>
            </w:pPr>
            <w:r w:rsidRPr="007E3897">
              <w:rPr>
                <w:b/>
                <w:kern w:val="28"/>
                <w:sz w:val="18"/>
                <w:szCs w:val="18"/>
                <w:lang w:eastAsia="en-US"/>
              </w:rPr>
              <w:t>mai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E3897" w:rsidRPr="007E3897" w:rsidRDefault="007E3897" w:rsidP="00A77970">
            <w:pPr>
              <w:jc w:val="center"/>
              <w:rPr>
                <w:rFonts w:eastAsia="Arial Unicode MS"/>
                <w:b/>
                <w:kern w:val="28"/>
                <w:sz w:val="18"/>
                <w:szCs w:val="18"/>
                <w:lang w:eastAsia="en-US"/>
              </w:rPr>
            </w:pPr>
            <w:r w:rsidRPr="007E3897">
              <w:rPr>
                <w:b/>
                <w:kern w:val="28"/>
                <w:sz w:val="18"/>
                <w:szCs w:val="18"/>
                <w:lang w:eastAsia="en-US"/>
              </w:rPr>
              <w:t>iun.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E3897" w:rsidRPr="007E3897" w:rsidRDefault="007E3897" w:rsidP="00A77970">
            <w:pPr>
              <w:jc w:val="center"/>
              <w:rPr>
                <w:rFonts w:eastAsia="Arial Unicode MS"/>
                <w:b/>
                <w:kern w:val="28"/>
                <w:sz w:val="18"/>
                <w:szCs w:val="18"/>
                <w:lang w:eastAsia="en-US"/>
              </w:rPr>
            </w:pPr>
            <w:r w:rsidRPr="007E3897">
              <w:rPr>
                <w:b/>
                <w:kern w:val="28"/>
                <w:sz w:val="18"/>
                <w:szCs w:val="18"/>
                <w:lang w:eastAsia="en-US"/>
              </w:rPr>
              <w:t>iul.</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E3897" w:rsidRPr="007E3897" w:rsidRDefault="007E3897" w:rsidP="00A77970">
            <w:pPr>
              <w:jc w:val="center"/>
              <w:rPr>
                <w:rFonts w:eastAsia="Arial Unicode MS"/>
                <w:b/>
                <w:kern w:val="28"/>
                <w:sz w:val="18"/>
                <w:szCs w:val="18"/>
                <w:lang w:eastAsia="en-US"/>
              </w:rPr>
            </w:pPr>
            <w:r w:rsidRPr="007E3897">
              <w:rPr>
                <w:b/>
                <w:kern w:val="28"/>
                <w:sz w:val="18"/>
                <w:szCs w:val="18"/>
                <w:lang w:eastAsia="en-US"/>
              </w:rPr>
              <w:t>aug.</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E3897" w:rsidRPr="007E3897" w:rsidRDefault="007E3897" w:rsidP="00A77970">
            <w:pPr>
              <w:jc w:val="center"/>
              <w:rPr>
                <w:rFonts w:eastAsia="Arial Unicode MS"/>
                <w:b/>
                <w:kern w:val="28"/>
                <w:sz w:val="18"/>
                <w:szCs w:val="18"/>
                <w:lang w:eastAsia="en-US"/>
              </w:rPr>
            </w:pPr>
            <w:r w:rsidRPr="007E3897">
              <w:rPr>
                <w:b/>
                <w:kern w:val="28"/>
                <w:sz w:val="18"/>
                <w:szCs w:val="18"/>
                <w:lang w:eastAsia="en-US"/>
              </w:rPr>
              <w:t>sep.</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E3897" w:rsidRPr="007E3897" w:rsidRDefault="007E3897" w:rsidP="00A77970">
            <w:pPr>
              <w:jc w:val="center"/>
              <w:rPr>
                <w:rFonts w:eastAsia="Arial Unicode MS"/>
                <w:b/>
                <w:kern w:val="28"/>
                <w:sz w:val="18"/>
                <w:szCs w:val="18"/>
                <w:lang w:eastAsia="en-US"/>
              </w:rPr>
            </w:pPr>
            <w:r w:rsidRPr="007E3897">
              <w:rPr>
                <w:b/>
                <w:kern w:val="28"/>
                <w:sz w:val="18"/>
                <w:szCs w:val="18"/>
                <w:lang w:eastAsia="en-US"/>
              </w:rPr>
              <w:t>oct.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E3897" w:rsidRPr="007E3897" w:rsidRDefault="007E3897" w:rsidP="00A77970">
            <w:pPr>
              <w:jc w:val="center"/>
              <w:rPr>
                <w:rFonts w:eastAsia="Arial Unicode MS"/>
                <w:b/>
                <w:kern w:val="28"/>
                <w:sz w:val="18"/>
                <w:szCs w:val="18"/>
                <w:lang w:eastAsia="en-US"/>
              </w:rPr>
            </w:pPr>
            <w:r w:rsidRPr="007E3897">
              <w:rPr>
                <w:rFonts w:eastAsia="Arial Unicode MS"/>
                <w:b/>
                <w:kern w:val="28"/>
                <w:sz w:val="18"/>
                <w:szCs w:val="18"/>
                <w:lang w:eastAsia="en-US"/>
              </w:rPr>
              <w:t>nov.</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E3897" w:rsidRPr="007E3897" w:rsidRDefault="007E3897" w:rsidP="00A77970">
            <w:pPr>
              <w:jc w:val="center"/>
              <w:rPr>
                <w:rFonts w:eastAsia="Arial Unicode MS"/>
                <w:b/>
                <w:kern w:val="28"/>
                <w:sz w:val="18"/>
                <w:szCs w:val="18"/>
                <w:lang w:eastAsia="en-US"/>
              </w:rPr>
            </w:pPr>
            <w:r w:rsidRPr="007E3897">
              <w:rPr>
                <w:rFonts w:eastAsia="Arial Unicode MS"/>
                <w:b/>
                <w:kern w:val="28"/>
                <w:sz w:val="18"/>
                <w:szCs w:val="18"/>
                <w:lang w:eastAsia="en-US"/>
              </w:rPr>
              <w:t>dec.</w:t>
            </w:r>
          </w:p>
        </w:tc>
      </w:tr>
      <w:tr w:rsidR="00B03659" w:rsidRPr="007E3897" w:rsidTr="00B03659">
        <w:trPr>
          <w:cantSplit/>
          <w:trHeight w:val="272"/>
          <w:jc w:val="center"/>
        </w:trPr>
        <w:tc>
          <w:tcPr>
            <w:tcW w:w="3261" w:type="dxa"/>
            <w:tcBorders>
              <w:top w:val="single" w:sz="4" w:space="0" w:color="auto"/>
              <w:left w:val="single" w:sz="4" w:space="0" w:color="auto"/>
              <w:bottom w:val="single" w:sz="4" w:space="0" w:color="auto"/>
              <w:right w:val="single" w:sz="4" w:space="0" w:color="auto"/>
            </w:tcBorders>
            <w:vAlign w:val="center"/>
          </w:tcPr>
          <w:p w:rsidR="00B03659" w:rsidRPr="00660E31" w:rsidRDefault="00B03659" w:rsidP="00A77970">
            <w:pPr>
              <w:tabs>
                <w:tab w:val="left" w:pos="304"/>
              </w:tabs>
              <w:ind w:left="113"/>
              <w:rPr>
                <w:b/>
                <w:kern w:val="28"/>
                <w:lang w:eastAsia="en-US"/>
              </w:rPr>
            </w:pPr>
            <w:r w:rsidRPr="00660E31">
              <w:rPr>
                <w:b/>
                <w:kern w:val="28"/>
                <w:lang w:eastAsia="en-US"/>
              </w:rPr>
              <w:t xml:space="preserve">Total </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b/>
                <w:bCs/>
                <w:sz w:val="20"/>
                <w:szCs w:val="20"/>
              </w:rPr>
            </w:pPr>
            <w:r w:rsidRPr="00B03659">
              <w:rPr>
                <w:b/>
                <w:bCs/>
                <w:sz w:val="20"/>
                <w:szCs w:val="20"/>
              </w:rPr>
              <w:t>3228</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b/>
                <w:bCs/>
                <w:sz w:val="20"/>
                <w:szCs w:val="20"/>
              </w:rPr>
            </w:pPr>
            <w:r w:rsidRPr="00B03659">
              <w:rPr>
                <w:b/>
                <w:bCs/>
                <w:sz w:val="20"/>
                <w:szCs w:val="20"/>
              </w:rPr>
              <w:t>3209</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b/>
                <w:bCs/>
                <w:sz w:val="20"/>
                <w:szCs w:val="20"/>
              </w:rPr>
            </w:pPr>
            <w:r w:rsidRPr="00B03659">
              <w:rPr>
                <w:b/>
                <w:bCs/>
                <w:sz w:val="20"/>
                <w:szCs w:val="20"/>
              </w:rPr>
              <w:t>3555</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b/>
                <w:bCs/>
                <w:sz w:val="20"/>
                <w:szCs w:val="20"/>
              </w:rPr>
            </w:pPr>
            <w:r w:rsidRPr="00B03659">
              <w:rPr>
                <w:b/>
                <w:bCs/>
                <w:sz w:val="20"/>
                <w:szCs w:val="20"/>
              </w:rPr>
              <w:t>3531</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b/>
                <w:bCs/>
                <w:sz w:val="20"/>
                <w:szCs w:val="20"/>
              </w:rPr>
            </w:pPr>
            <w:r w:rsidRPr="00B03659">
              <w:rPr>
                <w:b/>
                <w:bCs/>
                <w:sz w:val="20"/>
                <w:szCs w:val="20"/>
              </w:rPr>
              <w:t>3448</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b/>
                <w:bCs/>
                <w:sz w:val="20"/>
                <w:szCs w:val="20"/>
              </w:rPr>
            </w:pPr>
            <w:r w:rsidRPr="00B03659">
              <w:rPr>
                <w:b/>
                <w:bCs/>
                <w:sz w:val="20"/>
                <w:szCs w:val="20"/>
              </w:rPr>
              <w:t>3535</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b/>
                <w:bCs/>
                <w:sz w:val="20"/>
                <w:szCs w:val="20"/>
              </w:rPr>
            </w:pPr>
            <w:r w:rsidRPr="00B03659">
              <w:rPr>
                <w:b/>
                <w:bCs/>
                <w:sz w:val="20"/>
                <w:szCs w:val="20"/>
              </w:rPr>
              <w:t>3488</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b/>
                <w:bCs/>
                <w:sz w:val="20"/>
                <w:szCs w:val="20"/>
              </w:rPr>
            </w:pPr>
            <w:r w:rsidRPr="00B03659">
              <w:rPr>
                <w:b/>
                <w:bCs/>
                <w:sz w:val="20"/>
                <w:szCs w:val="20"/>
              </w:rPr>
              <w:t>3417</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b/>
                <w:bCs/>
                <w:sz w:val="20"/>
                <w:szCs w:val="20"/>
              </w:rPr>
            </w:pPr>
            <w:r w:rsidRPr="00B03659">
              <w:rPr>
                <w:b/>
                <w:bCs/>
                <w:sz w:val="20"/>
                <w:szCs w:val="20"/>
              </w:rPr>
              <w:t>3467</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b/>
                <w:bCs/>
                <w:sz w:val="20"/>
                <w:szCs w:val="20"/>
              </w:rPr>
            </w:pPr>
            <w:r w:rsidRPr="00B03659">
              <w:rPr>
                <w:b/>
                <w:bCs/>
                <w:sz w:val="20"/>
                <w:szCs w:val="20"/>
              </w:rPr>
              <w:t>3481</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b/>
                <w:bCs/>
                <w:sz w:val="20"/>
                <w:szCs w:val="20"/>
              </w:rPr>
            </w:pPr>
            <w:r w:rsidRPr="00B03659">
              <w:rPr>
                <w:b/>
                <w:bCs/>
                <w:sz w:val="20"/>
                <w:szCs w:val="20"/>
              </w:rPr>
              <w:t>3552</w:t>
            </w:r>
          </w:p>
        </w:tc>
        <w:tc>
          <w:tcPr>
            <w:tcW w:w="540"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b/>
                <w:bCs/>
                <w:sz w:val="20"/>
                <w:szCs w:val="20"/>
              </w:rPr>
            </w:pPr>
            <w:r w:rsidRPr="00B03659">
              <w:rPr>
                <w:b/>
                <w:bCs/>
                <w:sz w:val="20"/>
                <w:szCs w:val="20"/>
              </w:rPr>
              <w:t>3882</w:t>
            </w:r>
          </w:p>
        </w:tc>
      </w:tr>
      <w:tr w:rsidR="00B03659" w:rsidRPr="007E3897" w:rsidTr="00B03659">
        <w:trPr>
          <w:cantSplit/>
          <w:trHeight w:val="272"/>
          <w:jc w:val="center"/>
        </w:trPr>
        <w:tc>
          <w:tcPr>
            <w:tcW w:w="3261" w:type="dxa"/>
            <w:tcBorders>
              <w:top w:val="single" w:sz="4" w:space="0" w:color="auto"/>
              <w:left w:val="single" w:sz="4" w:space="0" w:color="auto"/>
              <w:bottom w:val="single" w:sz="4" w:space="0" w:color="auto"/>
              <w:right w:val="single" w:sz="4" w:space="0" w:color="auto"/>
            </w:tcBorders>
            <w:vAlign w:val="center"/>
          </w:tcPr>
          <w:p w:rsidR="00B03659" w:rsidRPr="00660E31" w:rsidRDefault="00B03659" w:rsidP="00A77970">
            <w:pPr>
              <w:ind w:left="113"/>
              <w:rPr>
                <w:kern w:val="28"/>
                <w:lang w:eastAsia="en-US"/>
              </w:rPr>
            </w:pPr>
            <w:r w:rsidRPr="00660E31">
              <w:rPr>
                <w:kern w:val="28"/>
                <w:lang w:eastAsia="en-US"/>
              </w:rPr>
              <w:t>Agricultură, vânătoare şi servicii anexe, silvicultură şi piscicultură</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2414</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2418</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2500</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2764</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3102</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2641</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2904</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2720</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2915</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2787</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3669</w:t>
            </w:r>
          </w:p>
        </w:tc>
        <w:tc>
          <w:tcPr>
            <w:tcW w:w="540"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3083</w:t>
            </w:r>
          </w:p>
        </w:tc>
      </w:tr>
      <w:tr w:rsidR="00B03659" w:rsidRPr="007E3897" w:rsidTr="00B03659">
        <w:trPr>
          <w:cantSplit/>
          <w:trHeight w:val="272"/>
          <w:jc w:val="center"/>
        </w:trPr>
        <w:tc>
          <w:tcPr>
            <w:tcW w:w="3261" w:type="dxa"/>
            <w:tcBorders>
              <w:top w:val="single" w:sz="4" w:space="0" w:color="auto"/>
              <w:left w:val="single" w:sz="4" w:space="0" w:color="auto"/>
              <w:bottom w:val="single" w:sz="4" w:space="0" w:color="auto"/>
              <w:right w:val="single" w:sz="4" w:space="0" w:color="auto"/>
            </w:tcBorders>
            <w:vAlign w:val="center"/>
          </w:tcPr>
          <w:p w:rsidR="00B03659" w:rsidRPr="00660E31" w:rsidRDefault="00B03659" w:rsidP="00A77970">
            <w:pPr>
              <w:ind w:left="113"/>
              <w:rPr>
                <w:rFonts w:eastAsia="Arial Unicode MS"/>
                <w:kern w:val="28"/>
                <w:lang w:eastAsia="en-US"/>
              </w:rPr>
            </w:pPr>
            <w:r w:rsidRPr="00660E31">
              <w:rPr>
                <w:kern w:val="28"/>
                <w:lang w:eastAsia="en-US"/>
              </w:rPr>
              <w:t>Industrie şi construcţii</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2625</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2628</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2895</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2858</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2784</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2871</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2876</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2850</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2962</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2880</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2933</w:t>
            </w:r>
          </w:p>
        </w:tc>
        <w:tc>
          <w:tcPr>
            <w:tcW w:w="540"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3236</w:t>
            </w:r>
          </w:p>
        </w:tc>
      </w:tr>
      <w:tr w:rsidR="00B03659" w:rsidRPr="007E3897" w:rsidTr="00B03659">
        <w:trPr>
          <w:cantSplit/>
          <w:trHeight w:val="272"/>
          <w:jc w:val="center"/>
        </w:trPr>
        <w:tc>
          <w:tcPr>
            <w:tcW w:w="3261" w:type="dxa"/>
            <w:tcBorders>
              <w:top w:val="single" w:sz="4" w:space="0" w:color="auto"/>
              <w:left w:val="single" w:sz="4" w:space="0" w:color="auto"/>
              <w:bottom w:val="single" w:sz="4" w:space="0" w:color="auto"/>
              <w:right w:val="single" w:sz="4" w:space="0" w:color="auto"/>
            </w:tcBorders>
            <w:vAlign w:val="center"/>
          </w:tcPr>
          <w:p w:rsidR="00B03659" w:rsidRPr="00660E31" w:rsidRDefault="00B03659" w:rsidP="00A77970">
            <w:pPr>
              <w:ind w:left="113"/>
              <w:rPr>
                <w:rFonts w:eastAsia="Arial Unicode MS"/>
                <w:kern w:val="28"/>
                <w:lang w:eastAsia="en-US"/>
              </w:rPr>
            </w:pPr>
            <w:r w:rsidRPr="00660E31">
              <w:rPr>
                <w:kern w:val="28"/>
                <w:lang w:eastAsia="en-US"/>
              </w:rPr>
              <w:t>Servicii</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3392</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3371</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3732</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3712</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3627</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3717</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3652</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3570</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3603</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3642</w:t>
            </w:r>
          </w:p>
        </w:tc>
        <w:tc>
          <w:tcPr>
            <w:tcW w:w="567"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3712</w:t>
            </w:r>
          </w:p>
        </w:tc>
        <w:tc>
          <w:tcPr>
            <w:tcW w:w="540"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B03659" w:rsidRPr="00B03659" w:rsidRDefault="00B03659" w:rsidP="00A77970">
            <w:pPr>
              <w:jc w:val="center"/>
              <w:rPr>
                <w:sz w:val="20"/>
                <w:szCs w:val="20"/>
              </w:rPr>
            </w:pPr>
            <w:r w:rsidRPr="00B03659">
              <w:rPr>
                <w:sz w:val="20"/>
                <w:szCs w:val="20"/>
              </w:rPr>
              <w:t>4054</w:t>
            </w:r>
          </w:p>
        </w:tc>
      </w:tr>
    </w:tbl>
    <w:p w:rsidR="00B03D9F" w:rsidRDefault="00B03D9F" w:rsidP="00A77970">
      <w:pPr>
        <w:jc w:val="both"/>
        <w:outlineLvl w:val="1"/>
        <w:rPr>
          <w:b/>
          <w:noProof/>
          <w:kern w:val="28"/>
          <w:lang w:eastAsia="en-US"/>
        </w:rPr>
      </w:pPr>
      <w:bookmarkStart w:id="0" w:name="_Toc251680662"/>
      <w:bookmarkStart w:id="1" w:name="_Toc283308895"/>
      <w:bookmarkStart w:id="2" w:name="_Toc445282787"/>
    </w:p>
    <w:p w:rsidR="00B2256F" w:rsidRDefault="00B2256F" w:rsidP="00A77970">
      <w:pPr>
        <w:jc w:val="both"/>
        <w:outlineLvl w:val="1"/>
        <w:rPr>
          <w:b/>
          <w:noProof/>
          <w:kern w:val="28"/>
          <w:lang w:eastAsia="en-US"/>
        </w:rPr>
      </w:pPr>
      <w:r>
        <w:rPr>
          <w:b/>
          <w:noProof/>
          <w:kern w:val="28"/>
          <w:lang w:eastAsia="en-US"/>
        </w:rPr>
        <w:t xml:space="preserve">Principalele realizări ale </w:t>
      </w:r>
      <w:r w:rsidRPr="00B2256F">
        <w:rPr>
          <w:b/>
          <w:noProof/>
          <w:kern w:val="28"/>
          <w:lang w:eastAsia="en-US"/>
        </w:rPr>
        <w:t>Direcţia Generală Regionala a Finanţelor Publice Bucureşti</w:t>
      </w:r>
      <w:r>
        <w:rPr>
          <w:b/>
          <w:noProof/>
          <w:kern w:val="28"/>
          <w:lang w:eastAsia="en-US"/>
        </w:rPr>
        <w:t xml:space="preserve"> (DGRFPB)</w:t>
      </w:r>
    </w:p>
    <w:p w:rsidR="00B2256F" w:rsidRPr="00B2256F" w:rsidRDefault="00B2256F" w:rsidP="00B2256F">
      <w:pPr>
        <w:jc w:val="both"/>
        <w:outlineLvl w:val="1"/>
        <w:rPr>
          <w:b/>
          <w:noProof/>
          <w:kern w:val="28"/>
          <w:lang w:eastAsia="en-US"/>
        </w:rPr>
      </w:pPr>
    </w:p>
    <w:p w:rsidR="00B2256F" w:rsidRPr="00B2256F" w:rsidRDefault="0029208D" w:rsidP="0029208D">
      <w:pPr>
        <w:widowControl w:val="0"/>
        <w:jc w:val="both"/>
        <w:rPr>
          <w:rFonts w:eastAsia="Calibri"/>
          <w:b/>
          <w:i/>
          <w:lang w:eastAsia="en-US"/>
        </w:rPr>
      </w:pPr>
      <w:r>
        <w:rPr>
          <w:rFonts w:eastAsia="Calibri"/>
          <w:lang w:val="it-IT" w:eastAsia="en-US"/>
        </w:rPr>
        <w:tab/>
      </w:r>
      <w:r w:rsidR="00B2256F" w:rsidRPr="00B2256F">
        <w:rPr>
          <w:rFonts w:eastAsia="Calibri"/>
          <w:lang w:val="it-IT" w:eastAsia="en-US"/>
        </w:rPr>
        <w:t xml:space="preserve">Pentru </w:t>
      </w:r>
      <w:r w:rsidR="00B2256F" w:rsidRPr="00B2256F">
        <w:rPr>
          <w:rFonts w:eastAsia="Calibri"/>
          <w:b/>
          <w:i/>
          <w:lang w:eastAsia="en-US"/>
        </w:rPr>
        <w:t>creşterea eficienţei colectării :</w:t>
      </w:r>
    </w:p>
    <w:p w:rsidR="00B2256F" w:rsidRPr="00B2256F" w:rsidRDefault="00B2256F" w:rsidP="00980D72">
      <w:pPr>
        <w:widowControl w:val="0"/>
        <w:numPr>
          <w:ilvl w:val="0"/>
          <w:numId w:val="38"/>
        </w:numPr>
        <w:tabs>
          <w:tab w:val="clear" w:pos="540"/>
          <w:tab w:val="num" w:pos="0"/>
        </w:tabs>
        <w:ind w:left="0" w:firstLine="0"/>
        <w:jc w:val="both"/>
        <w:rPr>
          <w:rFonts w:eastAsia="Calibri"/>
          <w:b/>
          <w:lang w:eastAsia="en-US"/>
        </w:rPr>
      </w:pPr>
      <w:r w:rsidRPr="00B2256F">
        <w:rPr>
          <w:rFonts w:eastAsia="Calibri"/>
          <w:b/>
          <w:lang w:eastAsia="en-US"/>
        </w:rPr>
        <w:t>Cresterea nivelului incasarilor la bugetul general consolidat in vederea realizarii programului stabilit de ANAF :</w:t>
      </w:r>
    </w:p>
    <w:p w:rsidR="00B2256F" w:rsidRPr="00B2256F" w:rsidRDefault="00B2256F" w:rsidP="0029208D">
      <w:pPr>
        <w:widowControl w:val="0"/>
        <w:ind w:firstLine="709"/>
        <w:jc w:val="both"/>
        <w:rPr>
          <w:kern w:val="28"/>
          <w:lang w:eastAsia="en-US"/>
        </w:rPr>
      </w:pPr>
      <w:r w:rsidRPr="00B2256F">
        <w:rPr>
          <w:kern w:val="28"/>
          <w:lang w:eastAsia="en-US"/>
        </w:rPr>
        <w:t>Monitorizarea zilnică a nivelului încasărilor la bugetul general consolidat, astfel încât să se asigure realizarea programului de încasări al veniturilor bugetare comunicat de A.N.A.F.</w:t>
      </w:r>
    </w:p>
    <w:p w:rsidR="00B2256F" w:rsidRPr="00B2256F" w:rsidRDefault="00B2256F" w:rsidP="0029208D">
      <w:pPr>
        <w:widowControl w:val="0"/>
        <w:ind w:firstLine="709"/>
        <w:jc w:val="both"/>
        <w:rPr>
          <w:kern w:val="28"/>
          <w:lang w:eastAsia="en-US"/>
        </w:rPr>
      </w:pPr>
      <w:r w:rsidRPr="00B2256F">
        <w:rPr>
          <w:kern w:val="28"/>
          <w:lang w:eastAsia="en-US"/>
        </w:rPr>
        <w:t>Gradul de realizare al programului de incasari (valori nete) inclusiv vama a fost in anul 2018 de 101,44% (date operative), respectiv s-au inregistrat realizari venituri bugetare in suma de 55.154,16 milioane lei la un program de incasari in suma de 54.369,58  milioane lei.</w:t>
      </w:r>
    </w:p>
    <w:p w:rsidR="00B2256F" w:rsidRPr="00B2256F" w:rsidRDefault="00B2256F" w:rsidP="0029208D">
      <w:pPr>
        <w:widowControl w:val="0"/>
        <w:ind w:firstLine="709"/>
        <w:jc w:val="both"/>
        <w:rPr>
          <w:kern w:val="28"/>
          <w:lang w:eastAsia="en-US"/>
        </w:rPr>
      </w:pPr>
      <w:r w:rsidRPr="00B2256F">
        <w:rPr>
          <w:kern w:val="28"/>
          <w:lang w:eastAsia="en-US"/>
        </w:rPr>
        <w:t>Veniturile totale realizate in anul 2018 au fost cu 19,32% mai mari decat veniturile totale realizate in anul 2017, respectiv 55.154,16 milioane lei, fata de 46.224,30 milioane lei.</w:t>
      </w:r>
    </w:p>
    <w:p w:rsidR="00B2256F" w:rsidRPr="00B2256F" w:rsidRDefault="00B2256F" w:rsidP="00980D72">
      <w:pPr>
        <w:widowControl w:val="0"/>
        <w:numPr>
          <w:ilvl w:val="0"/>
          <w:numId w:val="38"/>
        </w:numPr>
        <w:tabs>
          <w:tab w:val="clear" w:pos="540"/>
          <w:tab w:val="num" w:pos="0"/>
        </w:tabs>
        <w:ind w:left="0" w:firstLine="0"/>
        <w:jc w:val="both"/>
        <w:rPr>
          <w:rFonts w:eastAsia="Calibri"/>
          <w:b/>
          <w:lang w:eastAsia="en-US"/>
        </w:rPr>
      </w:pPr>
      <w:r w:rsidRPr="00B2256F">
        <w:rPr>
          <w:rFonts w:eastAsia="Calibri"/>
          <w:b/>
          <w:lang w:eastAsia="en-US"/>
        </w:rPr>
        <w:t>Cresterea gradului de recuperare a creantelor bugetului general consolidat prin aplicarea masurilor de executare silita</w:t>
      </w:r>
    </w:p>
    <w:p w:rsidR="00B2256F" w:rsidRPr="00B2256F" w:rsidRDefault="00B2256F" w:rsidP="0029208D">
      <w:pPr>
        <w:widowControl w:val="0"/>
        <w:ind w:firstLine="709"/>
        <w:jc w:val="both"/>
        <w:rPr>
          <w:kern w:val="28"/>
          <w:lang w:eastAsia="en-US"/>
        </w:rPr>
      </w:pPr>
      <w:r w:rsidRPr="00B2256F">
        <w:rPr>
          <w:kern w:val="28"/>
          <w:lang w:eastAsia="en-US"/>
        </w:rPr>
        <w:t>În anul 2018 creanţele bugetare încasate ca urmare a aplicării măsurilor de executare silită (date operative) au fost de 2.721,34 milioane lei, din care 2.193,77 milioane incasari din arierate recuperabile din cele aflate in executare silita, din care somaţii 50,30%, popriri asupra conturilor bancare 45,80% şi popriri terţi 3,46% si 527,57 milioane lei sume stinse prin alte modalitati din arierate recuperabile.</w:t>
      </w:r>
    </w:p>
    <w:p w:rsidR="00B2256F" w:rsidRPr="00B2256F" w:rsidRDefault="00B2256F" w:rsidP="0029208D">
      <w:pPr>
        <w:widowControl w:val="0"/>
        <w:ind w:firstLine="709"/>
        <w:jc w:val="both"/>
        <w:rPr>
          <w:kern w:val="28"/>
          <w:lang w:eastAsia="en-US"/>
        </w:rPr>
      </w:pPr>
      <w:r w:rsidRPr="00B2256F">
        <w:rPr>
          <w:kern w:val="28"/>
          <w:lang w:eastAsia="en-US"/>
        </w:rPr>
        <w:lastRenderedPageBreak/>
        <w:t>S-au luat masuri pentru impulsionarea activitatii de executare silita, prin :</w:t>
      </w:r>
    </w:p>
    <w:p w:rsidR="00B2256F" w:rsidRPr="00B2256F" w:rsidRDefault="00B2256F" w:rsidP="00B2256F">
      <w:pPr>
        <w:ind w:firstLine="420"/>
        <w:jc w:val="both"/>
        <w:rPr>
          <w:rFonts w:eastAsia="Calibri"/>
          <w:iCs/>
          <w:lang w:eastAsia="en-US"/>
        </w:rPr>
      </w:pPr>
      <w:r w:rsidRPr="00B2256F">
        <w:rPr>
          <w:rFonts w:eastAsia="Calibri"/>
          <w:iCs/>
          <w:lang w:eastAsia="en-US"/>
        </w:rPr>
        <w:t>- deplasarea pe teren de echipe formate din executori fiscali, pentru impulsionarea la plata a contribuabililor pentru care s-a inceput executarea silita;</w:t>
      </w:r>
    </w:p>
    <w:p w:rsidR="00B2256F" w:rsidRPr="00B2256F" w:rsidRDefault="00B2256F" w:rsidP="00B2256F">
      <w:pPr>
        <w:ind w:firstLine="420"/>
        <w:jc w:val="both"/>
        <w:rPr>
          <w:rFonts w:eastAsia="Calibri"/>
          <w:iCs/>
          <w:lang w:eastAsia="en-US"/>
        </w:rPr>
      </w:pPr>
      <w:r w:rsidRPr="00B2256F">
        <w:rPr>
          <w:rFonts w:eastAsia="Calibri"/>
          <w:iCs/>
          <w:lang w:eastAsia="en-US"/>
        </w:rPr>
        <w:t>- intensificarea colaborarii cu organele de inspectie fiscala in scopul prevenirii instrainarii bunurilor din patrimoniul debitorilor;</w:t>
      </w:r>
    </w:p>
    <w:p w:rsidR="00B2256F" w:rsidRPr="00B2256F" w:rsidRDefault="00B2256F" w:rsidP="00B2256F">
      <w:pPr>
        <w:ind w:firstLine="420"/>
        <w:jc w:val="both"/>
        <w:rPr>
          <w:rFonts w:eastAsia="Calibri"/>
          <w:iCs/>
          <w:lang w:eastAsia="en-US"/>
        </w:rPr>
      </w:pPr>
      <w:r w:rsidRPr="00B2256F">
        <w:rPr>
          <w:rFonts w:eastAsia="Calibri"/>
          <w:iCs/>
          <w:lang w:eastAsia="en-US"/>
        </w:rPr>
        <w:t>- solicitarea deschiderii in regim de urgenta a procedurii prevazute de Legea 85/2006 privind procedura insolventei in cazul debitorilor care intrunesc conditiile prevazute de lege;</w:t>
      </w:r>
    </w:p>
    <w:p w:rsidR="00B2256F" w:rsidRPr="00B2256F" w:rsidRDefault="00B2256F" w:rsidP="00B2256F">
      <w:pPr>
        <w:ind w:firstLine="420"/>
        <w:jc w:val="both"/>
        <w:rPr>
          <w:rFonts w:eastAsia="Calibri"/>
          <w:iCs/>
          <w:lang w:eastAsia="en-US"/>
        </w:rPr>
      </w:pPr>
      <w:r w:rsidRPr="00B2256F">
        <w:rPr>
          <w:rFonts w:eastAsia="Calibri"/>
          <w:iCs/>
          <w:lang w:eastAsia="en-US"/>
        </w:rPr>
        <w:t>- luarea de urgenta a masurilor prevazute de O.M.F.P. nr. 575/2006 (privind stabilirea condiţiilor şi declararea contribuabililor inactivi) in vederea declararii starii de inactivitate pentru contribuabilii care indeplinesc conditiile prevazute in ordin.</w:t>
      </w:r>
    </w:p>
    <w:p w:rsidR="00B2256F" w:rsidRPr="00B2256F" w:rsidRDefault="00B2256F" w:rsidP="00B2256F">
      <w:pPr>
        <w:ind w:firstLine="420"/>
        <w:jc w:val="both"/>
        <w:rPr>
          <w:rFonts w:eastAsia="Calibri"/>
          <w:iCs/>
          <w:lang w:eastAsia="en-US"/>
        </w:rPr>
      </w:pPr>
    </w:p>
    <w:p w:rsidR="00B2256F" w:rsidRPr="00B2256F" w:rsidRDefault="0029208D" w:rsidP="0029208D">
      <w:pPr>
        <w:widowControl w:val="0"/>
        <w:tabs>
          <w:tab w:val="num" w:pos="0"/>
        </w:tabs>
        <w:jc w:val="both"/>
        <w:rPr>
          <w:rFonts w:eastAsia="Calibri"/>
          <w:lang w:val="it-IT" w:eastAsia="en-US"/>
        </w:rPr>
      </w:pPr>
      <w:r>
        <w:rPr>
          <w:rFonts w:eastAsia="Calibri"/>
          <w:lang w:val="it-IT" w:eastAsia="en-US"/>
        </w:rPr>
        <w:tab/>
      </w:r>
      <w:r w:rsidR="00B2256F" w:rsidRPr="00B2256F">
        <w:rPr>
          <w:rFonts w:eastAsia="Calibri"/>
          <w:lang w:val="it-IT" w:eastAsia="en-US"/>
        </w:rPr>
        <w:t xml:space="preserve">Pentru </w:t>
      </w:r>
      <w:r w:rsidR="00B2256F" w:rsidRPr="00B2256F">
        <w:rPr>
          <w:rFonts w:eastAsia="Calibri"/>
          <w:b/>
          <w:i/>
          <w:lang w:val="it-IT" w:eastAsia="en-US"/>
        </w:rPr>
        <w:t>imbunatatirea conformarii voluntare</w:t>
      </w:r>
      <w:r w:rsidR="00B2256F" w:rsidRPr="00B2256F">
        <w:rPr>
          <w:rFonts w:eastAsia="Calibri"/>
          <w:lang w:val="it-IT" w:eastAsia="en-US"/>
        </w:rPr>
        <w:t xml:space="preserve"> :</w:t>
      </w:r>
    </w:p>
    <w:p w:rsidR="00B2256F" w:rsidRPr="00B2256F" w:rsidRDefault="00B2256F" w:rsidP="0029208D">
      <w:pPr>
        <w:widowControl w:val="0"/>
        <w:ind w:firstLine="709"/>
        <w:jc w:val="both"/>
        <w:rPr>
          <w:kern w:val="28"/>
          <w:lang w:eastAsia="en-US"/>
        </w:rPr>
      </w:pPr>
      <w:r w:rsidRPr="00B2256F">
        <w:rPr>
          <w:kern w:val="28"/>
          <w:lang w:eastAsia="en-US"/>
        </w:rPr>
        <w:t xml:space="preserve">Gradul de conformare voluntara la plata obligatiilor fiscale (valoric) a crescut in anul 2018 la 83,96%, fata de 81,81% cat a fost in anul 2017. </w:t>
      </w:r>
    </w:p>
    <w:p w:rsidR="00B2256F" w:rsidRPr="00B2256F" w:rsidRDefault="00B2256F" w:rsidP="0029208D">
      <w:pPr>
        <w:widowControl w:val="0"/>
        <w:ind w:firstLine="709"/>
        <w:jc w:val="both"/>
        <w:rPr>
          <w:kern w:val="28"/>
          <w:lang w:eastAsia="en-US"/>
        </w:rPr>
      </w:pPr>
      <w:r w:rsidRPr="00B2256F">
        <w:rPr>
          <w:kern w:val="28"/>
          <w:lang w:eastAsia="en-US"/>
        </w:rPr>
        <w:t>D.G.R.F.P. Bucureşti a acordat prioritate acţiunilor de prevenire şi combatere a  neconformării contribuabililor la declararea şi plata obligaţiilor fiscale prin :</w:t>
      </w:r>
    </w:p>
    <w:p w:rsidR="00B2256F" w:rsidRPr="00B2256F" w:rsidRDefault="00B2256F" w:rsidP="00B2256F">
      <w:pPr>
        <w:tabs>
          <w:tab w:val="left" w:pos="720"/>
        </w:tabs>
        <w:ind w:firstLine="360"/>
        <w:jc w:val="both"/>
        <w:rPr>
          <w:rFonts w:eastAsia="Calibri"/>
          <w:lang w:eastAsia="en-US"/>
        </w:rPr>
      </w:pPr>
      <w:r w:rsidRPr="00B2256F">
        <w:rPr>
          <w:rFonts w:eastAsia="Calibri"/>
          <w:lang w:eastAsia="en-US"/>
        </w:rPr>
        <w:t>- creşterea calităţii serviciilor oferite contribuabililor, ca prim instrument prin care aceştia să fie încurajaţi să se conformeze la declararea şi plata obligaţiilor fiscale;</w:t>
      </w:r>
    </w:p>
    <w:p w:rsidR="00B2256F" w:rsidRPr="00B2256F" w:rsidRDefault="00B2256F" w:rsidP="00B2256F">
      <w:pPr>
        <w:ind w:firstLine="360"/>
        <w:jc w:val="both"/>
        <w:rPr>
          <w:rFonts w:eastAsia="Calibri"/>
          <w:lang w:eastAsia="en-US"/>
        </w:rPr>
      </w:pPr>
      <w:r w:rsidRPr="00B2256F">
        <w:rPr>
          <w:rFonts w:eastAsia="Calibri"/>
          <w:lang w:eastAsia="en-US"/>
        </w:rPr>
        <w:t>- optimizarea organizării activităţii de executare silită care să conducă la o mai mare reactivitate a administraţiilor fiscale în atenţionarea debitorilor şi reducerea nivelului arieratelor bugetare;</w:t>
      </w:r>
    </w:p>
    <w:p w:rsidR="00B2256F" w:rsidRPr="00B2256F" w:rsidRDefault="00B2256F" w:rsidP="00B2256F">
      <w:pPr>
        <w:ind w:firstLine="360"/>
        <w:jc w:val="both"/>
        <w:rPr>
          <w:rFonts w:eastAsia="Calibri"/>
          <w:lang w:eastAsia="en-US"/>
        </w:rPr>
      </w:pPr>
      <w:r w:rsidRPr="00B2256F">
        <w:rPr>
          <w:rFonts w:eastAsia="Calibri"/>
          <w:lang w:eastAsia="en-US"/>
        </w:rPr>
        <w:t xml:space="preserve">- extinderea comunicării în relaţia cu contribuabilul prin asigurarea de asistenţă şi îndrumare specializată, pe categorii de contribuabili; </w:t>
      </w:r>
    </w:p>
    <w:p w:rsidR="00B2256F" w:rsidRPr="00B2256F" w:rsidRDefault="00B2256F" w:rsidP="00B2256F">
      <w:pPr>
        <w:ind w:firstLine="360"/>
        <w:jc w:val="both"/>
        <w:rPr>
          <w:rFonts w:eastAsia="Calibri"/>
          <w:lang w:eastAsia="en-US"/>
        </w:rPr>
      </w:pPr>
      <w:r w:rsidRPr="00B2256F">
        <w:rPr>
          <w:rFonts w:eastAsia="Calibri"/>
          <w:lang w:eastAsia="en-US"/>
        </w:rPr>
        <w:t>- continuarea aplicării sistemului stabil de înlesniri la plata obligaţiilor pentru contribuabilii aflaţi în dificultate generată de lipsa temporară a disponibilităţilor băneşti, măsură ce vine în sprijinul mediului de afaceri şi care are drept scop impulsionarea încasărilor bugetare, precum şi reducerea arieratelor bugetare;</w:t>
      </w:r>
    </w:p>
    <w:p w:rsidR="00B2256F" w:rsidRPr="00B2256F" w:rsidRDefault="00B2256F" w:rsidP="00B2256F">
      <w:pPr>
        <w:ind w:firstLine="360"/>
        <w:jc w:val="both"/>
        <w:rPr>
          <w:rFonts w:eastAsia="Calibri"/>
          <w:lang w:eastAsia="en-US"/>
        </w:rPr>
      </w:pPr>
      <w:r w:rsidRPr="00B2256F">
        <w:rPr>
          <w:rFonts w:eastAsia="Calibri"/>
          <w:lang w:eastAsia="en-US"/>
        </w:rPr>
        <w:t>- aplicarea unui tratament unitar pentru contribuabili, care să asigure evitarea subiectivismului şi reducerea suspiciunilor de corupţie, ca obiectiv fundamental pentru un mediu de afaceri sănătos;</w:t>
      </w:r>
    </w:p>
    <w:p w:rsidR="00B2256F" w:rsidRDefault="00B2256F" w:rsidP="00B2256F">
      <w:pPr>
        <w:ind w:firstLine="360"/>
        <w:jc w:val="both"/>
        <w:rPr>
          <w:rFonts w:eastAsia="Calibri"/>
          <w:lang w:eastAsia="en-US"/>
        </w:rPr>
      </w:pPr>
      <w:r w:rsidRPr="00B2256F">
        <w:rPr>
          <w:rFonts w:eastAsia="Calibri"/>
          <w:lang w:eastAsia="en-US"/>
        </w:rPr>
        <w:t>- dezvoltarea relaţiilor interinstituţionale cu privire la realizarea unui sistem electronic eficient în aplicarea măsurilor de executare silită, care să ţină cont atât de interesul legitim al statului, cât şi de drepturile şi obligaţiile debitorului urmărit.</w:t>
      </w:r>
    </w:p>
    <w:p w:rsidR="0029208D" w:rsidRPr="00B2256F" w:rsidRDefault="0029208D" w:rsidP="00B2256F">
      <w:pPr>
        <w:ind w:firstLine="360"/>
        <w:jc w:val="both"/>
        <w:rPr>
          <w:rFonts w:eastAsia="Calibri"/>
          <w:lang w:eastAsia="en-US"/>
        </w:rPr>
      </w:pPr>
    </w:p>
    <w:p w:rsidR="00B2256F" w:rsidRPr="00B2256F" w:rsidRDefault="0029208D" w:rsidP="0029208D">
      <w:pPr>
        <w:widowControl w:val="0"/>
        <w:tabs>
          <w:tab w:val="num" w:pos="0"/>
        </w:tabs>
        <w:jc w:val="both"/>
        <w:rPr>
          <w:rFonts w:eastAsia="Calibri"/>
          <w:lang w:val="it-IT" w:eastAsia="en-US"/>
        </w:rPr>
      </w:pPr>
      <w:r>
        <w:rPr>
          <w:rFonts w:eastAsia="Calibri"/>
          <w:lang w:val="it-IT" w:eastAsia="en-US"/>
        </w:rPr>
        <w:tab/>
      </w:r>
      <w:r w:rsidR="00B2256F" w:rsidRPr="00B2256F">
        <w:rPr>
          <w:rFonts w:eastAsia="Calibri"/>
          <w:lang w:val="it-IT" w:eastAsia="en-US"/>
        </w:rPr>
        <w:t xml:space="preserve">Pentru </w:t>
      </w:r>
      <w:r w:rsidR="00B2256F" w:rsidRPr="00B2256F">
        <w:rPr>
          <w:rFonts w:eastAsia="Calibri"/>
          <w:b/>
          <w:i/>
          <w:lang w:val="it-IT" w:eastAsia="en-US"/>
        </w:rPr>
        <w:t>combaterea ferma a evaziunii fiscale</w:t>
      </w:r>
      <w:r w:rsidR="00B2256F" w:rsidRPr="00B2256F">
        <w:rPr>
          <w:rFonts w:eastAsia="Calibri"/>
          <w:lang w:val="it-IT" w:eastAsia="en-US"/>
        </w:rPr>
        <w:t xml:space="preserve"> :</w:t>
      </w:r>
    </w:p>
    <w:p w:rsidR="00B2256F" w:rsidRPr="00B2256F" w:rsidRDefault="0029208D" w:rsidP="00B2256F">
      <w:pPr>
        <w:ind w:firstLine="360"/>
        <w:jc w:val="both"/>
        <w:rPr>
          <w:rFonts w:eastAsia="Calibri"/>
          <w:lang w:eastAsia="en-US"/>
        </w:rPr>
      </w:pPr>
      <w:r>
        <w:rPr>
          <w:rFonts w:eastAsia="Calibri"/>
          <w:lang w:eastAsia="en-US"/>
        </w:rPr>
        <w:tab/>
      </w:r>
      <w:r w:rsidR="00B2256F" w:rsidRPr="00B2256F">
        <w:rPr>
          <w:rFonts w:eastAsia="Calibri"/>
          <w:lang w:eastAsia="en-US"/>
        </w:rPr>
        <w:t>Masurile de combatere a evaziunii fiscale s-au concretizat in rezultatele activitatii de inspectie fiscala si a activitatii de control vamal.</w:t>
      </w:r>
    </w:p>
    <w:p w:rsidR="0029208D" w:rsidRDefault="0029208D" w:rsidP="00B2256F">
      <w:pPr>
        <w:ind w:firstLine="360"/>
        <w:jc w:val="both"/>
        <w:rPr>
          <w:rFonts w:eastAsia="Calibri"/>
          <w:lang w:eastAsia="en-US"/>
        </w:rPr>
      </w:pPr>
    </w:p>
    <w:p w:rsidR="00B2256F" w:rsidRPr="00B2256F" w:rsidRDefault="0029208D" w:rsidP="00B2256F">
      <w:pPr>
        <w:ind w:firstLine="360"/>
        <w:jc w:val="both"/>
        <w:rPr>
          <w:rFonts w:eastAsia="Calibri"/>
          <w:b/>
          <w:i/>
          <w:lang w:eastAsia="en-US"/>
        </w:rPr>
      </w:pPr>
      <w:r>
        <w:rPr>
          <w:rFonts w:eastAsia="Calibri"/>
          <w:b/>
          <w:lang w:eastAsia="en-US"/>
        </w:rPr>
        <w:tab/>
      </w:r>
      <w:r w:rsidR="00B2256F" w:rsidRPr="00B2256F">
        <w:rPr>
          <w:rFonts w:eastAsia="Calibri"/>
          <w:b/>
          <w:i/>
          <w:lang w:eastAsia="en-US"/>
        </w:rPr>
        <w:t>Activitatea de Inspectie Fiscala</w:t>
      </w:r>
    </w:p>
    <w:p w:rsidR="00B2256F" w:rsidRPr="00B2256F" w:rsidRDefault="0029208D" w:rsidP="00B2256F">
      <w:pPr>
        <w:autoSpaceDE w:val="0"/>
        <w:autoSpaceDN w:val="0"/>
        <w:adjustRightInd w:val="0"/>
        <w:ind w:firstLine="360"/>
        <w:jc w:val="both"/>
        <w:rPr>
          <w:rFonts w:eastAsia="Calibri"/>
          <w:lang w:eastAsia="en-US"/>
        </w:rPr>
      </w:pPr>
      <w:r>
        <w:rPr>
          <w:rFonts w:eastAsia="Calibri"/>
          <w:lang w:eastAsia="en-US"/>
        </w:rPr>
        <w:tab/>
      </w:r>
      <w:r w:rsidR="00B2256F" w:rsidRPr="00B2256F">
        <w:rPr>
          <w:rFonts w:eastAsia="Calibri"/>
          <w:lang w:eastAsia="en-US"/>
        </w:rPr>
        <w:t>In cursul anului 201</w:t>
      </w:r>
      <w:r w:rsidR="00B2256F" w:rsidRPr="00B2256F">
        <w:rPr>
          <w:rFonts w:eastAsia="Calibri"/>
          <w:lang w:val="en-US" w:eastAsia="en-US"/>
        </w:rPr>
        <w:t>8</w:t>
      </w:r>
      <w:r w:rsidR="00B2256F" w:rsidRPr="00B2256F">
        <w:rPr>
          <w:rFonts w:eastAsia="Calibri"/>
          <w:lang w:eastAsia="en-US"/>
        </w:rPr>
        <w:t xml:space="preserve"> au fost finalizate un numar de 2.</w:t>
      </w:r>
      <w:r w:rsidR="00B2256F" w:rsidRPr="00B2256F">
        <w:rPr>
          <w:rFonts w:eastAsia="Calibri"/>
          <w:lang w:val="en-US" w:eastAsia="en-US"/>
        </w:rPr>
        <w:t>176</w:t>
      </w:r>
      <w:r w:rsidR="00B2256F" w:rsidRPr="00B2256F">
        <w:rPr>
          <w:rFonts w:eastAsia="Calibri"/>
          <w:lang w:eastAsia="en-US"/>
        </w:rPr>
        <w:t xml:space="preserve"> actiuni de control fiscal la contribuabili persoane juridice si fizice (</w:t>
      </w:r>
      <w:r w:rsidR="00B2256F" w:rsidRPr="00B2256F">
        <w:rPr>
          <w:rFonts w:eastAsia="Calibri"/>
          <w:lang w:val="en-US" w:eastAsia="en-US"/>
        </w:rPr>
        <w:t>1.869</w:t>
      </w:r>
      <w:r w:rsidR="00B2256F" w:rsidRPr="00B2256F">
        <w:rPr>
          <w:rFonts w:eastAsia="Calibri"/>
          <w:lang w:eastAsia="en-US"/>
        </w:rPr>
        <w:t xml:space="preserve"> verificari la persoane juridice, respectiv 3</w:t>
      </w:r>
      <w:r w:rsidR="00B2256F" w:rsidRPr="00B2256F">
        <w:rPr>
          <w:rFonts w:eastAsia="Calibri"/>
          <w:lang w:val="en-US" w:eastAsia="en-US"/>
        </w:rPr>
        <w:t>07</w:t>
      </w:r>
      <w:r w:rsidR="00B2256F" w:rsidRPr="00B2256F">
        <w:rPr>
          <w:rFonts w:eastAsia="Calibri"/>
          <w:lang w:eastAsia="en-US"/>
        </w:rPr>
        <w:t xml:space="preserve"> la persoane fizice), din care controale inopinate 1.</w:t>
      </w:r>
      <w:r w:rsidR="00B2256F" w:rsidRPr="00B2256F">
        <w:rPr>
          <w:rFonts w:eastAsia="Calibri"/>
          <w:lang w:val="en-US" w:eastAsia="en-US"/>
        </w:rPr>
        <w:t>032</w:t>
      </w:r>
      <w:r w:rsidR="00B2256F" w:rsidRPr="00B2256F">
        <w:rPr>
          <w:rFonts w:eastAsia="Calibri"/>
          <w:lang w:eastAsia="en-US"/>
        </w:rPr>
        <w:t xml:space="preserve"> (reprezentand </w:t>
      </w:r>
      <w:r w:rsidR="00B2256F" w:rsidRPr="00B2256F">
        <w:rPr>
          <w:rFonts w:eastAsia="Calibri"/>
          <w:lang w:val="en-US" w:eastAsia="en-US"/>
        </w:rPr>
        <w:t>47,42</w:t>
      </w:r>
      <w:r w:rsidR="00B2256F" w:rsidRPr="00B2256F">
        <w:rPr>
          <w:rFonts w:eastAsia="Calibri"/>
          <w:lang w:eastAsia="en-US"/>
        </w:rPr>
        <w:t xml:space="preserve">% din total actiuni efectuate), controale incrucisate </w:t>
      </w:r>
      <w:r w:rsidR="00B2256F" w:rsidRPr="00B2256F">
        <w:rPr>
          <w:rFonts w:eastAsia="Calibri"/>
          <w:lang w:val="en-US" w:eastAsia="en-US"/>
        </w:rPr>
        <w:t>2</w:t>
      </w:r>
      <w:r w:rsidR="00B2256F" w:rsidRPr="00B2256F">
        <w:rPr>
          <w:rFonts w:eastAsia="Calibri"/>
          <w:lang w:eastAsia="en-US"/>
        </w:rPr>
        <w:t xml:space="preserve"> reprezentand 0,</w:t>
      </w:r>
      <w:r w:rsidR="00B2256F" w:rsidRPr="00B2256F">
        <w:rPr>
          <w:rFonts w:eastAsia="Calibri"/>
          <w:lang w:val="en-US" w:eastAsia="en-US"/>
        </w:rPr>
        <w:t>09</w:t>
      </w:r>
      <w:r w:rsidR="00B2256F" w:rsidRPr="00B2256F">
        <w:rPr>
          <w:rFonts w:eastAsia="Calibri"/>
          <w:lang w:eastAsia="en-US"/>
        </w:rPr>
        <w:t xml:space="preserve">% din total actiuni efectuate), constatari la fata locului </w:t>
      </w:r>
      <w:r w:rsidR="00B2256F" w:rsidRPr="00B2256F">
        <w:rPr>
          <w:rFonts w:eastAsia="Calibri"/>
          <w:lang w:val="en-US" w:eastAsia="en-US"/>
        </w:rPr>
        <w:t>107</w:t>
      </w:r>
      <w:r w:rsidR="00B2256F" w:rsidRPr="00B2256F">
        <w:rPr>
          <w:rFonts w:eastAsia="Calibri"/>
          <w:lang w:eastAsia="en-US"/>
        </w:rPr>
        <w:t xml:space="preserve"> (reprezentand</w:t>
      </w:r>
      <w:r w:rsidR="00B2256F" w:rsidRPr="00B2256F">
        <w:rPr>
          <w:rFonts w:eastAsia="Calibri"/>
          <w:lang w:val="en-US" w:eastAsia="en-US"/>
        </w:rPr>
        <w:t xml:space="preserve"> 4,92</w:t>
      </w:r>
      <w:r w:rsidR="00B2256F" w:rsidRPr="00B2256F">
        <w:rPr>
          <w:rFonts w:eastAsia="Calibri"/>
          <w:lang w:eastAsia="en-US"/>
        </w:rPr>
        <w:t>% din total actiuni efectuate), inspectii fiscale partiale 1.</w:t>
      </w:r>
      <w:r w:rsidR="00B2256F" w:rsidRPr="00B2256F">
        <w:rPr>
          <w:rFonts w:eastAsia="Calibri"/>
          <w:lang w:val="en-US" w:eastAsia="en-US"/>
        </w:rPr>
        <w:t>018</w:t>
      </w:r>
      <w:r w:rsidR="00B2256F" w:rsidRPr="00B2256F">
        <w:rPr>
          <w:rFonts w:eastAsia="Calibri"/>
          <w:lang w:eastAsia="en-US"/>
        </w:rPr>
        <w:t xml:space="preserve"> (reprezentand 46,78% din total actiuni efectuate), inspectii fiscale generale </w:t>
      </w:r>
      <w:r w:rsidR="00B2256F" w:rsidRPr="00B2256F">
        <w:rPr>
          <w:rFonts w:eastAsia="Calibri"/>
          <w:lang w:val="en-US" w:eastAsia="en-US"/>
        </w:rPr>
        <w:t>17</w:t>
      </w:r>
      <w:r w:rsidR="00B2256F" w:rsidRPr="00B2256F">
        <w:rPr>
          <w:rFonts w:eastAsia="Calibri"/>
          <w:lang w:eastAsia="en-US"/>
        </w:rPr>
        <w:t xml:space="preserve"> (reprezentand </w:t>
      </w:r>
      <w:r w:rsidR="00B2256F" w:rsidRPr="00B2256F">
        <w:rPr>
          <w:rFonts w:eastAsia="Calibri"/>
          <w:lang w:val="en-US" w:eastAsia="en-US"/>
        </w:rPr>
        <w:t>0,78</w:t>
      </w:r>
      <w:r w:rsidR="00B2256F" w:rsidRPr="00B2256F">
        <w:rPr>
          <w:rFonts w:eastAsia="Calibri"/>
          <w:lang w:eastAsia="en-US"/>
        </w:rPr>
        <w:t>% din total actiuni efectuate).</w:t>
      </w:r>
    </w:p>
    <w:p w:rsidR="00B2256F" w:rsidRPr="00B2256F" w:rsidRDefault="00B2256F" w:rsidP="00B2256F">
      <w:pPr>
        <w:widowControl w:val="0"/>
        <w:tabs>
          <w:tab w:val="left" w:pos="0"/>
        </w:tabs>
        <w:jc w:val="both"/>
        <w:rPr>
          <w:kern w:val="2"/>
          <w:lang w:val="en-US" w:eastAsia="zh-CN"/>
        </w:rPr>
      </w:pPr>
    </w:p>
    <w:p w:rsidR="00B2256F" w:rsidRPr="00B2256F" w:rsidRDefault="0029208D" w:rsidP="0029208D">
      <w:pPr>
        <w:autoSpaceDE w:val="0"/>
        <w:autoSpaceDN w:val="0"/>
        <w:adjustRightInd w:val="0"/>
        <w:ind w:firstLine="360"/>
        <w:jc w:val="both"/>
        <w:rPr>
          <w:rFonts w:eastAsia="Calibri"/>
          <w:lang w:val="it-IT" w:eastAsia="en-US"/>
        </w:rPr>
      </w:pPr>
      <w:r>
        <w:rPr>
          <w:rFonts w:eastAsia="Calibri"/>
          <w:lang w:val="it-IT" w:eastAsia="en-US"/>
        </w:rPr>
        <w:tab/>
      </w:r>
      <w:r w:rsidR="00B2256F" w:rsidRPr="00B2256F">
        <w:rPr>
          <w:rFonts w:eastAsia="Calibri"/>
          <w:lang w:val="it-IT" w:eastAsia="en-US"/>
        </w:rPr>
        <w:t xml:space="preserve">Urmare actiunilor de control intreprinse, au fost atrase la bugetul de stat consolidat obligatii fiscale principale suplimentare in suma totala de </w:t>
      </w:r>
      <w:r w:rsidR="00B2256F" w:rsidRPr="00B2256F">
        <w:rPr>
          <w:rFonts w:eastAsia="Calibri"/>
          <w:lang w:val="en-US" w:eastAsia="en-US"/>
        </w:rPr>
        <w:t>964.179.730</w:t>
      </w:r>
      <w:r w:rsidR="00B2256F" w:rsidRPr="00B2256F">
        <w:rPr>
          <w:rFonts w:eastAsia="Calibri"/>
          <w:lang w:val="it-IT" w:eastAsia="en-US"/>
        </w:rPr>
        <w:t xml:space="preserve"> lei, din care:</w:t>
      </w:r>
    </w:p>
    <w:p w:rsidR="00B2256F" w:rsidRPr="00B2256F" w:rsidRDefault="00B2256F" w:rsidP="00B2256F">
      <w:pPr>
        <w:autoSpaceDE w:val="0"/>
        <w:autoSpaceDN w:val="0"/>
        <w:adjustRightInd w:val="0"/>
        <w:jc w:val="both"/>
        <w:rPr>
          <w:rFonts w:eastAsia="Calibri"/>
          <w:lang w:val="it-IT" w:eastAsia="en-US"/>
        </w:rPr>
      </w:pPr>
      <w:r w:rsidRPr="00B2256F">
        <w:rPr>
          <w:rFonts w:eastAsia="Calibri"/>
          <w:lang w:val="it-IT" w:eastAsia="en-US"/>
        </w:rPr>
        <w:t xml:space="preserve">a) </w:t>
      </w:r>
      <w:r w:rsidRPr="00B2256F">
        <w:rPr>
          <w:rFonts w:eastAsia="Calibri"/>
          <w:lang w:val="en-US" w:eastAsia="en-US"/>
        </w:rPr>
        <w:t>919.034.529</w:t>
      </w:r>
      <w:r w:rsidRPr="00B2256F">
        <w:rPr>
          <w:rFonts w:eastAsia="Calibri"/>
          <w:lang w:val="it-IT" w:eastAsia="en-US"/>
        </w:rPr>
        <w:t xml:space="preserve"> lei reprezinta obligatii fiscale principale atrase suplimentar de activitatea de inspectie fiscala persoane juridice, avand urmatoarea structura pe categorii de venituri:</w:t>
      </w:r>
    </w:p>
    <w:p w:rsidR="00B2256F" w:rsidRPr="00B2256F" w:rsidRDefault="00B2256F" w:rsidP="00B2256F">
      <w:pPr>
        <w:autoSpaceDE w:val="0"/>
        <w:autoSpaceDN w:val="0"/>
        <w:adjustRightInd w:val="0"/>
        <w:jc w:val="both"/>
        <w:rPr>
          <w:rFonts w:eastAsia="Calibri"/>
          <w:lang w:val="it-IT" w:eastAsia="en-US"/>
        </w:rPr>
      </w:pPr>
      <w:r w:rsidRPr="00B2256F">
        <w:rPr>
          <w:rFonts w:eastAsia="Calibri"/>
          <w:lang w:val="it-IT" w:eastAsia="en-US"/>
        </w:rPr>
        <w:t xml:space="preserve">- impozit pe profit/venit = </w:t>
      </w:r>
      <w:r w:rsidRPr="00B2256F">
        <w:rPr>
          <w:rFonts w:eastAsia="Calibri"/>
          <w:lang w:val="en-US" w:eastAsia="en-US"/>
        </w:rPr>
        <w:t>280.326.471</w:t>
      </w:r>
      <w:r w:rsidRPr="00B2256F">
        <w:rPr>
          <w:rFonts w:eastAsia="Calibri"/>
          <w:lang w:val="it-IT" w:eastAsia="en-US"/>
        </w:rPr>
        <w:t xml:space="preserve"> lei,</w:t>
      </w:r>
    </w:p>
    <w:p w:rsidR="00B2256F" w:rsidRPr="00B2256F" w:rsidRDefault="00B2256F" w:rsidP="00B2256F">
      <w:pPr>
        <w:autoSpaceDE w:val="0"/>
        <w:autoSpaceDN w:val="0"/>
        <w:adjustRightInd w:val="0"/>
        <w:jc w:val="both"/>
        <w:rPr>
          <w:rFonts w:eastAsia="Calibri"/>
          <w:lang w:val="en-US" w:eastAsia="en-US"/>
        </w:rPr>
      </w:pPr>
      <w:r w:rsidRPr="00B2256F">
        <w:rPr>
          <w:rFonts w:eastAsia="Calibri"/>
          <w:lang w:val="en-US" w:eastAsia="en-US"/>
        </w:rPr>
        <w:t>- venituri microintreprinderi = 185.173  lei,</w:t>
      </w:r>
    </w:p>
    <w:p w:rsidR="00B2256F" w:rsidRPr="00B2256F" w:rsidRDefault="00B2256F" w:rsidP="00B2256F">
      <w:pPr>
        <w:autoSpaceDE w:val="0"/>
        <w:autoSpaceDN w:val="0"/>
        <w:adjustRightInd w:val="0"/>
        <w:jc w:val="both"/>
        <w:rPr>
          <w:rFonts w:eastAsia="Calibri"/>
          <w:lang w:val="it-IT" w:eastAsia="en-US"/>
        </w:rPr>
      </w:pPr>
      <w:r w:rsidRPr="00B2256F">
        <w:rPr>
          <w:rFonts w:eastAsia="Calibri"/>
          <w:lang w:val="it-IT" w:eastAsia="en-US"/>
        </w:rPr>
        <w:lastRenderedPageBreak/>
        <w:t>- taxa pe valo</w:t>
      </w:r>
      <w:r w:rsidRPr="00B2256F">
        <w:rPr>
          <w:rFonts w:eastAsia="Calibri"/>
          <w:lang w:val="en-US" w:eastAsia="en-US"/>
        </w:rPr>
        <w:t>a</w:t>
      </w:r>
      <w:r w:rsidRPr="00B2256F">
        <w:rPr>
          <w:rFonts w:eastAsia="Calibri"/>
          <w:lang w:val="it-IT" w:eastAsia="en-US"/>
        </w:rPr>
        <w:t xml:space="preserve">rea adaugata = </w:t>
      </w:r>
      <w:r w:rsidRPr="00B2256F">
        <w:rPr>
          <w:rFonts w:eastAsia="Calibri"/>
          <w:lang w:val="en-US" w:eastAsia="en-US"/>
        </w:rPr>
        <w:t>541.477.089</w:t>
      </w:r>
      <w:r w:rsidRPr="00B2256F">
        <w:rPr>
          <w:rFonts w:eastAsia="Calibri"/>
          <w:lang w:val="it-IT" w:eastAsia="en-US"/>
        </w:rPr>
        <w:t xml:space="preserve"> lei,</w:t>
      </w:r>
    </w:p>
    <w:p w:rsidR="00B2256F" w:rsidRPr="00B2256F" w:rsidRDefault="00B2256F" w:rsidP="00B2256F">
      <w:pPr>
        <w:autoSpaceDE w:val="0"/>
        <w:autoSpaceDN w:val="0"/>
        <w:adjustRightInd w:val="0"/>
        <w:jc w:val="both"/>
        <w:rPr>
          <w:rFonts w:eastAsia="Calibri"/>
          <w:lang w:val="it-IT" w:eastAsia="en-US"/>
        </w:rPr>
      </w:pPr>
      <w:r w:rsidRPr="00B2256F">
        <w:rPr>
          <w:rFonts w:eastAsia="Calibri"/>
          <w:lang w:val="it-IT" w:eastAsia="en-US"/>
        </w:rPr>
        <w:t xml:space="preserve">- impozit de natura salariala = </w:t>
      </w:r>
      <w:r w:rsidRPr="00B2256F">
        <w:rPr>
          <w:rFonts w:eastAsia="Calibri"/>
          <w:lang w:val="en-US" w:eastAsia="en-US"/>
        </w:rPr>
        <w:t>8.839.207</w:t>
      </w:r>
      <w:r w:rsidRPr="00B2256F">
        <w:rPr>
          <w:rFonts w:eastAsia="Calibri"/>
          <w:lang w:val="it-IT" w:eastAsia="en-US"/>
        </w:rPr>
        <w:t xml:space="preserve"> lei ,</w:t>
      </w:r>
    </w:p>
    <w:p w:rsidR="00B2256F" w:rsidRPr="00B2256F" w:rsidRDefault="00B2256F" w:rsidP="00B2256F">
      <w:pPr>
        <w:autoSpaceDE w:val="0"/>
        <w:autoSpaceDN w:val="0"/>
        <w:adjustRightInd w:val="0"/>
        <w:jc w:val="both"/>
        <w:rPr>
          <w:rFonts w:eastAsia="Calibri"/>
          <w:lang w:val="en-US" w:eastAsia="en-US"/>
        </w:rPr>
      </w:pPr>
      <w:r w:rsidRPr="00B2256F">
        <w:rPr>
          <w:rFonts w:eastAsia="Calibri"/>
          <w:lang w:val="en-US" w:eastAsia="en-US"/>
        </w:rPr>
        <w:t>- impozit nerezidenti = 864 lei,</w:t>
      </w:r>
    </w:p>
    <w:p w:rsidR="00B2256F" w:rsidRPr="00B2256F" w:rsidRDefault="00B2256F" w:rsidP="00B2256F">
      <w:pPr>
        <w:autoSpaceDE w:val="0"/>
        <w:autoSpaceDN w:val="0"/>
        <w:adjustRightInd w:val="0"/>
        <w:jc w:val="both"/>
        <w:rPr>
          <w:rFonts w:eastAsia="Calibri"/>
          <w:lang w:val="it-IT" w:eastAsia="en-US"/>
        </w:rPr>
      </w:pPr>
      <w:r w:rsidRPr="00B2256F">
        <w:rPr>
          <w:rFonts w:eastAsia="Calibri"/>
          <w:lang w:val="it-IT" w:eastAsia="en-US"/>
        </w:rPr>
        <w:t xml:space="preserve">- contributia la asigurarile sociale = </w:t>
      </w:r>
      <w:r w:rsidRPr="00B2256F">
        <w:rPr>
          <w:rFonts w:eastAsia="Calibri"/>
          <w:lang w:val="en-US" w:eastAsia="en-US"/>
        </w:rPr>
        <w:t>17.147.795</w:t>
      </w:r>
      <w:r w:rsidRPr="00B2256F">
        <w:rPr>
          <w:rFonts w:eastAsia="Calibri"/>
          <w:lang w:val="it-IT" w:eastAsia="en-US"/>
        </w:rPr>
        <w:t xml:space="preserve"> lei,</w:t>
      </w:r>
    </w:p>
    <w:p w:rsidR="00B2256F" w:rsidRPr="00B2256F" w:rsidRDefault="00B2256F" w:rsidP="00B2256F">
      <w:pPr>
        <w:autoSpaceDE w:val="0"/>
        <w:autoSpaceDN w:val="0"/>
        <w:adjustRightInd w:val="0"/>
        <w:jc w:val="both"/>
        <w:rPr>
          <w:rFonts w:eastAsia="Calibri"/>
          <w:lang w:val="it-IT" w:eastAsia="en-US"/>
        </w:rPr>
      </w:pPr>
      <w:r w:rsidRPr="00B2256F">
        <w:rPr>
          <w:rFonts w:eastAsia="Calibri"/>
          <w:lang w:val="it-IT" w:eastAsia="en-US"/>
        </w:rPr>
        <w:t xml:space="preserve">- contributia la asigurarile pentru somaj = </w:t>
      </w:r>
      <w:r w:rsidRPr="00B2256F">
        <w:rPr>
          <w:rFonts w:eastAsia="Calibri"/>
          <w:lang w:val="en-US" w:eastAsia="en-US"/>
        </w:rPr>
        <w:t>792.024</w:t>
      </w:r>
      <w:r w:rsidRPr="00B2256F">
        <w:rPr>
          <w:rFonts w:eastAsia="Calibri"/>
          <w:lang w:val="it-IT" w:eastAsia="en-US"/>
        </w:rPr>
        <w:t xml:space="preserve"> lei,</w:t>
      </w:r>
    </w:p>
    <w:p w:rsidR="00B2256F" w:rsidRPr="00B2256F" w:rsidRDefault="00B2256F" w:rsidP="00B2256F">
      <w:pPr>
        <w:autoSpaceDE w:val="0"/>
        <w:autoSpaceDN w:val="0"/>
        <w:adjustRightInd w:val="0"/>
        <w:jc w:val="both"/>
        <w:rPr>
          <w:rFonts w:eastAsia="Calibri"/>
          <w:lang w:val="it-IT" w:eastAsia="en-US"/>
        </w:rPr>
      </w:pPr>
      <w:r w:rsidRPr="00B2256F">
        <w:rPr>
          <w:rFonts w:eastAsia="Calibri"/>
          <w:lang w:val="it-IT" w:eastAsia="en-US"/>
        </w:rPr>
        <w:t xml:space="preserve">- contributia la asigurarile sociale de sanatate = </w:t>
      </w:r>
      <w:r w:rsidRPr="00B2256F">
        <w:rPr>
          <w:rFonts w:eastAsia="Calibri"/>
          <w:lang w:val="en-US" w:eastAsia="en-US"/>
        </w:rPr>
        <w:t>7.595.656</w:t>
      </w:r>
      <w:r w:rsidRPr="00B2256F">
        <w:rPr>
          <w:rFonts w:eastAsia="Calibri"/>
          <w:lang w:val="it-IT" w:eastAsia="en-US"/>
        </w:rPr>
        <w:t xml:space="preserve"> lei,</w:t>
      </w:r>
    </w:p>
    <w:p w:rsidR="00B2256F" w:rsidRPr="00B2256F" w:rsidRDefault="00B2256F" w:rsidP="00B2256F">
      <w:pPr>
        <w:autoSpaceDE w:val="0"/>
        <w:autoSpaceDN w:val="0"/>
        <w:adjustRightInd w:val="0"/>
        <w:jc w:val="both"/>
        <w:rPr>
          <w:rFonts w:eastAsia="Calibri"/>
          <w:lang w:val="it-IT" w:eastAsia="en-US"/>
        </w:rPr>
      </w:pPr>
      <w:r w:rsidRPr="00B2256F">
        <w:rPr>
          <w:rFonts w:eastAsia="Calibri"/>
          <w:lang w:val="it-IT" w:eastAsia="en-US"/>
        </w:rPr>
        <w:t xml:space="preserve">- impozit pe dividende = </w:t>
      </w:r>
      <w:r w:rsidRPr="00B2256F">
        <w:rPr>
          <w:rFonts w:eastAsia="Calibri"/>
          <w:lang w:val="en-US" w:eastAsia="en-US"/>
        </w:rPr>
        <w:t>1.529.605</w:t>
      </w:r>
      <w:r w:rsidRPr="00B2256F">
        <w:rPr>
          <w:rFonts w:eastAsia="Calibri"/>
          <w:lang w:val="it-IT" w:eastAsia="en-US"/>
        </w:rPr>
        <w:t xml:space="preserve"> lei,</w:t>
      </w:r>
    </w:p>
    <w:p w:rsidR="00B2256F" w:rsidRPr="00B2256F" w:rsidRDefault="00B2256F" w:rsidP="00B2256F">
      <w:pPr>
        <w:autoSpaceDE w:val="0"/>
        <w:autoSpaceDN w:val="0"/>
        <w:adjustRightInd w:val="0"/>
        <w:jc w:val="both"/>
        <w:rPr>
          <w:rFonts w:eastAsia="Calibri"/>
          <w:lang w:val="it-IT" w:eastAsia="en-US"/>
        </w:rPr>
      </w:pPr>
      <w:r w:rsidRPr="00B2256F">
        <w:rPr>
          <w:rFonts w:eastAsia="Calibri"/>
          <w:lang w:val="it-IT" w:eastAsia="en-US"/>
        </w:rPr>
        <w:t xml:space="preserve">- accize = </w:t>
      </w:r>
      <w:r w:rsidRPr="00B2256F">
        <w:rPr>
          <w:rFonts w:eastAsia="Calibri"/>
          <w:lang w:val="en-US" w:eastAsia="en-US"/>
        </w:rPr>
        <w:t>59.330.814</w:t>
      </w:r>
      <w:r w:rsidRPr="00B2256F">
        <w:rPr>
          <w:rFonts w:eastAsia="Calibri"/>
          <w:lang w:val="it-IT" w:eastAsia="en-US"/>
        </w:rPr>
        <w:t xml:space="preserve"> lei,</w:t>
      </w:r>
    </w:p>
    <w:p w:rsidR="00B2256F" w:rsidRPr="00B2256F" w:rsidRDefault="00B2256F" w:rsidP="00B2256F">
      <w:pPr>
        <w:autoSpaceDE w:val="0"/>
        <w:autoSpaceDN w:val="0"/>
        <w:adjustRightInd w:val="0"/>
        <w:jc w:val="both"/>
        <w:rPr>
          <w:rFonts w:eastAsia="Calibri"/>
          <w:lang w:val="it-IT" w:eastAsia="en-US"/>
        </w:rPr>
      </w:pPr>
      <w:r w:rsidRPr="00B2256F">
        <w:rPr>
          <w:rFonts w:eastAsia="Calibri"/>
          <w:lang w:val="it-IT" w:eastAsia="en-US"/>
        </w:rPr>
        <w:t xml:space="preserve">- alte impozite = </w:t>
      </w:r>
      <w:r w:rsidRPr="00B2256F">
        <w:rPr>
          <w:rFonts w:eastAsia="Calibri"/>
          <w:lang w:val="en-US" w:eastAsia="en-US"/>
        </w:rPr>
        <w:t>1.809.831</w:t>
      </w:r>
      <w:r w:rsidRPr="00B2256F">
        <w:rPr>
          <w:rFonts w:eastAsia="Calibri"/>
          <w:lang w:val="it-IT" w:eastAsia="en-US"/>
        </w:rPr>
        <w:t xml:space="preserve"> lei.</w:t>
      </w:r>
    </w:p>
    <w:p w:rsidR="00B2256F" w:rsidRPr="00B2256F" w:rsidRDefault="00B2256F" w:rsidP="00B2256F">
      <w:pPr>
        <w:autoSpaceDE w:val="0"/>
        <w:autoSpaceDN w:val="0"/>
        <w:adjustRightInd w:val="0"/>
        <w:jc w:val="both"/>
        <w:rPr>
          <w:rFonts w:eastAsia="Calibri"/>
          <w:lang w:val="it-IT" w:eastAsia="en-US"/>
        </w:rPr>
      </w:pPr>
      <w:r w:rsidRPr="00B2256F">
        <w:rPr>
          <w:rFonts w:eastAsia="Calibri"/>
          <w:lang w:val="it-IT" w:eastAsia="en-US"/>
        </w:rPr>
        <w:t xml:space="preserve">b) </w:t>
      </w:r>
      <w:r w:rsidRPr="00B2256F">
        <w:rPr>
          <w:rFonts w:eastAsia="Calibri"/>
          <w:bCs/>
          <w:lang w:val="en-US" w:eastAsia="en-US"/>
        </w:rPr>
        <w:t>45.145.201</w:t>
      </w:r>
      <w:r w:rsidRPr="00B2256F">
        <w:rPr>
          <w:rFonts w:eastAsia="Calibri"/>
          <w:lang w:val="it-IT" w:eastAsia="en-US"/>
        </w:rPr>
        <w:t xml:space="preserve"> lei reprezinta obligatii fiscale principale atrase suplimentar de activitatea de inspectie fiscala persoane fizice, avand urmatoarea structura pe categorii de venituri:</w:t>
      </w:r>
    </w:p>
    <w:p w:rsidR="00B2256F" w:rsidRPr="00B2256F" w:rsidRDefault="00B2256F" w:rsidP="00B2256F">
      <w:pPr>
        <w:autoSpaceDE w:val="0"/>
        <w:autoSpaceDN w:val="0"/>
        <w:adjustRightInd w:val="0"/>
        <w:jc w:val="both"/>
        <w:rPr>
          <w:rFonts w:eastAsia="Calibri"/>
          <w:lang w:val="it-IT" w:eastAsia="en-US"/>
        </w:rPr>
      </w:pPr>
      <w:r w:rsidRPr="00B2256F">
        <w:rPr>
          <w:rFonts w:eastAsia="Calibri"/>
          <w:lang w:val="it-IT" w:eastAsia="en-US"/>
        </w:rPr>
        <w:t xml:space="preserve">- impozit pe venit = </w:t>
      </w:r>
      <w:r w:rsidRPr="00B2256F">
        <w:rPr>
          <w:rFonts w:eastAsia="Calibri"/>
          <w:lang w:val="en-US" w:eastAsia="en-US"/>
        </w:rPr>
        <w:t>3.313.878</w:t>
      </w:r>
      <w:r w:rsidRPr="00B2256F">
        <w:rPr>
          <w:rFonts w:eastAsia="Calibri"/>
          <w:lang w:val="it-IT" w:eastAsia="en-US"/>
        </w:rPr>
        <w:t xml:space="preserve"> lei,</w:t>
      </w:r>
    </w:p>
    <w:p w:rsidR="00B2256F" w:rsidRPr="00B2256F" w:rsidRDefault="00B2256F" w:rsidP="00B2256F">
      <w:pPr>
        <w:autoSpaceDE w:val="0"/>
        <w:autoSpaceDN w:val="0"/>
        <w:adjustRightInd w:val="0"/>
        <w:jc w:val="both"/>
        <w:rPr>
          <w:rFonts w:eastAsia="Calibri"/>
          <w:lang w:val="it-IT" w:eastAsia="en-US"/>
        </w:rPr>
      </w:pPr>
      <w:r w:rsidRPr="00B2256F">
        <w:rPr>
          <w:rFonts w:eastAsia="Calibri"/>
          <w:lang w:val="it-IT" w:eastAsia="en-US"/>
        </w:rPr>
        <w:t xml:space="preserve">- taxa pe valorea adaugata = </w:t>
      </w:r>
      <w:r w:rsidRPr="00B2256F">
        <w:rPr>
          <w:rFonts w:eastAsia="Calibri"/>
          <w:lang w:val="en-US" w:eastAsia="en-US"/>
        </w:rPr>
        <w:t>38.043.083</w:t>
      </w:r>
      <w:r w:rsidRPr="00B2256F">
        <w:rPr>
          <w:rFonts w:eastAsia="Calibri"/>
          <w:lang w:val="it-IT" w:eastAsia="en-US"/>
        </w:rPr>
        <w:t xml:space="preserve"> lei,</w:t>
      </w:r>
    </w:p>
    <w:p w:rsidR="00B2256F" w:rsidRPr="00B2256F" w:rsidRDefault="00B2256F" w:rsidP="00B2256F">
      <w:pPr>
        <w:autoSpaceDE w:val="0"/>
        <w:autoSpaceDN w:val="0"/>
        <w:adjustRightInd w:val="0"/>
        <w:jc w:val="both"/>
        <w:rPr>
          <w:rFonts w:eastAsia="Calibri"/>
          <w:lang w:val="it-IT" w:eastAsia="en-US"/>
        </w:rPr>
      </w:pPr>
      <w:r w:rsidRPr="00B2256F">
        <w:rPr>
          <w:rFonts w:eastAsia="Calibri"/>
          <w:lang w:val="it-IT" w:eastAsia="en-US"/>
        </w:rPr>
        <w:t xml:space="preserve">- contributia la asigurarile sociale = </w:t>
      </w:r>
      <w:r w:rsidRPr="00B2256F">
        <w:rPr>
          <w:rFonts w:eastAsia="Calibri"/>
          <w:lang w:val="en-US" w:eastAsia="en-US"/>
        </w:rPr>
        <w:t>119.329</w:t>
      </w:r>
      <w:r w:rsidRPr="00B2256F">
        <w:rPr>
          <w:rFonts w:eastAsia="Calibri"/>
          <w:lang w:val="it-IT" w:eastAsia="en-US"/>
        </w:rPr>
        <w:t xml:space="preserve"> lei,</w:t>
      </w:r>
    </w:p>
    <w:p w:rsidR="00B2256F" w:rsidRPr="00B2256F" w:rsidRDefault="00B2256F" w:rsidP="00B2256F">
      <w:pPr>
        <w:autoSpaceDE w:val="0"/>
        <w:autoSpaceDN w:val="0"/>
        <w:adjustRightInd w:val="0"/>
        <w:jc w:val="both"/>
        <w:rPr>
          <w:rFonts w:eastAsia="Calibri"/>
          <w:lang w:val="it-IT" w:eastAsia="en-US"/>
        </w:rPr>
      </w:pPr>
      <w:r w:rsidRPr="00B2256F">
        <w:rPr>
          <w:rFonts w:eastAsia="Calibri"/>
          <w:lang w:val="it-IT" w:eastAsia="en-US"/>
        </w:rPr>
        <w:t xml:space="preserve">- contributia la asigurarile sociale de sanatate = </w:t>
      </w:r>
      <w:r w:rsidRPr="00B2256F">
        <w:rPr>
          <w:rFonts w:eastAsia="Calibri"/>
          <w:lang w:val="en-US" w:eastAsia="en-US"/>
        </w:rPr>
        <w:t>2.788.227</w:t>
      </w:r>
      <w:r w:rsidRPr="00B2256F">
        <w:rPr>
          <w:rFonts w:eastAsia="Calibri"/>
          <w:lang w:val="it-IT" w:eastAsia="en-US"/>
        </w:rPr>
        <w:t xml:space="preserve"> lei,</w:t>
      </w:r>
    </w:p>
    <w:p w:rsidR="00B2256F" w:rsidRPr="00B2256F" w:rsidRDefault="00B2256F" w:rsidP="00B2256F">
      <w:pPr>
        <w:autoSpaceDE w:val="0"/>
        <w:autoSpaceDN w:val="0"/>
        <w:adjustRightInd w:val="0"/>
        <w:jc w:val="both"/>
        <w:rPr>
          <w:rFonts w:eastAsia="Calibri"/>
          <w:lang w:val="it-IT" w:eastAsia="en-US"/>
        </w:rPr>
      </w:pPr>
      <w:r w:rsidRPr="00B2256F">
        <w:rPr>
          <w:rFonts w:eastAsia="Calibri"/>
          <w:lang w:val="it-IT" w:eastAsia="en-US"/>
        </w:rPr>
        <w:t xml:space="preserve">- alte impozite = </w:t>
      </w:r>
      <w:r w:rsidRPr="00B2256F">
        <w:rPr>
          <w:rFonts w:eastAsia="Calibri"/>
          <w:lang w:val="en-US" w:eastAsia="en-US"/>
        </w:rPr>
        <w:t>35.116</w:t>
      </w:r>
      <w:r w:rsidRPr="00B2256F">
        <w:rPr>
          <w:rFonts w:eastAsia="Calibri"/>
          <w:lang w:val="it-IT" w:eastAsia="en-US"/>
        </w:rPr>
        <w:t xml:space="preserve"> lei.</w:t>
      </w:r>
    </w:p>
    <w:p w:rsidR="00B2256F" w:rsidRPr="00B2256F" w:rsidRDefault="00B2256F" w:rsidP="00B2256F">
      <w:pPr>
        <w:widowControl w:val="0"/>
        <w:tabs>
          <w:tab w:val="left" w:pos="0"/>
        </w:tabs>
        <w:jc w:val="both"/>
        <w:rPr>
          <w:kern w:val="2"/>
          <w:lang w:val="en-US" w:eastAsia="zh-CN"/>
        </w:rPr>
      </w:pPr>
      <w:r w:rsidRPr="00B2256F">
        <w:rPr>
          <w:kern w:val="2"/>
          <w:lang w:val="en-US" w:eastAsia="zh-CN"/>
        </w:rPr>
        <w:tab/>
        <w:t xml:space="preserve">Totodata, in cursul anului 2018 au fost atrase la bugetul de stat consolidat obligatii fiscale accesorii aferente sumelor suplimentare principale stabilite, in valoare totala de 49.857.946 lei (din care 18.442.041 lei la persoane juridice, respectiv 31.415.905  lei la persoane fizice). </w:t>
      </w:r>
    </w:p>
    <w:p w:rsidR="00B2256F" w:rsidRPr="00B2256F" w:rsidRDefault="00B2256F" w:rsidP="00B2256F">
      <w:pPr>
        <w:widowControl w:val="0"/>
        <w:tabs>
          <w:tab w:val="left" w:pos="0"/>
        </w:tabs>
        <w:jc w:val="both"/>
        <w:rPr>
          <w:kern w:val="2"/>
          <w:lang w:val="en-US" w:eastAsia="zh-CN"/>
        </w:rPr>
      </w:pPr>
      <w:r w:rsidRPr="00B2256F">
        <w:rPr>
          <w:kern w:val="2"/>
          <w:lang w:val="en-US" w:eastAsia="zh-CN"/>
        </w:rPr>
        <w:tab/>
        <w:t>Deosebit de sumele stabilite suplimentar, organele de inspectie fiscala au diminuat pierderea fiscala inregistrata de catre contribuabili cu suma de 166.654.005</w:t>
      </w:r>
      <w:r w:rsidRPr="00B2256F">
        <w:rPr>
          <w:kern w:val="2"/>
          <w:lang w:val="it-IT" w:eastAsia="zh-CN"/>
        </w:rPr>
        <w:t xml:space="preserve"> lei</w:t>
      </w:r>
      <w:r w:rsidRPr="00B2256F">
        <w:rPr>
          <w:kern w:val="2"/>
          <w:lang w:val="en-US" w:eastAsia="zh-CN"/>
        </w:rPr>
        <w:t xml:space="preserve">. </w:t>
      </w:r>
    </w:p>
    <w:p w:rsidR="00B2256F" w:rsidRPr="00B2256F" w:rsidRDefault="00B2256F" w:rsidP="00B2256F">
      <w:pPr>
        <w:widowControl w:val="0"/>
        <w:tabs>
          <w:tab w:val="left" w:pos="0"/>
        </w:tabs>
        <w:jc w:val="both"/>
        <w:rPr>
          <w:kern w:val="2"/>
          <w:lang w:val="en-US" w:eastAsia="zh-CN"/>
        </w:rPr>
      </w:pPr>
      <w:r w:rsidRPr="00B2256F">
        <w:rPr>
          <w:kern w:val="2"/>
          <w:lang w:val="en-US" w:eastAsia="zh-CN"/>
        </w:rPr>
        <w:tab/>
        <w:t xml:space="preserve">Urmare deficientelor constatate in timpul actiunilor de control fiscal desfasurate, organele de control din cadrul Activitatii de Inspectie Fiscala au sanctionat un numar de 198 contribuabili persoane juridice si 8 contribuabili persoane fizice cu amenzi contraventionale in valoare totala de 428.300 lei. </w:t>
      </w:r>
    </w:p>
    <w:p w:rsidR="00B2256F" w:rsidRPr="00B2256F" w:rsidRDefault="00B2256F" w:rsidP="00B2256F">
      <w:pPr>
        <w:widowControl w:val="0"/>
        <w:tabs>
          <w:tab w:val="left" w:pos="0"/>
        </w:tabs>
        <w:jc w:val="both"/>
        <w:rPr>
          <w:kern w:val="2"/>
          <w:lang w:val="en-US" w:eastAsia="zh-CN"/>
        </w:rPr>
      </w:pPr>
      <w:r w:rsidRPr="00B2256F">
        <w:rPr>
          <w:kern w:val="2"/>
          <w:lang w:val="en-US" w:eastAsia="zh-CN"/>
        </w:rPr>
        <w:tab/>
        <w:t xml:space="preserve">Pentru un numar de 66 persoane juridice si 10 persoane fizice ce au creat prejudiciu bugetului general consolidat al statului in valoare totala de 156.278.885 lei, au fost intocmite sesizari penale in vederea continuarii cercetarilor si incadrarea faptelor de catre organele abilitate ale statului. </w:t>
      </w:r>
    </w:p>
    <w:p w:rsidR="00B2256F" w:rsidRPr="00B2256F" w:rsidRDefault="00B2256F" w:rsidP="00B2256F">
      <w:pPr>
        <w:widowControl w:val="0"/>
        <w:tabs>
          <w:tab w:val="left" w:pos="0"/>
        </w:tabs>
        <w:jc w:val="both"/>
        <w:rPr>
          <w:kern w:val="2"/>
          <w:lang w:val="en-US" w:eastAsia="zh-CN"/>
        </w:rPr>
      </w:pPr>
      <w:r w:rsidRPr="00B2256F">
        <w:rPr>
          <w:kern w:val="2"/>
          <w:lang w:val="en-US" w:eastAsia="zh-CN"/>
        </w:rPr>
        <w:tab/>
        <w:t xml:space="preserve">In timpul actiunilor de control, organele de inspectie fiscala au constatat ca exista pericolul ca 29 contribuabili persoane juridice si fizice sa se sustraga de la urmarire sau sa isi ascunda ori sa isi risipeasca patrimoniu/averea, drept urmare au dispus instituirea de masuri asiguratorii in cuantum de 133.801.841 lei asupra conturilor de disponibilitati banesti, precum si asupra bunurilor proprietate ale debitorilor. </w:t>
      </w:r>
    </w:p>
    <w:p w:rsidR="00B2256F" w:rsidRDefault="00B2256F" w:rsidP="00A77970">
      <w:pPr>
        <w:jc w:val="both"/>
        <w:outlineLvl w:val="1"/>
        <w:rPr>
          <w:b/>
          <w:noProof/>
          <w:kern w:val="28"/>
          <w:lang w:eastAsia="en-US"/>
        </w:rPr>
      </w:pPr>
    </w:p>
    <w:p w:rsidR="007E3897" w:rsidRPr="007E3897" w:rsidRDefault="00060144" w:rsidP="0029208D">
      <w:pPr>
        <w:ind w:firstLine="708"/>
        <w:jc w:val="both"/>
        <w:rPr>
          <w:noProof/>
          <w:kern w:val="28"/>
          <w:sz w:val="18"/>
          <w:szCs w:val="18"/>
          <w:lang w:eastAsia="en-US"/>
        </w:rPr>
      </w:pPr>
      <w:r w:rsidRPr="00660E31">
        <w:rPr>
          <w:bCs/>
          <w:kern w:val="28"/>
          <w:lang w:eastAsia="en-US"/>
        </w:rPr>
        <w:t xml:space="preserve">Conform datelor Casei Naționale de Pensii </w:t>
      </w:r>
      <w:r w:rsidR="00146EB9">
        <w:rPr>
          <w:bCs/>
          <w:kern w:val="28"/>
          <w:lang w:eastAsia="en-US"/>
        </w:rPr>
        <w:t>Publice</w:t>
      </w:r>
      <w:r w:rsidRPr="00660E31">
        <w:rPr>
          <w:b/>
          <w:bCs/>
          <w:kern w:val="28"/>
          <w:lang w:eastAsia="en-US"/>
        </w:rPr>
        <w:t>, situația pensiei</w:t>
      </w:r>
      <w:r w:rsidR="007E3897" w:rsidRPr="00660E31">
        <w:rPr>
          <w:b/>
          <w:bCs/>
          <w:kern w:val="28"/>
          <w:lang w:eastAsia="en-US"/>
        </w:rPr>
        <w:t xml:space="preserve"> medi</w:t>
      </w:r>
      <w:r w:rsidRPr="00660E31">
        <w:rPr>
          <w:b/>
          <w:bCs/>
          <w:kern w:val="28"/>
          <w:lang w:eastAsia="en-US"/>
        </w:rPr>
        <w:t>i</w:t>
      </w:r>
      <w:r w:rsidR="007E3897" w:rsidRPr="00660E31">
        <w:rPr>
          <w:b/>
          <w:bCs/>
          <w:kern w:val="28"/>
          <w:lang w:eastAsia="en-US"/>
        </w:rPr>
        <w:t xml:space="preserve"> lunar</w:t>
      </w:r>
      <w:r w:rsidRPr="00660E31">
        <w:rPr>
          <w:b/>
          <w:bCs/>
          <w:kern w:val="28"/>
          <w:lang w:eastAsia="en-US"/>
        </w:rPr>
        <w:t>e</w:t>
      </w:r>
      <w:r w:rsidR="007E3897" w:rsidRPr="00660E31">
        <w:rPr>
          <w:b/>
          <w:bCs/>
          <w:kern w:val="28"/>
          <w:lang w:eastAsia="en-US"/>
        </w:rPr>
        <w:t xml:space="preserve"> de asigurări sociale de stat</w:t>
      </w:r>
      <w:bookmarkEnd w:id="0"/>
      <w:bookmarkEnd w:id="1"/>
      <w:bookmarkEnd w:id="2"/>
      <w:r w:rsidR="00660E31" w:rsidRPr="00660E31">
        <w:rPr>
          <w:b/>
          <w:bCs/>
          <w:kern w:val="28"/>
          <w:lang w:eastAsia="en-US"/>
        </w:rPr>
        <w:t xml:space="preserve">, pe categorii de pensii, </w:t>
      </w:r>
      <w:r w:rsidRPr="00660E31">
        <w:rPr>
          <w:b/>
          <w:bCs/>
          <w:kern w:val="28"/>
          <w:lang w:eastAsia="en-US"/>
        </w:rPr>
        <w:t>se prezintă astfel:</w:t>
      </w:r>
      <w:r w:rsidR="0029208D">
        <w:rPr>
          <w:b/>
          <w:bCs/>
          <w:kern w:val="28"/>
          <w:lang w:eastAsia="en-US"/>
        </w:rPr>
        <w:tab/>
      </w:r>
      <w:r w:rsidR="0029208D">
        <w:rPr>
          <w:b/>
          <w:bCs/>
          <w:kern w:val="28"/>
          <w:lang w:eastAsia="en-US"/>
        </w:rPr>
        <w:tab/>
      </w:r>
      <w:r w:rsidR="0029208D">
        <w:rPr>
          <w:b/>
          <w:bCs/>
          <w:kern w:val="28"/>
          <w:lang w:eastAsia="en-US"/>
        </w:rPr>
        <w:tab/>
      </w:r>
      <w:r w:rsidR="0029208D">
        <w:rPr>
          <w:b/>
          <w:bCs/>
          <w:kern w:val="28"/>
          <w:lang w:eastAsia="en-US"/>
        </w:rPr>
        <w:tab/>
      </w:r>
      <w:r w:rsidR="0029208D">
        <w:rPr>
          <w:b/>
          <w:bCs/>
          <w:kern w:val="28"/>
          <w:lang w:eastAsia="en-US"/>
        </w:rPr>
        <w:tab/>
      </w:r>
      <w:r w:rsidR="007E3897" w:rsidRPr="007E3897">
        <w:rPr>
          <w:noProof/>
          <w:kern w:val="28"/>
          <w:sz w:val="18"/>
          <w:szCs w:val="18"/>
          <w:lang w:eastAsia="en-US"/>
        </w:rPr>
        <w:t xml:space="preserve">- </w:t>
      </w:r>
      <w:r w:rsidR="007E3897" w:rsidRPr="004D0E4C">
        <w:rPr>
          <w:noProof/>
          <w:kern w:val="28"/>
          <w:lang w:eastAsia="en-US"/>
        </w:rPr>
        <w:t>lei/lună –</w:t>
      </w:r>
    </w:p>
    <w:tbl>
      <w:tblPr>
        <w:tblW w:w="9961" w:type="dxa"/>
        <w:jc w:val="center"/>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4319"/>
        <w:gridCol w:w="1410"/>
        <w:gridCol w:w="1411"/>
        <w:gridCol w:w="1410"/>
        <w:gridCol w:w="1411"/>
      </w:tblGrid>
      <w:tr w:rsidR="007E3897" w:rsidRPr="00660E31" w:rsidTr="004D0E4C">
        <w:trPr>
          <w:cantSplit/>
          <w:jc w:val="center"/>
        </w:trPr>
        <w:tc>
          <w:tcPr>
            <w:tcW w:w="4319" w:type="dxa"/>
            <w:vMerge w:val="restart"/>
            <w:tcBorders>
              <w:top w:val="single" w:sz="4" w:space="0" w:color="auto"/>
              <w:right w:val="single" w:sz="4" w:space="0" w:color="auto"/>
            </w:tcBorders>
            <w:shd w:val="clear" w:color="auto" w:fill="auto"/>
          </w:tcPr>
          <w:p w:rsidR="007E3897" w:rsidRPr="00660E31" w:rsidRDefault="007E3897" w:rsidP="00A77970">
            <w:pPr>
              <w:jc w:val="center"/>
              <w:rPr>
                <w:b/>
                <w:noProof/>
                <w:kern w:val="28"/>
                <w:lang w:eastAsia="en-US"/>
              </w:rPr>
            </w:pPr>
          </w:p>
        </w:tc>
        <w:tc>
          <w:tcPr>
            <w:tcW w:w="5642" w:type="dxa"/>
            <w:gridSpan w:val="4"/>
            <w:tcBorders>
              <w:top w:val="single" w:sz="4" w:space="0" w:color="auto"/>
              <w:left w:val="single" w:sz="4" w:space="0" w:color="auto"/>
            </w:tcBorders>
            <w:shd w:val="clear" w:color="auto" w:fill="auto"/>
          </w:tcPr>
          <w:p w:rsidR="007E3897" w:rsidRPr="00660E31" w:rsidRDefault="007E3897" w:rsidP="00A77970">
            <w:pPr>
              <w:jc w:val="center"/>
              <w:rPr>
                <w:b/>
                <w:noProof/>
                <w:kern w:val="28"/>
                <w:lang w:eastAsia="en-US"/>
              </w:rPr>
            </w:pPr>
            <w:r w:rsidRPr="00660E31">
              <w:rPr>
                <w:b/>
                <w:noProof/>
                <w:kern w:val="28"/>
                <w:lang w:eastAsia="en-US"/>
              </w:rPr>
              <w:t>201</w:t>
            </w:r>
            <w:r w:rsidR="00146EB9">
              <w:rPr>
                <w:b/>
                <w:noProof/>
                <w:kern w:val="28"/>
                <w:lang w:eastAsia="en-US"/>
              </w:rPr>
              <w:t>8</w:t>
            </w:r>
          </w:p>
        </w:tc>
      </w:tr>
      <w:tr w:rsidR="007E3897" w:rsidRPr="00660E31" w:rsidTr="004D0E4C">
        <w:trPr>
          <w:cantSplit/>
          <w:jc w:val="center"/>
        </w:trPr>
        <w:tc>
          <w:tcPr>
            <w:tcW w:w="4319" w:type="dxa"/>
            <w:vMerge/>
            <w:tcBorders>
              <w:right w:val="single" w:sz="4" w:space="0" w:color="auto"/>
            </w:tcBorders>
            <w:shd w:val="clear" w:color="auto" w:fill="auto"/>
          </w:tcPr>
          <w:p w:rsidR="007E3897" w:rsidRPr="00660E31" w:rsidRDefault="007E3897" w:rsidP="00A77970">
            <w:pPr>
              <w:rPr>
                <w:b/>
                <w:noProof/>
                <w:kern w:val="28"/>
                <w:lang w:eastAsia="en-US"/>
              </w:rPr>
            </w:pPr>
          </w:p>
        </w:tc>
        <w:tc>
          <w:tcPr>
            <w:tcW w:w="1410" w:type="dxa"/>
            <w:tcBorders>
              <w:left w:val="single" w:sz="4" w:space="0" w:color="auto"/>
            </w:tcBorders>
            <w:shd w:val="clear" w:color="auto" w:fill="auto"/>
            <w:vAlign w:val="bottom"/>
          </w:tcPr>
          <w:p w:rsidR="007E3897" w:rsidRPr="00660E31" w:rsidRDefault="007E3897" w:rsidP="00A77970">
            <w:pPr>
              <w:jc w:val="center"/>
              <w:rPr>
                <w:rFonts w:eastAsia="Arial Unicode MS"/>
                <w:b/>
                <w:noProof/>
                <w:kern w:val="28"/>
                <w:lang w:eastAsia="en-US"/>
              </w:rPr>
            </w:pPr>
            <w:r w:rsidRPr="00660E31">
              <w:rPr>
                <w:rFonts w:eastAsia="Arial Unicode MS"/>
                <w:b/>
                <w:noProof/>
                <w:kern w:val="28"/>
                <w:lang w:eastAsia="en-US"/>
              </w:rPr>
              <w:t>trim. I</w:t>
            </w:r>
          </w:p>
        </w:tc>
        <w:tc>
          <w:tcPr>
            <w:tcW w:w="1411" w:type="dxa"/>
            <w:shd w:val="clear" w:color="auto" w:fill="auto"/>
            <w:vAlign w:val="bottom"/>
          </w:tcPr>
          <w:p w:rsidR="007E3897" w:rsidRPr="00660E31" w:rsidRDefault="007E3897" w:rsidP="00A77970">
            <w:pPr>
              <w:jc w:val="center"/>
              <w:rPr>
                <w:rFonts w:eastAsia="Arial Unicode MS"/>
                <w:b/>
                <w:noProof/>
                <w:kern w:val="28"/>
                <w:lang w:eastAsia="en-US"/>
              </w:rPr>
            </w:pPr>
            <w:r w:rsidRPr="00660E31">
              <w:rPr>
                <w:rFonts w:eastAsia="Arial Unicode MS"/>
                <w:b/>
                <w:noProof/>
                <w:kern w:val="28"/>
                <w:lang w:eastAsia="en-US"/>
              </w:rPr>
              <w:t>trim. II</w:t>
            </w:r>
          </w:p>
        </w:tc>
        <w:tc>
          <w:tcPr>
            <w:tcW w:w="1410" w:type="dxa"/>
            <w:shd w:val="clear" w:color="auto" w:fill="auto"/>
            <w:vAlign w:val="bottom"/>
          </w:tcPr>
          <w:p w:rsidR="007E3897" w:rsidRPr="00660E31" w:rsidRDefault="007E3897" w:rsidP="00A77970">
            <w:pPr>
              <w:jc w:val="center"/>
              <w:rPr>
                <w:rFonts w:eastAsia="Arial Unicode MS"/>
                <w:b/>
                <w:noProof/>
                <w:kern w:val="28"/>
                <w:lang w:eastAsia="en-US"/>
              </w:rPr>
            </w:pPr>
            <w:r w:rsidRPr="00660E31">
              <w:rPr>
                <w:rFonts w:eastAsia="Arial Unicode MS"/>
                <w:b/>
                <w:noProof/>
                <w:kern w:val="28"/>
                <w:lang w:eastAsia="en-US"/>
              </w:rPr>
              <w:t>trim. III</w:t>
            </w:r>
          </w:p>
        </w:tc>
        <w:tc>
          <w:tcPr>
            <w:tcW w:w="1411" w:type="dxa"/>
            <w:shd w:val="clear" w:color="auto" w:fill="auto"/>
            <w:vAlign w:val="bottom"/>
          </w:tcPr>
          <w:p w:rsidR="007E3897" w:rsidRPr="00660E31" w:rsidRDefault="007E3897" w:rsidP="00A77970">
            <w:pPr>
              <w:jc w:val="center"/>
              <w:rPr>
                <w:rFonts w:eastAsia="Arial Unicode MS"/>
                <w:b/>
                <w:noProof/>
                <w:kern w:val="28"/>
                <w:lang w:eastAsia="en-US"/>
              </w:rPr>
            </w:pPr>
            <w:r w:rsidRPr="00660E31">
              <w:rPr>
                <w:b/>
                <w:noProof/>
                <w:kern w:val="28"/>
                <w:lang w:eastAsia="en-US"/>
              </w:rPr>
              <w:t>trim. IV</w:t>
            </w:r>
          </w:p>
        </w:tc>
      </w:tr>
      <w:tr w:rsidR="00146EB9" w:rsidRPr="00660E31" w:rsidTr="004D0E4C">
        <w:trPr>
          <w:cantSplit/>
          <w:trHeight w:val="284"/>
          <w:jc w:val="center"/>
        </w:trPr>
        <w:tc>
          <w:tcPr>
            <w:tcW w:w="4319" w:type="dxa"/>
            <w:tcBorders>
              <w:right w:val="single" w:sz="4" w:space="0" w:color="auto"/>
            </w:tcBorders>
            <w:shd w:val="clear" w:color="auto" w:fill="auto"/>
            <w:vAlign w:val="bottom"/>
          </w:tcPr>
          <w:p w:rsidR="00146EB9" w:rsidRPr="00660E31" w:rsidRDefault="00146EB9" w:rsidP="00A77970">
            <w:pPr>
              <w:ind w:left="57"/>
              <w:rPr>
                <w:b/>
                <w:noProof/>
                <w:kern w:val="28"/>
                <w:lang w:eastAsia="en-US"/>
              </w:rPr>
            </w:pPr>
            <w:r w:rsidRPr="00660E31">
              <w:rPr>
                <w:b/>
                <w:noProof/>
                <w:kern w:val="28"/>
                <w:lang w:eastAsia="en-US"/>
              </w:rPr>
              <w:t>1.  Pensie de asigurări sociale</w:t>
            </w:r>
          </w:p>
        </w:tc>
        <w:tc>
          <w:tcPr>
            <w:tcW w:w="1410" w:type="dxa"/>
            <w:tcBorders>
              <w:left w:val="single" w:sz="4" w:space="0" w:color="auto"/>
            </w:tcBorders>
            <w:shd w:val="clear" w:color="auto" w:fill="auto"/>
            <w:tcMar>
              <w:left w:w="113" w:type="dxa"/>
              <w:right w:w="113" w:type="dxa"/>
            </w:tcMar>
            <w:vAlign w:val="bottom"/>
          </w:tcPr>
          <w:p w:rsidR="00146EB9" w:rsidRPr="00146EB9" w:rsidRDefault="00146EB9" w:rsidP="00A77970">
            <w:pPr>
              <w:jc w:val="center"/>
              <w:rPr>
                <w:b/>
              </w:rPr>
            </w:pPr>
            <w:r w:rsidRPr="00146EB9">
              <w:rPr>
                <w:b/>
              </w:rPr>
              <w:t>1</w:t>
            </w:r>
            <w:r>
              <w:rPr>
                <w:b/>
              </w:rPr>
              <w:t>.</w:t>
            </w:r>
            <w:r w:rsidRPr="00146EB9">
              <w:rPr>
                <w:b/>
              </w:rPr>
              <w:t>363</w:t>
            </w:r>
          </w:p>
        </w:tc>
        <w:tc>
          <w:tcPr>
            <w:tcW w:w="1411" w:type="dxa"/>
            <w:shd w:val="clear" w:color="auto" w:fill="auto"/>
            <w:tcMar>
              <w:left w:w="113" w:type="dxa"/>
              <w:right w:w="113" w:type="dxa"/>
            </w:tcMar>
            <w:vAlign w:val="bottom"/>
          </w:tcPr>
          <w:p w:rsidR="00146EB9" w:rsidRPr="00146EB9" w:rsidRDefault="00146EB9" w:rsidP="00A77970">
            <w:pPr>
              <w:jc w:val="center"/>
              <w:rPr>
                <w:b/>
              </w:rPr>
            </w:pPr>
            <w:r w:rsidRPr="00146EB9">
              <w:rPr>
                <w:b/>
              </w:rPr>
              <w:t>1</w:t>
            </w:r>
            <w:r>
              <w:rPr>
                <w:b/>
              </w:rPr>
              <w:t>.</w:t>
            </w:r>
            <w:r w:rsidRPr="00146EB9">
              <w:rPr>
                <w:b/>
              </w:rPr>
              <w:t>365</w:t>
            </w:r>
          </w:p>
        </w:tc>
        <w:tc>
          <w:tcPr>
            <w:tcW w:w="1410" w:type="dxa"/>
            <w:shd w:val="clear" w:color="auto" w:fill="auto"/>
            <w:tcMar>
              <w:left w:w="113" w:type="dxa"/>
              <w:right w:w="113" w:type="dxa"/>
            </w:tcMar>
            <w:vAlign w:val="bottom"/>
          </w:tcPr>
          <w:p w:rsidR="00146EB9" w:rsidRPr="00146EB9" w:rsidRDefault="00146EB9" w:rsidP="00A77970">
            <w:pPr>
              <w:jc w:val="center"/>
              <w:rPr>
                <w:b/>
              </w:rPr>
            </w:pPr>
            <w:r w:rsidRPr="00146EB9">
              <w:rPr>
                <w:b/>
              </w:rPr>
              <w:t>1</w:t>
            </w:r>
            <w:r>
              <w:rPr>
                <w:b/>
              </w:rPr>
              <w:t>.</w:t>
            </w:r>
            <w:r w:rsidRPr="00146EB9">
              <w:rPr>
                <w:b/>
              </w:rPr>
              <w:t>503</w:t>
            </w:r>
          </w:p>
        </w:tc>
        <w:tc>
          <w:tcPr>
            <w:tcW w:w="1411" w:type="dxa"/>
            <w:shd w:val="clear" w:color="auto" w:fill="auto"/>
            <w:tcMar>
              <w:left w:w="113" w:type="dxa"/>
              <w:right w:w="113" w:type="dxa"/>
            </w:tcMar>
            <w:vAlign w:val="bottom"/>
          </w:tcPr>
          <w:p w:rsidR="00146EB9" w:rsidRPr="00146EB9" w:rsidRDefault="00146EB9" w:rsidP="00A77970">
            <w:pPr>
              <w:jc w:val="center"/>
              <w:rPr>
                <w:b/>
              </w:rPr>
            </w:pPr>
            <w:r w:rsidRPr="00146EB9">
              <w:rPr>
                <w:b/>
              </w:rPr>
              <w:t>1</w:t>
            </w:r>
            <w:r>
              <w:rPr>
                <w:b/>
              </w:rPr>
              <w:t>.</w:t>
            </w:r>
            <w:r w:rsidRPr="00146EB9">
              <w:rPr>
                <w:b/>
              </w:rPr>
              <w:t>504</w:t>
            </w:r>
          </w:p>
        </w:tc>
      </w:tr>
      <w:tr w:rsidR="00146EB9" w:rsidRPr="00660E31" w:rsidTr="004D0E4C">
        <w:trPr>
          <w:cantSplit/>
          <w:trHeight w:val="284"/>
          <w:jc w:val="center"/>
        </w:trPr>
        <w:tc>
          <w:tcPr>
            <w:tcW w:w="4319" w:type="dxa"/>
            <w:tcBorders>
              <w:right w:val="single" w:sz="4" w:space="0" w:color="auto"/>
            </w:tcBorders>
            <w:shd w:val="clear" w:color="auto" w:fill="auto"/>
            <w:vAlign w:val="bottom"/>
          </w:tcPr>
          <w:p w:rsidR="00146EB9" w:rsidRPr="00660E31" w:rsidRDefault="00146EB9" w:rsidP="00A77970">
            <w:pPr>
              <w:ind w:left="57"/>
              <w:rPr>
                <w:noProof/>
                <w:kern w:val="28"/>
                <w:lang w:eastAsia="en-US"/>
              </w:rPr>
            </w:pPr>
            <w:r w:rsidRPr="00660E31">
              <w:rPr>
                <w:noProof/>
                <w:kern w:val="28"/>
                <w:lang w:eastAsia="en-US"/>
              </w:rPr>
              <w:t>1.1. Pensie pentru limită de vârstă</w:t>
            </w:r>
          </w:p>
        </w:tc>
        <w:tc>
          <w:tcPr>
            <w:tcW w:w="1410" w:type="dxa"/>
            <w:tcBorders>
              <w:left w:val="single" w:sz="4" w:space="0" w:color="auto"/>
            </w:tcBorders>
            <w:shd w:val="clear" w:color="auto" w:fill="auto"/>
            <w:tcMar>
              <w:left w:w="113" w:type="dxa"/>
              <w:right w:w="113" w:type="dxa"/>
            </w:tcMar>
            <w:vAlign w:val="bottom"/>
          </w:tcPr>
          <w:p w:rsidR="00146EB9" w:rsidRPr="00146EB9" w:rsidRDefault="00146EB9" w:rsidP="00A77970">
            <w:pPr>
              <w:jc w:val="center"/>
            </w:pPr>
            <w:r w:rsidRPr="00146EB9">
              <w:t>1</w:t>
            </w:r>
            <w:r>
              <w:t>.</w:t>
            </w:r>
            <w:r w:rsidRPr="00146EB9">
              <w:t>488</w:t>
            </w:r>
          </w:p>
        </w:tc>
        <w:tc>
          <w:tcPr>
            <w:tcW w:w="1411" w:type="dxa"/>
            <w:shd w:val="clear" w:color="auto" w:fill="auto"/>
            <w:tcMar>
              <w:left w:w="113" w:type="dxa"/>
              <w:right w:w="113" w:type="dxa"/>
            </w:tcMar>
            <w:vAlign w:val="bottom"/>
          </w:tcPr>
          <w:p w:rsidR="00146EB9" w:rsidRPr="00146EB9" w:rsidRDefault="00146EB9" w:rsidP="00A77970">
            <w:pPr>
              <w:jc w:val="center"/>
            </w:pPr>
            <w:r w:rsidRPr="00146EB9">
              <w:t>1</w:t>
            </w:r>
            <w:r>
              <w:t>.</w:t>
            </w:r>
            <w:r w:rsidRPr="00146EB9">
              <w:t>487</w:t>
            </w:r>
          </w:p>
        </w:tc>
        <w:tc>
          <w:tcPr>
            <w:tcW w:w="1410" w:type="dxa"/>
            <w:shd w:val="clear" w:color="auto" w:fill="auto"/>
            <w:tcMar>
              <w:left w:w="113" w:type="dxa"/>
              <w:right w:w="113" w:type="dxa"/>
            </w:tcMar>
            <w:vAlign w:val="bottom"/>
          </w:tcPr>
          <w:p w:rsidR="00146EB9" w:rsidRPr="00146EB9" w:rsidRDefault="00146EB9" w:rsidP="00A77970">
            <w:pPr>
              <w:jc w:val="center"/>
            </w:pPr>
            <w:r w:rsidRPr="00146EB9">
              <w:t>1</w:t>
            </w:r>
            <w:r>
              <w:t>.</w:t>
            </w:r>
            <w:r w:rsidRPr="00146EB9">
              <w:t>634</w:t>
            </w:r>
          </w:p>
        </w:tc>
        <w:tc>
          <w:tcPr>
            <w:tcW w:w="1411" w:type="dxa"/>
            <w:shd w:val="clear" w:color="auto" w:fill="auto"/>
            <w:tcMar>
              <w:left w:w="113" w:type="dxa"/>
              <w:right w:w="113" w:type="dxa"/>
            </w:tcMar>
            <w:vAlign w:val="bottom"/>
          </w:tcPr>
          <w:p w:rsidR="00146EB9" w:rsidRPr="00146EB9" w:rsidRDefault="00146EB9" w:rsidP="00A77970">
            <w:pPr>
              <w:jc w:val="center"/>
            </w:pPr>
            <w:r w:rsidRPr="00146EB9">
              <w:t>1</w:t>
            </w:r>
            <w:r>
              <w:t>.</w:t>
            </w:r>
            <w:r w:rsidRPr="00146EB9">
              <w:t>633</w:t>
            </w:r>
          </w:p>
        </w:tc>
      </w:tr>
      <w:tr w:rsidR="00146EB9" w:rsidRPr="00660E31" w:rsidTr="004D0E4C">
        <w:trPr>
          <w:cantSplit/>
          <w:trHeight w:val="284"/>
          <w:jc w:val="center"/>
        </w:trPr>
        <w:tc>
          <w:tcPr>
            <w:tcW w:w="4319" w:type="dxa"/>
            <w:tcBorders>
              <w:right w:val="single" w:sz="4" w:space="0" w:color="auto"/>
            </w:tcBorders>
            <w:shd w:val="clear" w:color="auto" w:fill="auto"/>
            <w:vAlign w:val="bottom"/>
          </w:tcPr>
          <w:p w:rsidR="00146EB9" w:rsidRPr="00660E31" w:rsidRDefault="00146EB9" w:rsidP="00A77970">
            <w:pPr>
              <w:spacing w:before="100" w:beforeAutospacing="1"/>
              <w:ind w:left="57"/>
              <w:rPr>
                <w:noProof/>
                <w:kern w:val="28"/>
                <w:lang w:eastAsia="en-US"/>
              </w:rPr>
            </w:pPr>
            <w:r w:rsidRPr="00660E31">
              <w:rPr>
                <w:noProof/>
                <w:kern w:val="28"/>
                <w:lang w:eastAsia="en-US"/>
              </w:rPr>
              <w:t>1.2. Pensie anticipată</w:t>
            </w:r>
          </w:p>
        </w:tc>
        <w:tc>
          <w:tcPr>
            <w:tcW w:w="1410" w:type="dxa"/>
            <w:tcBorders>
              <w:left w:val="single" w:sz="4" w:space="0" w:color="auto"/>
            </w:tcBorders>
            <w:shd w:val="clear" w:color="auto" w:fill="auto"/>
            <w:tcMar>
              <w:left w:w="113" w:type="dxa"/>
              <w:right w:w="113" w:type="dxa"/>
            </w:tcMar>
            <w:vAlign w:val="bottom"/>
          </w:tcPr>
          <w:p w:rsidR="00146EB9" w:rsidRPr="00146EB9" w:rsidRDefault="00146EB9" w:rsidP="00A77970">
            <w:pPr>
              <w:jc w:val="center"/>
            </w:pPr>
            <w:r w:rsidRPr="00146EB9">
              <w:t>1</w:t>
            </w:r>
            <w:r>
              <w:t>.</w:t>
            </w:r>
            <w:r w:rsidRPr="00146EB9">
              <w:t>399</w:t>
            </w:r>
          </w:p>
        </w:tc>
        <w:tc>
          <w:tcPr>
            <w:tcW w:w="1411" w:type="dxa"/>
            <w:shd w:val="clear" w:color="auto" w:fill="auto"/>
            <w:tcMar>
              <w:left w:w="113" w:type="dxa"/>
              <w:right w:w="113" w:type="dxa"/>
            </w:tcMar>
            <w:vAlign w:val="bottom"/>
          </w:tcPr>
          <w:p w:rsidR="00146EB9" w:rsidRPr="00146EB9" w:rsidRDefault="00146EB9" w:rsidP="00A77970">
            <w:pPr>
              <w:jc w:val="center"/>
            </w:pPr>
            <w:r w:rsidRPr="00146EB9">
              <w:t>1</w:t>
            </w:r>
            <w:r>
              <w:t>.</w:t>
            </w:r>
            <w:r w:rsidRPr="00146EB9">
              <w:t>400</w:t>
            </w:r>
          </w:p>
        </w:tc>
        <w:tc>
          <w:tcPr>
            <w:tcW w:w="1410" w:type="dxa"/>
            <w:shd w:val="clear" w:color="auto" w:fill="auto"/>
            <w:tcMar>
              <w:left w:w="113" w:type="dxa"/>
              <w:right w:w="113" w:type="dxa"/>
            </w:tcMar>
            <w:vAlign w:val="bottom"/>
          </w:tcPr>
          <w:p w:rsidR="00146EB9" w:rsidRPr="00146EB9" w:rsidRDefault="00146EB9" w:rsidP="00A77970">
            <w:pPr>
              <w:jc w:val="center"/>
            </w:pPr>
            <w:r w:rsidRPr="00146EB9">
              <w:t>1</w:t>
            </w:r>
            <w:r>
              <w:t>.</w:t>
            </w:r>
            <w:r w:rsidRPr="00146EB9">
              <w:t>546</w:t>
            </w:r>
          </w:p>
        </w:tc>
        <w:tc>
          <w:tcPr>
            <w:tcW w:w="1411" w:type="dxa"/>
            <w:shd w:val="clear" w:color="auto" w:fill="auto"/>
            <w:tcMar>
              <w:left w:w="113" w:type="dxa"/>
              <w:right w:w="113" w:type="dxa"/>
            </w:tcMar>
            <w:vAlign w:val="bottom"/>
          </w:tcPr>
          <w:p w:rsidR="00146EB9" w:rsidRPr="00146EB9" w:rsidRDefault="00146EB9" w:rsidP="00A77970">
            <w:pPr>
              <w:jc w:val="center"/>
            </w:pPr>
            <w:r w:rsidRPr="00146EB9">
              <w:t>1</w:t>
            </w:r>
            <w:r>
              <w:t>.</w:t>
            </w:r>
            <w:r w:rsidRPr="00146EB9">
              <w:t>547</w:t>
            </w:r>
          </w:p>
        </w:tc>
      </w:tr>
      <w:tr w:rsidR="00146EB9" w:rsidRPr="00660E31" w:rsidTr="004D0E4C">
        <w:trPr>
          <w:cantSplit/>
          <w:trHeight w:val="284"/>
          <w:jc w:val="center"/>
        </w:trPr>
        <w:tc>
          <w:tcPr>
            <w:tcW w:w="4319" w:type="dxa"/>
            <w:tcBorders>
              <w:right w:val="single" w:sz="4" w:space="0" w:color="auto"/>
            </w:tcBorders>
            <w:shd w:val="clear" w:color="auto" w:fill="auto"/>
            <w:vAlign w:val="bottom"/>
          </w:tcPr>
          <w:p w:rsidR="00146EB9" w:rsidRPr="00660E31" w:rsidRDefault="00146EB9" w:rsidP="00A77970">
            <w:pPr>
              <w:spacing w:before="100" w:beforeAutospacing="1"/>
              <w:ind w:left="57"/>
              <w:rPr>
                <w:noProof/>
                <w:kern w:val="28"/>
                <w:lang w:eastAsia="en-US"/>
              </w:rPr>
            </w:pPr>
            <w:r w:rsidRPr="00660E31">
              <w:rPr>
                <w:noProof/>
                <w:kern w:val="28"/>
                <w:lang w:eastAsia="en-US"/>
              </w:rPr>
              <w:t>1.3. Pensie anticipat parţial</w:t>
            </w:r>
          </w:p>
        </w:tc>
        <w:tc>
          <w:tcPr>
            <w:tcW w:w="1410" w:type="dxa"/>
            <w:tcBorders>
              <w:left w:val="single" w:sz="4" w:space="0" w:color="auto"/>
            </w:tcBorders>
            <w:shd w:val="clear" w:color="auto" w:fill="auto"/>
            <w:tcMar>
              <w:left w:w="113" w:type="dxa"/>
              <w:right w:w="113" w:type="dxa"/>
            </w:tcMar>
            <w:vAlign w:val="bottom"/>
          </w:tcPr>
          <w:p w:rsidR="00146EB9" w:rsidRPr="00146EB9" w:rsidRDefault="00146EB9" w:rsidP="00A77970">
            <w:pPr>
              <w:jc w:val="center"/>
            </w:pPr>
            <w:r w:rsidRPr="00146EB9">
              <w:t>990</w:t>
            </w:r>
          </w:p>
        </w:tc>
        <w:tc>
          <w:tcPr>
            <w:tcW w:w="1411" w:type="dxa"/>
            <w:shd w:val="clear" w:color="auto" w:fill="auto"/>
            <w:tcMar>
              <w:left w:w="113" w:type="dxa"/>
              <w:right w:w="113" w:type="dxa"/>
            </w:tcMar>
            <w:vAlign w:val="bottom"/>
          </w:tcPr>
          <w:p w:rsidR="00146EB9" w:rsidRPr="00146EB9" w:rsidRDefault="00146EB9" w:rsidP="00A77970">
            <w:pPr>
              <w:jc w:val="center"/>
            </w:pPr>
            <w:r w:rsidRPr="00146EB9">
              <w:t>1</w:t>
            </w:r>
            <w:r>
              <w:t>.</w:t>
            </w:r>
            <w:r w:rsidRPr="00146EB9">
              <w:t>050</w:t>
            </w:r>
          </w:p>
        </w:tc>
        <w:tc>
          <w:tcPr>
            <w:tcW w:w="1410" w:type="dxa"/>
            <w:shd w:val="clear" w:color="auto" w:fill="auto"/>
            <w:tcMar>
              <w:left w:w="113" w:type="dxa"/>
              <w:right w:w="113" w:type="dxa"/>
            </w:tcMar>
            <w:vAlign w:val="bottom"/>
          </w:tcPr>
          <w:p w:rsidR="00146EB9" w:rsidRPr="00146EB9" w:rsidRDefault="00146EB9" w:rsidP="00A77970">
            <w:pPr>
              <w:jc w:val="center"/>
            </w:pPr>
            <w:r w:rsidRPr="00146EB9">
              <w:t>1</w:t>
            </w:r>
            <w:r>
              <w:t>.</w:t>
            </w:r>
            <w:r w:rsidRPr="00146EB9">
              <w:t>193</w:t>
            </w:r>
          </w:p>
        </w:tc>
        <w:tc>
          <w:tcPr>
            <w:tcW w:w="1411" w:type="dxa"/>
            <w:shd w:val="clear" w:color="auto" w:fill="auto"/>
            <w:tcMar>
              <w:left w:w="113" w:type="dxa"/>
              <w:right w:w="113" w:type="dxa"/>
            </w:tcMar>
            <w:vAlign w:val="bottom"/>
          </w:tcPr>
          <w:p w:rsidR="00146EB9" w:rsidRPr="00146EB9" w:rsidRDefault="00146EB9" w:rsidP="00A77970">
            <w:pPr>
              <w:jc w:val="center"/>
            </w:pPr>
            <w:r w:rsidRPr="00146EB9">
              <w:t>1</w:t>
            </w:r>
            <w:r>
              <w:t>.</w:t>
            </w:r>
            <w:r w:rsidRPr="00146EB9">
              <w:t>206</w:t>
            </w:r>
          </w:p>
        </w:tc>
      </w:tr>
      <w:tr w:rsidR="00146EB9" w:rsidRPr="00660E31" w:rsidTr="004D0E4C">
        <w:trPr>
          <w:cantSplit/>
          <w:trHeight w:val="284"/>
          <w:jc w:val="center"/>
        </w:trPr>
        <w:tc>
          <w:tcPr>
            <w:tcW w:w="4319" w:type="dxa"/>
            <w:tcBorders>
              <w:right w:val="single" w:sz="4" w:space="0" w:color="auto"/>
            </w:tcBorders>
            <w:shd w:val="clear" w:color="auto" w:fill="auto"/>
            <w:vAlign w:val="bottom"/>
          </w:tcPr>
          <w:p w:rsidR="00146EB9" w:rsidRPr="00660E31" w:rsidRDefault="00146EB9" w:rsidP="00A77970">
            <w:pPr>
              <w:spacing w:before="100" w:beforeAutospacing="1"/>
              <w:ind w:left="57"/>
              <w:rPr>
                <w:noProof/>
                <w:kern w:val="28"/>
                <w:lang w:eastAsia="en-US"/>
              </w:rPr>
            </w:pPr>
            <w:r w:rsidRPr="00660E31">
              <w:rPr>
                <w:noProof/>
                <w:kern w:val="28"/>
                <w:lang w:eastAsia="en-US"/>
              </w:rPr>
              <w:t>1.4. Pensie de invaliditate</w:t>
            </w:r>
          </w:p>
        </w:tc>
        <w:tc>
          <w:tcPr>
            <w:tcW w:w="1410" w:type="dxa"/>
            <w:tcBorders>
              <w:left w:val="single" w:sz="4" w:space="0" w:color="auto"/>
            </w:tcBorders>
            <w:shd w:val="clear" w:color="auto" w:fill="auto"/>
            <w:tcMar>
              <w:left w:w="113" w:type="dxa"/>
              <w:right w:w="113" w:type="dxa"/>
            </w:tcMar>
            <w:vAlign w:val="bottom"/>
          </w:tcPr>
          <w:p w:rsidR="00146EB9" w:rsidRPr="00146EB9" w:rsidRDefault="00146EB9" w:rsidP="00A77970">
            <w:pPr>
              <w:jc w:val="center"/>
            </w:pPr>
            <w:r w:rsidRPr="00146EB9">
              <w:t>715</w:t>
            </w:r>
          </w:p>
        </w:tc>
        <w:tc>
          <w:tcPr>
            <w:tcW w:w="1411" w:type="dxa"/>
            <w:shd w:val="clear" w:color="auto" w:fill="auto"/>
            <w:tcMar>
              <w:left w:w="113" w:type="dxa"/>
              <w:right w:w="113" w:type="dxa"/>
            </w:tcMar>
            <w:vAlign w:val="bottom"/>
          </w:tcPr>
          <w:p w:rsidR="00146EB9" w:rsidRPr="00146EB9" w:rsidRDefault="00146EB9" w:rsidP="00A77970">
            <w:pPr>
              <w:jc w:val="center"/>
            </w:pPr>
            <w:r w:rsidRPr="00146EB9">
              <w:t>709</w:t>
            </w:r>
          </w:p>
        </w:tc>
        <w:tc>
          <w:tcPr>
            <w:tcW w:w="1410" w:type="dxa"/>
            <w:shd w:val="clear" w:color="auto" w:fill="auto"/>
            <w:tcMar>
              <w:left w:w="113" w:type="dxa"/>
              <w:right w:w="113" w:type="dxa"/>
            </w:tcMar>
            <w:vAlign w:val="bottom"/>
          </w:tcPr>
          <w:p w:rsidR="00146EB9" w:rsidRPr="00146EB9" w:rsidRDefault="00146EB9" w:rsidP="00A77970">
            <w:pPr>
              <w:jc w:val="center"/>
            </w:pPr>
            <w:r w:rsidRPr="00146EB9">
              <w:t>775</w:t>
            </w:r>
          </w:p>
        </w:tc>
        <w:tc>
          <w:tcPr>
            <w:tcW w:w="1411" w:type="dxa"/>
            <w:shd w:val="clear" w:color="auto" w:fill="auto"/>
            <w:tcMar>
              <w:left w:w="113" w:type="dxa"/>
              <w:right w:w="113" w:type="dxa"/>
            </w:tcMar>
            <w:vAlign w:val="bottom"/>
          </w:tcPr>
          <w:p w:rsidR="00146EB9" w:rsidRPr="00146EB9" w:rsidRDefault="00146EB9" w:rsidP="00A77970">
            <w:pPr>
              <w:jc w:val="center"/>
            </w:pPr>
            <w:r w:rsidRPr="00146EB9">
              <w:t>768</w:t>
            </w:r>
          </w:p>
        </w:tc>
      </w:tr>
      <w:tr w:rsidR="00146EB9" w:rsidRPr="00660E31" w:rsidTr="004D0E4C">
        <w:trPr>
          <w:cantSplit/>
          <w:trHeight w:val="284"/>
          <w:jc w:val="center"/>
        </w:trPr>
        <w:tc>
          <w:tcPr>
            <w:tcW w:w="4319" w:type="dxa"/>
            <w:tcBorders>
              <w:right w:val="single" w:sz="4" w:space="0" w:color="auto"/>
            </w:tcBorders>
            <w:shd w:val="clear" w:color="auto" w:fill="auto"/>
            <w:vAlign w:val="bottom"/>
          </w:tcPr>
          <w:p w:rsidR="00146EB9" w:rsidRPr="00660E31" w:rsidRDefault="00146EB9" w:rsidP="00A77970">
            <w:pPr>
              <w:spacing w:before="100" w:beforeAutospacing="1"/>
              <w:ind w:left="57"/>
              <w:rPr>
                <w:noProof/>
                <w:kern w:val="28"/>
                <w:lang w:eastAsia="en-US"/>
              </w:rPr>
            </w:pPr>
            <w:r w:rsidRPr="00660E31">
              <w:rPr>
                <w:noProof/>
                <w:kern w:val="28"/>
                <w:lang w:eastAsia="en-US"/>
              </w:rPr>
              <w:t>- gradul  I</w:t>
            </w:r>
          </w:p>
        </w:tc>
        <w:tc>
          <w:tcPr>
            <w:tcW w:w="1410" w:type="dxa"/>
            <w:tcBorders>
              <w:left w:val="single" w:sz="4" w:space="0" w:color="auto"/>
            </w:tcBorders>
            <w:shd w:val="clear" w:color="auto" w:fill="auto"/>
            <w:tcMar>
              <w:left w:w="113" w:type="dxa"/>
              <w:right w:w="113" w:type="dxa"/>
            </w:tcMar>
            <w:vAlign w:val="bottom"/>
          </w:tcPr>
          <w:p w:rsidR="00146EB9" w:rsidRPr="00146EB9" w:rsidRDefault="00146EB9" w:rsidP="00A77970">
            <w:pPr>
              <w:jc w:val="center"/>
            </w:pPr>
            <w:r w:rsidRPr="00146EB9">
              <w:t>580</w:t>
            </w:r>
          </w:p>
        </w:tc>
        <w:tc>
          <w:tcPr>
            <w:tcW w:w="1411" w:type="dxa"/>
            <w:shd w:val="clear" w:color="auto" w:fill="auto"/>
            <w:tcMar>
              <w:left w:w="113" w:type="dxa"/>
              <w:right w:w="113" w:type="dxa"/>
            </w:tcMar>
            <w:vAlign w:val="bottom"/>
          </w:tcPr>
          <w:p w:rsidR="00146EB9" w:rsidRPr="00146EB9" w:rsidRDefault="00146EB9" w:rsidP="00A77970">
            <w:pPr>
              <w:jc w:val="center"/>
            </w:pPr>
            <w:r w:rsidRPr="00146EB9">
              <w:t>577</w:t>
            </w:r>
          </w:p>
        </w:tc>
        <w:tc>
          <w:tcPr>
            <w:tcW w:w="1410" w:type="dxa"/>
            <w:shd w:val="clear" w:color="auto" w:fill="auto"/>
            <w:tcMar>
              <w:left w:w="113" w:type="dxa"/>
              <w:right w:w="113" w:type="dxa"/>
            </w:tcMar>
            <w:vAlign w:val="bottom"/>
          </w:tcPr>
          <w:p w:rsidR="00146EB9" w:rsidRPr="00146EB9" w:rsidRDefault="00146EB9" w:rsidP="00A77970">
            <w:pPr>
              <w:jc w:val="center"/>
            </w:pPr>
            <w:r w:rsidRPr="00146EB9">
              <w:t>633</w:t>
            </w:r>
          </w:p>
        </w:tc>
        <w:tc>
          <w:tcPr>
            <w:tcW w:w="1411" w:type="dxa"/>
            <w:shd w:val="clear" w:color="auto" w:fill="auto"/>
            <w:tcMar>
              <w:left w:w="113" w:type="dxa"/>
              <w:right w:w="113" w:type="dxa"/>
            </w:tcMar>
            <w:vAlign w:val="bottom"/>
          </w:tcPr>
          <w:p w:rsidR="00146EB9" w:rsidRPr="00146EB9" w:rsidRDefault="00146EB9" w:rsidP="00A77970">
            <w:pPr>
              <w:jc w:val="center"/>
            </w:pPr>
            <w:r w:rsidRPr="00146EB9">
              <w:t>629</w:t>
            </w:r>
          </w:p>
        </w:tc>
      </w:tr>
      <w:tr w:rsidR="00146EB9" w:rsidRPr="00660E31" w:rsidTr="004D0E4C">
        <w:trPr>
          <w:cantSplit/>
          <w:trHeight w:val="284"/>
          <w:jc w:val="center"/>
        </w:trPr>
        <w:tc>
          <w:tcPr>
            <w:tcW w:w="4319" w:type="dxa"/>
            <w:tcBorders>
              <w:right w:val="single" w:sz="4" w:space="0" w:color="auto"/>
            </w:tcBorders>
            <w:shd w:val="clear" w:color="auto" w:fill="auto"/>
            <w:vAlign w:val="bottom"/>
          </w:tcPr>
          <w:p w:rsidR="00146EB9" w:rsidRPr="00660E31" w:rsidRDefault="00146EB9" w:rsidP="00A77970">
            <w:pPr>
              <w:spacing w:before="100" w:beforeAutospacing="1"/>
              <w:ind w:left="57"/>
              <w:rPr>
                <w:noProof/>
                <w:kern w:val="28"/>
                <w:lang w:eastAsia="en-US"/>
              </w:rPr>
            </w:pPr>
            <w:r w:rsidRPr="00660E31">
              <w:rPr>
                <w:noProof/>
                <w:kern w:val="28"/>
                <w:lang w:eastAsia="en-US"/>
              </w:rPr>
              <w:t>- gradul  II</w:t>
            </w:r>
          </w:p>
        </w:tc>
        <w:tc>
          <w:tcPr>
            <w:tcW w:w="1410" w:type="dxa"/>
            <w:tcBorders>
              <w:left w:val="single" w:sz="4" w:space="0" w:color="auto"/>
            </w:tcBorders>
            <w:shd w:val="clear" w:color="auto" w:fill="auto"/>
            <w:tcMar>
              <w:left w:w="113" w:type="dxa"/>
              <w:right w:w="113" w:type="dxa"/>
            </w:tcMar>
            <w:vAlign w:val="bottom"/>
          </w:tcPr>
          <w:p w:rsidR="00146EB9" w:rsidRPr="00146EB9" w:rsidRDefault="00146EB9" w:rsidP="00A77970">
            <w:pPr>
              <w:jc w:val="center"/>
            </w:pPr>
            <w:r w:rsidRPr="00146EB9">
              <w:t>715</w:t>
            </w:r>
          </w:p>
        </w:tc>
        <w:tc>
          <w:tcPr>
            <w:tcW w:w="1411" w:type="dxa"/>
            <w:shd w:val="clear" w:color="auto" w:fill="auto"/>
            <w:tcMar>
              <w:left w:w="113" w:type="dxa"/>
              <w:right w:w="113" w:type="dxa"/>
            </w:tcMar>
            <w:vAlign w:val="bottom"/>
          </w:tcPr>
          <w:p w:rsidR="00146EB9" w:rsidRPr="00146EB9" w:rsidRDefault="00146EB9" w:rsidP="00A77970">
            <w:pPr>
              <w:jc w:val="center"/>
            </w:pPr>
            <w:r w:rsidRPr="00146EB9">
              <w:t>710</w:t>
            </w:r>
          </w:p>
        </w:tc>
        <w:tc>
          <w:tcPr>
            <w:tcW w:w="1410" w:type="dxa"/>
            <w:shd w:val="clear" w:color="auto" w:fill="auto"/>
            <w:tcMar>
              <w:left w:w="113" w:type="dxa"/>
              <w:right w:w="113" w:type="dxa"/>
            </w:tcMar>
            <w:vAlign w:val="bottom"/>
          </w:tcPr>
          <w:p w:rsidR="00146EB9" w:rsidRPr="00146EB9" w:rsidRDefault="00146EB9" w:rsidP="00A77970">
            <w:pPr>
              <w:jc w:val="center"/>
            </w:pPr>
            <w:r w:rsidRPr="00146EB9">
              <w:t>776</w:t>
            </w:r>
          </w:p>
        </w:tc>
        <w:tc>
          <w:tcPr>
            <w:tcW w:w="1411" w:type="dxa"/>
            <w:shd w:val="clear" w:color="auto" w:fill="auto"/>
            <w:tcMar>
              <w:left w:w="113" w:type="dxa"/>
              <w:right w:w="113" w:type="dxa"/>
            </w:tcMar>
            <w:vAlign w:val="bottom"/>
          </w:tcPr>
          <w:p w:rsidR="00146EB9" w:rsidRPr="00146EB9" w:rsidRDefault="00146EB9" w:rsidP="00A77970">
            <w:pPr>
              <w:jc w:val="center"/>
            </w:pPr>
            <w:r w:rsidRPr="00146EB9">
              <w:t>771</w:t>
            </w:r>
          </w:p>
        </w:tc>
      </w:tr>
      <w:tr w:rsidR="00146EB9" w:rsidRPr="00660E31" w:rsidTr="004D0E4C">
        <w:trPr>
          <w:cantSplit/>
          <w:trHeight w:val="284"/>
          <w:jc w:val="center"/>
        </w:trPr>
        <w:tc>
          <w:tcPr>
            <w:tcW w:w="4319" w:type="dxa"/>
            <w:tcBorders>
              <w:right w:val="single" w:sz="4" w:space="0" w:color="auto"/>
            </w:tcBorders>
            <w:shd w:val="clear" w:color="auto" w:fill="auto"/>
            <w:vAlign w:val="bottom"/>
          </w:tcPr>
          <w:p w:rsidR="00146EB9" w:rsidRPr="00660E31" w:rsidRDefault="00146EB9" w:rsidP="00A77970">
            <w:pPr>
              <w:spacing w:before="100" w:beforeAutospacing="1"/>
              <w:ind w:left="57"/>
              <w:rPr>
                <w:noProof/>
                <w:kern w:val="28"/>
                <w:lang w:eastAsia="en-US"/>
              </w:rPr>
            </w:pPr>
            <w:r w:rsidRPr="00660E31">
              <w:rPr>
                <w:noProof/>
                <w:kern w:val="28"/>
                <w:lang w:eastAsia="en-US"/>
              </w:rPr>
              <w:t>- gradul  III</w:t>
            </w:r>
          </w:p>
        </w:tc>
        <w:tc>
          <w:tcPr>
            <w:tcW w:w="1410" w:type="dxa"/>
            <w:tcBorders>
              <w:left w:val="single" w:sz="4" w:space="0" w:color="auto"/>
            </w:tcBorders>
            <w:shd w:val="clear" w:color="auto" w:fill="auto"/>
            <w:tcMar>
              <w:left w:w="113" w:type="dxa"/>
              <w:right w:w="113" w:type="dxa"/>
            </w:tcMar>
            <w:vAlign w:val="bottom"/>
          </w:tcPr>
          <w:p w:rsidR="00146EB9" w:rsidRPr="00146EB9" w:rsidRDefault="00146EB9" w:rsidP="00A77970">
            <w:pPr>
              <w:jc w:val="center"/>
            </w:pPr>
            <w:r w:rsidRPr="00146EB9">
              <w:t>742</w:t>
            </w:r>
          </w:p>
        </w:tc>
        <w:tc>
          <w:tcPr>
            <w:tcW w:w="1411" w:type="dxa"/>
            <w:shd w:val="clear" w:color="auto" w:fill="auto"/>
            <w:tcMar>
              <w:left w:w="113" w:type="dxa"/>
              <w:right w:w="113" w:type="dxa"/>
            </w:tcMar>
            <w:vAlign w:val="bottom"/>
          </w:tcPr>
          <w:p w:rsidR="00146EB9" w:rsidRPr="00146EB9" w:rsidRDefault="00146EB9" w:rsidP="00A77970">
            <w:pPr>
              <w:jc w:val="center"/>
            </w:pPr>
            <w:r w:rsidRPr="00146EB9">
              <w:t>735</w:t>
            </w:r>
          </w:p>
        </w:tc>
        <w:tc>
          <w:tcPr>
            <w:tcW w:w="1410" w:type="dxa"/>
            <w:shd w:val="clear" w:color="auto" w:fill="auto"/>
            <w:tcMar>
              <w:left w:w="113" w:type="dxa"/>
              <w:right w:w="113" w:type="dxa"/>
            </w:tcMar>
            <w:vAlign w:val="bottom"/>
          </w:tcPr>
          <w:p w:rsidR="00146EB9" w:rsidRPr="00146EB9" w:rsidRDefault="00146EB9" w:rsidP="00A77970">
            <w:pPr>
              <w:jc w:val="center"/>
            </w:pPr>
            <w:r w:rsidRPr="00146EB9">
              <w:t>804</w:t>
            </w:r>
          </w:p>
        </w:tc>
        <w:tc>
          <w:tcPr>
            <w:tcW w:w="1411" w:type="dxa"/>
            <w:shd w:val="clear" w:color="auto" w:fill="auto"/>
            <w:tcMar>
              <w:left w:w="113" w:type="dxa"/>
              <w:right w:w="113" w:type="dxa"/>
            </w:tcMar>
            <w:vAlign w:val="bottom"/>
          </w:tcPr>
          <w:p w:rsidR="00146EB9" w:rsidRPr="00146EB9" w:rsidRDefault="00146EB9" w:rsidP="00A77970">
            <w:pPr>
              <w:jc w:val="center"/>
            </w:pPr>
            <w:r w:rsidRPr="00146EB9">
              <w:t>797</w:t>
            </w:r>
          </w:p>
        </w:tc>
      </w:tr>
      <w:tr w:rsidR="00146EB9" w:rsidRPr="00660E31" w:rsidTr="004D0E4C">
        <w:trPr>
          <w:cantSplit/>
          <w:trHeight w:val="284"/>
          <w:jc w:val="center"/>
        </w:trPr>
        <w:tc>
          <w:tcPr>
            <w:tcW w:w="4319" w:type="dxa"/>
            <w:tcBorders>
              <w:right w:val="single" w:sz="4" w:space="0" w:color="auto"/>
            </w:tcBorders>
            <w:shd w:val="clear" w:color="auto" w:fill="auto"/>
            <w:vAlign w:val="bottom"/>
          </w:tcPr>
          <w:p w:rsidR="00146EB9" w:rsidRPr="00660E31" w:rsidRDefault="00146EB9" w:rsidP="00A77970">
            <w:pPr>
              <w:spacing w:before="100" w:beforeAutospacing="1"/>
              <w:ind w:left="57"/>
              <w:rPr>
                <w:noProof/>
                <w:kern w:val="28"/>
                <w:lang w:eastAsia="en-US"/>
              </w:rPr>
            </w:pPr>
            <w:r w:rsidRPr="00660E31">
              <w:rPr>
                <w:noProof/>
                <w:kern w:val="28"/>
                <w:lang w:eastAsia="en-US"/>
              </w:rPr>
              <w:t>1.5. Pensie de urmaş</w:t>
            </w:r>
          </w:p>
        </w:tc>
        <w:tc>
          <w:tcPr>
            <w:tcW w:w="1410" w:type="dxa"/>
            <w:tcBorders>
              <w:left w:val="single" w:sz="4" w:space="0" w:color="auto"/>
            </w:tcBorders>
            <w:shd w:val="clear" w:color="auto" w:fill="auto"/>
            <w:tcMar>
              <w:left w:w="113" w:type="dxa"/>
              <w:right w:w="113" w:type="dxa"/>
            </w:tcMar>
            <w:vAlign w:val="bottom"/>
          </w:tcPr>
          <w:p w:rsidR="00146EB9" w:rsidRPr="00146EB9" w:rsidRDefault="00146EB9" w:rsidP="00A77970">
            <w:pPr>
              <w:jc w:val="center"/>
            </w:pPr>
            <w:r w:rsidRPr="00146EB9">
              <w:t>777</w:t>
            </w:r>
          </w:p>
        </w:tc>
        <w:tc>
          <w:tcPr>
            <w:tcW w:w="1411" w:type="dxa"/>
            <w:shd w:val="clear" w:color="auto" w:fill="auto"/>
            <w:tcMar>
              <w:left w:w="113" w:type="dxa"/>
              <w:right w:w="113" w:type="dxa"/>
            </w:tcMar>
            <w:vAlign w:val="bottom"/>
          </w:tcPr>
          <w:p w:rsidR="00146EB9" w:rsidRPr="00146EB9" w:rsidRDefault="00146EB9" w:rsidP="00A77970">
            <w:pPr>
              <w:jc w:val="center"/>
            </w:pPr>
            <w:r w:rsidRPr="00146EB9">
              <w:t>778</w:t>
            </w:r>
          </w:p>
        </w:tc>
        <w:tc>
          <w:tcPr>
            <w:tcW w:w="1410" w:type="dxa"/>
            <w:shd w:val="clear" w:color="auto" w:fill="auto"/>
            <w:tcMar>
              <w:left w:w="113" w:type="dxa"/>
              <w:right w:w="113" w:type="dxa"/>
            </w:tcMar>
            <w:vAlign w:val="bottom"/>
          </w:tcPr>
          <w:p w:rsidR="00146EB9" w:rsidRPr="00146EB9" w:rsidRDefault="00146EB9" w:rsidP="00A77970">
            <w:pPr>
              <w:jc w:val="center"/>
            </w:pPr>
            <w:r w:rsidRPr="00146EB9">
              <w:t>858</w:t>
            </w:r>
          </w:p>
        </w:tc>
        <w:tc>
          <w:tcPr>
            <w:tcW w:w="1411" w:type="dxa"/>
            <w:shd w:val="clear" w:color="auto" w:fill="auto"/>
            <w:tcMar>
              <w:left w:w="113" w:type="dxa"/>
              <w:right w:w="113" w:type="dxa"/>
            </w:tcMar>
            <w:vAlign w:val="bottom"/>
          </w:tcPr>
          <w:p w:rsidR="00146EB9" w:rsidRPr="00146EB9" w:rsidRDefault="00146EB9" w:rsidP="00A77970">
            <w:pPr>
              <w:jc w:val="center"/>
            </w:pPr>
            <w:r w:rsidRPr="00146EB9">
              <w:t>858</w:t>
            </w:r>
          </w:p>
        </w:tc>
      </w:tr>
      <w:tr w:rsidR="00146EB9" w:rsidRPr="00660E31" w:rsidTr="004D0E4C">
        <w:trPr>
          <w:cantSplit/>
          <w:trHeight w:val="284"/>
          <w:jc w:val="center"/>
        </w:trPr>
        <w:tc>
          <w:tcPr>
            <w:tcW w:w="4319" w:type="dxa"/>
            <w:tcBorders>
              <w:right w:val="single" w:sz="4" w:space="0" w:color="auto"/>
            </w:tcBorders>
            <w:shd w:val="clear" w:color="auto" w:fill="auto"/>
            <w:vAlign w:val="bottom"/>
          </w:tcPr>
          <w:p w:rsidR="00146EB9" w:rsidRPr="00660E31" w:rsidRDefault="00146EB9" w:rsidP="00A77970">
            <w:pPr>
              <w:spacing w:before="100" w:beforeAutospacing="1"/>
              <w:ind w:left="57"/>
              <w:rPr>
                <w:b/>
                <w:noProof/>
                <w:kern w:val="28"/>
                <w:lang w:eastAsia="en-US"/>
              </w:rPr>
            </w:pPr>
            <w:r w:rsidRPr="00660E31">
              <w:rPr>
                <w:b/>
                <w:noProof/>
                <w:kern w:val="28"/>
                <w:lang w:eastAsia="en-US"/>
              </w:rPr>
              <w:t>2.  Ajutor social (pensie)</w:t>
            </w:r>
          </w:p>
        </w:tc>
        <w:tc>
          <w:tcPr>
            <w:tcW w:w="1410" w:type="dxa"/>
            <w:tcBorders>
              <w:left w:val="single" w:sz="4" w:space="0" w:color="auto"/>
            </w:tcBorders>
            <w:shd w:val="clear" w:color="auto" w:fill="auto"/>
            <w:tcMar>
              <w:left w:w="113" w:type="dxa"/>
              <w:right w:w="113" w:type="dxa"/>
            </w:tcMar>
            <w:vAlign w:val="bottom"/>
          </w:tcPr>
          <w:p w:rsidR="00146EB9" w:rsidRPr="00146EB9" w:rsidRDefault="00146EB9" w:rsidP="00A77970">
            <w:pPr>
              <w:jc w:val="center"/>
              <w:rPr>
                <w:b/>
              </w:rPr>
            </w:pPr>
            <w:r w:rsidRPr="00146EB9">
              <w:rPr>
                <w:b/>
              </w:rPr>
              <w:t>259</w:t>
            </w:r>
          </w:p>
        </w:tc>
        <w:tc>
          <w:tcPr>
            <w:tcW w:w="1411" w:type="dxa"/>
            <w:shd w:val="clear" w:color="auto" w:fill="auto"/>
            <w:tcMar>
              <w:left w:w="113" w:type="dxa"/>
              <w:right w:w="113" w:type="dxa"/>
            </w:tcMar>
            <w:vAlign w:val="bottom"/>
          </w:tcPr>
          <w:p w:rsidR="00146EB9" w:rsidRPr="00146EB9" w:rsidRDefault="00146EB9" w:rsidP="00A77970">
            <w:pPr>
              <w:jc w:val="center"/>
              <w:rPr>
                <w:b/>
              </w:rPr>
            </w:pPr>
            <w:r w:rsidRPr="00146EB9">
              <w:rPr>
                <w:b/>
              </w:rPr>
              <w:t>259</w:t>
            </w:r>
          </w:p>
        </w:tc>
        <w:tc>
          <w:tcPr>
            <w:tcW w:w="1410" w:type="dxa"/>
            <w:shd w:val="clear" w:color="auto" w:fill="auto"/>
            <w:tcMar>
              <w:left w:w="113" w:type="dxa"/>
              <w:right w:w="113" w:type="dxa"/>
            </w:tcMar>
            <w:vAlign w:val="bottom"/>
          </w:tcPr>
          <w:p w:rsidR="00146EB9" w:rsidRPr="00146EB9" w:rsidRDefault="00146EB9" w:rsidP="00A77970">
            <w:pPr>
              <w:jc w:val="center"/>
              <w:rPr>
                <w:b/>
              </w:rPr>
            </w:pPr>
            <w:r w:rsidRPr="00146EB9">
              <w:rPr>
                <w:b/>
              </w:rPr>
              <w:t>307</w:t>
            </w:r>
          </w:p>
        </w:tc>
        <w:tc>
          <w:tcPr>
            <w:tcW w:w="1411" w:type="dxa"/>
            <w:shd w:val="clear" w:color="auto" w:fill="auto"/>
            <w:tcMar>
              <w:left w:w="113" w:type="dxa"/>
              <w:right w:w="113" w:type="dxa"/>
            </w:tcMar>
            <w:vAlign w:val="bottom"/>
          </w:tcPr>
          <w:p w:rsidR="00146EB9" w:rsidRPr="00146EB9" w:rsidRDefault="00146EB9" w:rsidP="00A77970">
            <w:pPr>
              <w:jc w:val="center"/>
              <w:rPr>
                <w:b/>
              </w:rPr>
            </w:pPr>
            <w:r w:rsidRPr="00146EB9">
              <w:rPr>
                <w:b/>
              </w:rPr>
              <w:t>266</w:t>
            </w:r>
          </w:p>
        </w:tc>
      </w:tr>
      <w:tr w:rsidR="00146EB9" w:rsidRPr="00660E31" w:rsidTr="004D0E4C">
        <w:trPr>
          <w:cantSplit/>
          <w:trHeight w:val="284"/>
          <w:jc w:val="center"/>
        </w:trPr>
        <w:tc>
          <w:tcPr>
            <w:tcW w:w="4319" w:type="dxa"/>
            <w:tcBorders>
              <w:right w:val="single" w:sz="4" w:space="0" w:color="auto"/>
            </w:tcBorders>
            <w:shd w:val="clear" w:color="auto" w:fill="auto"/>
            <w:vAlign w:val="bottom"/>
          </w:tcPr>
          <w:p w:rsidR="00146EB9" w:rsidRPr="00660E31" w:rsidRDefault="00146EB9" w:rsidP="00A77970">
            <w:pPr>
              <w:spacing w:before="100" w:beforeAutospacing="1"/>
              <w:ind w:left="57"/>
              <w:rPr>
                <w:b/>
                <w:noProof/>
                <w:kern w:val="28"/>
                <w:lang w:eastAsia="en-US"/>
              </w:rPr>
            </w:pPr>
            <w:r w:rsidRPr="00660E31">
              <w:rPr>
                <w:b/>
                <w:noProof/>
                <w:kern w:val="28"/>
                <w:lang w:eastAsia="en-US"/>
              </w:rPr>
              <w:t>3.  Pensie I.O.V.R.</w:t>
            </w:r>
          </w:p>
        </w:tc>
        <w:tc>
          <w:tcPr>
            <w:tcW w:w="1410" w:type="dxa"/>
            <w:tcBorders>
              <w:left w:val="single" w:sz="4" w:space="0" w:color="auto"/>
            </w:tcBorders>
            <w:shd w:val="clear" w:color="auto" w:fill="auto"/>
            <w:tcMar>
              <w:left w:w="113" w:type="dxa"/>
              <w:right w:w="113" w:type="dxa"/>
            </w:tcMar>
            <w:vAlign w:val="bottom"/>
          </w:tcPr>
          <w:p w:rsidR="00146EB9" w:rsidRPr="00146EB9" w:rsidRDefault="00146EB9" w:rsidP="00A77970">
            <w:pPr>
              <w:jc w:val="center"/>
              <w:rPr>
                <w:b/>
              </w:rPr>
            </w:pPr>
            <w:r w:rsidRPr="00146EB9">
              <w:rPr>
                <w:b/>
              </w:rPr>
              <w:t>358</w:t>
            </w:r>
          </w:p>
        </w:tc>
        <w:tc>
          <w:tcPr>
            <w:tcW w:w="1411" w:type="dxa"/>
            <w:shd w:val="clear" w:color="auto" w:fill="auto"/>
            <w:tcMar>
              <w:left w:w="113" w:type="dxa"/>
              <w:right w:w="113" w:type="dxa"/>
            </w:tcMar>
            <w:vAlign w:val="bottom"/>
          </w:tcPr>
          <w:p w:rsidR="00146EB9" w:rsidRPr="00146EB9" w:rsidRDefault="00146EB9" w:rsidP="00A77970">
            <w:pPr>
              <w:jc w:val="center"/>
              <w:rPr>
                <w:b/>
              </w:rPr>
            </w:pPr>
            <w:r w:rsidRPr="00146EB9">
              <w:rPr>
                <w:b/>
              </w:rPr>
              <w:t>360</w:t>
            </w:r>
          </w:p>
        </w:tc>
        <w:tc>
          <w:tcPr>
            <w:tcW w:w="1410" w:type="dxa"/>
            <w:shd w:val="clear" w:color="auto" w:fill="auto"/>
            <w:tcMar>
              <w:left w:w="113" w:type="dxa"/>
              <w:right w:w="113" w:type="dxa"/>
            </w:tcMar>
            <w:vAlign w:val="bottom"/>
          </w:tcPr>
          <w:p w:rsidR="00146EB9" w:rsidRPr="00146EB9" w:rsidRDefault="00146EB9" w:rsidP="00A77970">
            <w:pPr>
              <w:jc w:val="center"/>
              <w:rPr>
                <w:b/>
              </w:rPr>
            </w:pPr>
            <w:r w:rsidRPr="00146EB9">
              <w:rPr>
                <w:b/>
              </w:rPr>
              <w:t>358</w:t>
            </w:r>
          </w:p>
        </w:tc>
        <w:tc>
          <w:tcPr>
            <w:tcW w:w="1411" w:type="dxa"/>
            <w:shd w:val="clear" w:color="auto" w:fill="auto"/>
            <w:tcMar>
              <w:left w:w="113" w:type="dxa"/>
              <w:right w:w="113" w:type="dxa"/>
            </w:tcMar>
            <w:vAlign w:val="bottom"/>
          </w:tcPr>
          <w:p w:rsidR="00146EB9" w:rsidRPr="00146EB9" w:rsidRDefault="00146EB9" w:rsidP="00A77970">
            <w:pPr>
              <w:jc w:val="center"/>
              <w:rPr>
                <w:b/>
              </w:rPr>
            </w:pPr>
            <w:r w:rsidRPr="00146EB9">
              <w:rPr>
                <w:b/>
              </w:rPr>
              <w:t>358</w:t>
            </w:r>
          </w:p>
        </w:tc>
      </w:tr>
    </w:tbl>
    <w:p w:rsidR="00A93AA6" w:rsidRDefault="008F2BD3" w:rsidP="00A77970">
      <w:pPr>
        <w:jc w:val="both"/>
        <w:rPr>
          <w:b/>
        </w:rPr>
      </w:pPr>
      <w:r w:rsidRPr="008F2BD3">
        <w:rPr>
          <w:b/>
        </w:rPr>
        <w:tab/>
      </w:r>
    </w:p>
    <w:p w:rsidR="008F2BD3" w:rsidRPr="00B03D9F" w:rsidRDefault="008F2BD3" w:rsidP="00A77970">
      <w:pPr>
        <w:pStyle w:val="ListParagraph"/>
        <w:numPr>
          <w:ilvl w:val="1"/>
          <w:numId w:val="1"/>
        </w:numPr>
        <w:ind w:hanging="578"/>
        <w:jc w:val="both"/>
        <w:rPr>
          <w:b/>
        </w:rPr>
      </w:pPr>
      <w:r w:rsidRPr="00B03D9F">
        <w:rPr>
          <w:b/>
        </w:rPr>
        <w:lastRenderedPageBreak/>
        <w:t>Evoluția principalelor sectoare economice</w:t>
      </w:r>
    </w:p>
    <w:p w:rsidR="00C524B1" w:rsidRPr="008F2BD3" w:rsidRDefault="00C524B1" w:rsidP="00A77970">
      <w:pPr>
        <w:jc w:val="both"/>
        <w:rPr>
          <w:b/>
        </w:rPr>
      </w:pPr>
    </w:p>
    <w:p w:rsidR="008F2BD3" w:rsidRPr="00405CC3" w:rsidRDefault="008F2BD3" w:rsidP="00A77970">
      <w:pPr>
        <w:pStyle w:val="ListParagraph"/>
        <w:numPr>
          <w:ilvl w:val="0"/>
          <w:numId w:val="2"/>
        </w:numPr>
        <w:jc w:val="both"/>
      </w:pPr>
      <w:r w:rsidRPr="00405CC3">
        <w:t>Industrie</w:t>
      </w:r>
    </w:p>
    <w:p w:rsidR="00705FB1" w:rsidRPr="00405CC3" w:rsidRDefault="00705FB1" w:rsidP="00A77970">
      <w:pPr>
        <w:jc w:val="both"/>
      </w:pPr>
    </w:p>
    <w:tbl>
      <w:tblPr>
        <w:tblW w:w="10311" w:type="dxa"/>
        <w:jc w:val="center"/>
        <w:tblInd w:w="-92" w:type="dxa"/>
        <w:tblLook w:val="04A0"/>
      </w:tblPr>
      <w:tblGrid>
        <w:gridCol w:w="1442"/>
        <w:gridCol w:w="666"/>
        <w:gridCol w:w="666"/>
        <w:gridCol w:w="729"/>
        <w:gridCol w:w="666"/>
        <w:gridCol w:w="710"/>
        <w:gridCol w:w="666"/>
        <w:gridCol w:w="666"/>
        <w:gridCol w:w="666"/>
        <w:gridCol w:w="666"/>
        <w:gridCol w:w="710"/>
        <w:gridCol w:w="666"/>
        <w:gridCol w:w="666"/>
        <w:gridCol w:w="726"/>
      </w:tblGrid>
      <w:tr w:rsidR="007A0A16" w:rsidRPr="00405CC3" w:rsidTr="003E3FEE">
        <w:trPr>
          <w:trHeight w:val="360"/>
          <w:jc w:val="center"/>
        </w:trPr>
        <w:tc>
          <w:tcPr>
            <w:tcW w:w="1535"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A0A16" w:rsidRPr="00405CC3" w:rsidRDefault="007A0A16" w:rsidP="00A77970">
            <w:pPr>
              <w:rPr>
                <w:b/>
                <w:bCs/>
              </w:rPr>
            </w:pPr>
            <w:r w:rsidRPr="00405CC3">
              <w:rPr>
                <w:b/>
                <w:bCs/>
              </w:rPr>
              <w:t xml:space="preserve">1. </w:t>
            </w:r>
            <w:r w:rsidR="004D0E4C" w:rsidRPr="00405CC3">
              <w:rPr>
                <w:b/>
                <w:bCs/>
              </w:rPr>
              <w:t xml:space="preserve">Indicii producţiei industriale </w:t>
            </w:r>
            <w:r w:rsidRPr="00405CC3">
              <w:rPr>
                <w:b/>
                <w:bCs/>
              </w:rPr>
              <w:t xml:space="preserve">(serie brută) </w:t>
            </w:r>
          </w:p>
        </w:tc>
        <w:tc>
          <w:tcPr>
            <w:tcW w:w="8020" w:type="dxa"/>
            <w:gridSpan w:val="12"/>
            <w:tcBorders>
              <w:top w:val="single" w:sz="8" w:space="0" w:color="auto"/>
              <w:left w:val="nil"/>
              <w:bottom w:val="single" w:sz="8" w:space="0" w:color="auto"/>
              <w:right w:val="nil"/>
            </w:tcBorders>
            <w:shd w:val="clear" w:color="auto" w:fill="auto"/>
            <w:vAlign w:val="center"/>
            <w:hideMark/>
          </w:tcPr>
          <w:p w:rsidR="007A0A16" w:rsidRPr="00405CC3" w:rsidRDefault="007A0A16" w:rsidP="00A77970">
            <w:pPr>
              <w:jc w:val="center"/>
              <w:rPr>
                <w:b/>
                <w:bCs/>
              </w:rPr>
            </w:pPr>
            <w:r w:rsidRPr="00405CC3">
              <w:rPr>
                <w:b/>
                <w:bCs/>
              </w:rPr>
              <w:t xml:space="preserve">luna corespunzătoare din anul precedent = 100 </w:t>
            </w:r>
          </w:p>
        </w:tc>
        <w:tc>
          <w:tcPr>
            <w:tcW w:w="756" w:type="dxa"/>
            <w:tcBorders>
              <w:top w:val="single" w:sz="8" w:space="0" w:color="auto"/>
              <w:left w:val="nil"/>
              <w:bottom w:val="single" w:sz="8" w:space="0" w:color="auto"/>
              <w:right w:val="nil"/>
            </w:tcBorders>
            <w:shd w:val="clear" w:color="auto" w:fill="auto"/>
          </w:tcPr>
          <w:p w:rsidR="007A0A16" w:rsidRPr="00405CC3" w:rsidRDefault="007A0A16" w:rsidP="00A77970">
            <w:pPr>
              <w:jc w:val="center"/>
              <w:rPr>
                <w:b/>
                <w:bCs/>
              </w:rPr>
            </w:pPr>
          </w:p>
        </w:tc>
      </w:tr>
      <w:tr w:rsidR="007A0A16" w:rsidRPr="00405CC3" w:rsidTr="003E3FEE">
        <w:trPr>
          <w:trHeight w:val="330"/>
          <w:jc w:val="center"/>
        </w:trPr>
        <w:tc>
          <w:tcPr>
            <w:tcW w:w="1535" w:type="dxa"/>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7A0A16" w:rsidRPr="00405CC3" w:rsidRDefault="007A0A16" w:rsidP="00A77970">
            <w:pPr>
              <w:rPr>
                <w:b/>
                <w:bCs/>
              </w:rPr>
            </w:pPr>
          </w:p>
        </w:tc>
        <w:tc>
          <w:tcPr>
            <w:tcW w:w="8020" w:type="dxa"/>
            <w:gridSpan w:val="12"/>
            <w:tcBorders>
              <w:top w:val="single" w:sz="8" w:space="0" w:color="auto"/>
              <w:left w:val="nil"/>
              <w:bottom w:val="single" w:sz="8" w:space="0" w:color="auto"/>
              <w:right w:val="single" w:sz="8" w:space="0" w:color="000000"/>
            </w:tcBorders>
            <w:shd w:val="clear" w:color="auto" w:fill="auto"/>
            <w:vAlign w:val="center"/>
            <w:hideMark/>
          </w:tcPr>
          <w:p w:rsidR="007A0A16" w:rsidRPr="00405CC3" w:rsidRDefault="007A0A16" w:rsidP="00A77970">
            <w:pPr>
              <w:jc w:val="center"/>
              <w:rPr>
                <w:b/>
                <w:bCs/>
              </w:rPr>
            </w:pPr>
            <w:r w:rsidRPr="00405CC3">
              <w:rPr>
                <w:b/>
                <w:bCs/>
              </w:rPr>
              <w:t>201</w:t>
            </w:r>
            <w:r w:rsidR="00405CC3" w:rsidRPr="00405CC3">
              <w:rPr>
                <w:b/>
                <w:bCs/>
              </w:rPr>
              <w:t>8</w:t>
            </w:r>
          </w:p>
        </w:tc>
        <w:tc>
          <w:tcPr>
            <w:tcW w:w="756" w:type="dxa"/>
            <w:tcBorders>
              <w:top w:val="single" w:sz="8" w:space="0" w:color="auto"/>
              <w:left w:val="nil"/>
              <w:bottom w:val="single" w:sz="8" w:space="0" w:color="auto"/>
              <w:right w:val="single" w:sz="8" w:space="0" w:color="000000"/>
            </w:tcBorders>
            <w:shd w:val="clear" w:color="auto" w:fill="auto"/>
            <w:vAlign w:val="center"/>
          </w:tcPr>
          <w:p w:rsidR="007A0A16" w:rsidRPr="00405CC3" w:rsidRDefault="007A0A16" w:rsidP="00A77970">
            <w:pPr>
              <w:jc w:val="center"/>
              <w:rPr>
                <w:b/>
                <w:bCs/>
              </w:rPr>
            </w:pPr>
            <w:r w:rsidRPr="00405CC3">
              <w:rPr>
                <w:b/>
                <w:bCs/>
              </w:rPr>
              <w:t>201</w:t>
            </w:r>
            <w:r w:rsidR="00405CC3" w:rsidRPr="00405CC3">
              <w:rPr>
                <w:b/>
                <w:bCs/>
              </w:rPr>
              <w:t>9</w:t>
            </w:r>
          </w:p>
        </w:tc>
      </w:tr>
      <w:tr w:rsidR="004D0E4C" w:rsidRPr="00405CC3" w:rsidTr="003E3FEE">
        <w:trPr>
          <w:trHeight w:val="345"/>
          <w:jc w:val="center"/>
        </w:trPr>
        <w:tc>
          <w:tcPr>
            <w:tcW w:w="1535" w:type="dxa"/>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7A0A16" w:rsidRPr="00405CC3" w:rsidRDefault="007A0A16" w:rsidP="00A77970">
            <w:pPr>
              <w:rPr>
                <w:b/>
                <w:bCs/>
              </w:rPr>
            </w:pPr>
          </w:p>
        </w:tc>
        <w:tc>
          <w:tcPr>
            <w:tcW w:w="636" w:type="dxa"/>
            <w:tcBorders>
              <w:top w:val="nil"/>
              <w:left w:val="nil"/>
              <w:bottom w:val="single" w:sz="8" w:space="0" w:color="auto"/>
              <w:right w:val="single" w:sz="4" w:space="0" w:color="auto"/>
            </w:tcBorders>
            <w:shd w:val="clear" w:color="auto" w:fill="auto"/>
            <w:vAlign w:val="center"/>
            <w:hideMark/>
          </w:tcPr>
          <w:p w:rsidR="007A0A16" w:rsidRPr="00405CC3" w:rsidRDefault="007A0A16" w:rsidP="00A77970">
            <w:pPr>
              <w:jc w:val="center"/>
              <w:rPr>
                <w:b/>
                <w:bCs/>
              </w:rPr>
            </w:pPr>
            <w:r w:rsidRPr="00405CC3">
              <w:rPr>
                <w:b/>
                <w:bCs/>
              </w:rPr>
              <w:t>ian.</w:t>
            </w:r>
          </w:p>
        </w:tc>
        <w:tc>
          <w:tcPr>
            <w:tcW w:w="636" w:type="dxa"/>
            <w:tcBorders>
              <w:top w:val="nil"/>
              <w:left w:val="nil"/>
              <w:bottom w:val="single" w:sz="8" w:space="0" w:color="auto"/>
              <w:right w:val="single" w:sz="4" w:space="0" w:color="auto"/>
            </w:tcBorders>
            <w:shd w:val="clear" w:color="auto" w:fill="auto"/>
            <w:vAlign w:val="center"/>
            <w:hideMark/>
          </w:tcPr>
          <w:p w:rsidR="007A0A16" w:rsidRPr="00405CC3" w:rsidRDefault="007A0A16" w:rsidP="00A77970">
            <w:pPr>
              <w:jc w:val="center"/>
              <w:rPr>
                <w:b/>
                <w:bCs/>
              </w:rPr>
            </w:pPr>
            <w:r w:rsidRPr="00405CC3">
              <w:rPr>
                <w:b/>
                <w:bCs/>
              </w:rPr>
              <w:t>feb.</w:t>
            </w:r>
          </w:p>
        </w:tc>
        <w:tc>
          <w:tcPr>
            <w:tcW w:w="756" w:type="dxa"/>
            <w:tcBorders>
              <w:top w:val="nil"/>
              <w:left w:val="nil"/>
              <w:bottom w:val="single" w:sz="8" w:space="0" w:color="auto"/>
              <w:right w:val="single" w:sz="4" w:space="0" w:color="auto"/>
            </w:tcBorders>
            <w:shd w:val="clear" w:color="auto" w:fill="auto"/>
            <w:vAlign w:val="center"/>
            <w:hideMark/>
          </w:tcPr>
          <w:p w:rsidR="007A0A16" w:rsidRPr="00405CC3" w:rsidRDefault="007A0A16" w:rsidP="00A77970">
            <w:pPr>
              <w:jc w:val="center"/>
              <w:rPr>
                <w:b/>
                <w:bCs/>
              </w:rPr>
            </w:pPr>
            <w:r w:rsidRPr="00405CC3">
              <w:rPr>
                <w:b/>
                <w:bCs/>
              </w:rPr>
              <w:t>mar.</w:t>
            </w:r>
          </w:p>
        </w:tc>
        <w:tc>
          <w:tcPr>
            <w:tcW w:w="636" w:type="dxa"/>
            <w:tcBorders>
              <w:top w:val="nil"/>
              <w:left w:val="nil"/>
              <w:bottom w:val="single" w:sz="8" w:space="0" w:color="auto"/>
              <w:right w:val="single" w:sz="4" w:space="0" w:color="auto"/>
            </w:tcBorders>
            <w:shd w:val="clear" w:color="auto" w:fill="auto"/>
            <w:vAlign w:val="center"/>
            <w:hideMark/>
          </w:tcPr>
          <w:p w:rsidR="007A0A16" w:rsidRPr="00405CC3" w:rsidRDefault="007A0A16" w:rsidP="00A77970">
            <w:pPr>
              <w:jc w:val="center"/>
              <w:rPr>
                <w:b/>
                <w:bCs/>
              </w:rPr>
            </w:pPr>
            <w:r w:rsidRPr="00405CC3">
              <w:rPr>
                <w:b/>
                <w:bCs/>
              </w:rPr>
              <w:t>apr.</w:t>
            </w:r>
          </w:p>
        </w:tc>
        <w:tc>
          <w:tcPr>
            <w:tcW w:w="756" w:type="dxa"/>
            <w:tcBorders>
              <w:top w:val="nil"/>
              <w:left w:val="nil"/>
              <w:bottom w:val="single" w:sz="8" w:space="0" w:color="auto"/>
              <w:right w:val="single" w:sz="4" w:space="0" w:color="auto"/>
            </w:tcBorders>
            <w:shd w:val="clear" w:color="auto" w:fill="auto"/>
            <w:vAlign w:val="center"/>
            <w:hideMark/>
          </w:tcPr>
          <w:p w:rsidR="007A0A16" w:rsidRPr="00405CC3" w:rsidRDefault="007A0A16" w:rsidP="00A77970">
            <w:pPr>
              <w:jc w:val="center"/>
              <w:rPr>
                <w:b/>
                <w:bCs/>
              </w:rPr>
            </w:pPr>
            <w:r w:rsidRPr="00405CC3">
              <w:rPr>
                <w:b/>
                <w:bCs/>
              </w:rPr>
              <w:t>mai</w:t>
            </w:r>
          </w:p>
        </w:tc>
        <w:tc>
          <w:tcPr>
            <w:tcW w:w="636" w:type="dxa"/>
            <w:tcBorders>
              <w:top w:val="nil"/>
              <w:left w:val="nil"/>
              <w:bottom w:val="single" w:sz="8" w:space="0" w:color="auto"/>
              <w:right w:val="single" w:sz="4" w:space="0" w:color="auto"/>
            </w:tcBorders>
            <w:shd w:val="clear" w:color="auto" w:fill="auto"/>
            <w:vAlign w:val="center"/>
            <w:hideMark/>
          </w:tcPr>
          <w:p w:rsidR="007A0A16" w:rsidRPr="00405CC3" w:rsidRDefault="007A0A16" w:rsidP="00A77970">
            <w:pPr>
              <w:jc w:val="center"/>
              <w:rPr>
                <w:b/>
                <w:bCs/>
              </w:rPr>
            </w:pPr>
            <w:r w:rsidRPr="00405CC3">
              <w:rPr>
                <w:b/>
                <w:bCs/>
              </w:rPr>
              <w:t>iun.</w:t>
            </w:r>
          </w:p>
        </w:tc>
        <w:tc>
          <w:tcPr>
            <w:tcW w:w="636" w:type="dxa"/>
            <w:tcBorders>
              <w:top w:val="nil"/>
              <w:left w:val="nil"/>
              <w:bottom w:val="single" w:sz="8" w:space="0" w:color="auto"/>
              <w:right w:val="single" w:sz="4" w:space="0" w:color="auto"/>
            </w:tcBorders>
            <w:shd w:val="clear" w:color="auto" w:fill="auto"/>
            <w:vAlign w:val="center"/>
            <w:hideMark/>
          </w:tcPr>
          <w:p w:rsidR="007A0A16" w:rsidRPr="00405CC3" w:rsidRDefault="007A0A16" w:rsidP="00A77970">
            <w:pPr>
              <w:jc w:val="center"/>
              <w:rPr>
                <w:b/>
                <w:bCs/>
              </w:rPr>
            </w:pPr>
            <w:r w:rsidRPr="00405CC3">
              <w:rPr>
                <w:b/>
                <w:bCs/>
              </w:rPr>
              <w:t>iul.</w:t>
            </w:r>
          </w:p>
        </w:tc>
        <w:tc>
          <w:tcPr>
            <w:tcW w:w="650" w:type="dxa"/>
            <w:tcBorders>
              <w:top w:val="nil"/>
              <w:left w:val="nil"/>
              <w:bottom w:val="single" w:sz="8" w:space="0" w:color="auto"/>
              <w:right w:val="single" w:sz="4" w:space="0" w:color="auto"/>
            </w:tcBorders>
            <w:shd w:val="clear" w:color="auto" w:fill="auto"/>
            <w:vAlign w:val="center"/>
            <w:hideMark/>
          </w:tcPr>
          <w:p w:rsidR="007A0A16" w:rsidRPr="00405CC3" w:rsidRDefault="007A0A16" w:rsidP="00A77970">
            <w:pPr>
              <w:jc w:val="center"/>
              <w:rPr>
                <w:b/>
                <w:bCs/>
              </w:rPr>
            </w:pPr>
            <w:r w:rsidRPr="00405CC3">
              <w:rPr>
                <w:b/>
                <w:bCs/>
              </w:rPr>
              <w:t>aug.</w:t>
            </w:r>
          </w:p>
        </w:tc>
        <w:tc>
          <w:tcPr>
            <w:tcW w:w="636" w:type="dxa"/>
            <w:tcBorders>
              <w:top w:val="nil"/>
              <w:left w:val="nil"/>
              <w:bottom w:val="single" w:sz="8" w:space="0" w:color="auto"/>
              <w:right w:val="single" w:sz="4" w:space="0" w:color="auto"/>
            </w:tcBorders>
            <w:shd w:val="clear" w:color="auto" w:fill="auto"/>
            <w:vAlign w:val="center"/>
            <w:hideMark/>
          </w:tcPr>
          <w:p w:rsidR="007A0A16" w:rsidRPr="00405CC3" w:rsidRDefault="007A0A16" w:rsidP="00A77970">
            <w:pPr>
              <w:jc w:val="center"/>
              <w:rPr>
                <w:b/>
                <w:bCs/>
              </w:rPr>
            </w:pPr>
            <w:r w:rsidRPr="00405CC3">
              <w:rPr>
                <w:b/>
                <w:bCs/>
              </w:rPr>
              <w:t>sep.</w:t>
            </w:r>
          </w:p>
        </w:tc>
        <w:tc>
          <w:tcPr>
            <w:tcW w:w="756" w:type="dxa"/>
            <w:tcBorders>
              <w:top w:val="nil"/>
              <w:left w:val="nil"/>
              <w:bottom w:val="single" w:sz="8" w:space="0" w:color="auto"/>
              <w:right w:val="single" w:sz="4" w:space="0" w:color="auto"/>
            </w:tcBorders>
            <w:shd w:val="clear" w:color="auto" w:fill="auto"/>
            <w:vAlign w:val="center"/>
            <w:hideMark/>
          </w:tcPr>
          <w:p w:rsidR="007A0A16" w:rsidRPr="00405CC3" w:rsidRDefault="007A0A16" w:rsidP="00A77970">
            <w:pPr>
              <w:jc w:val="center"/>
              <w:rPr>
                <w:b/>
                <w:bCs/>
              </w:rPr>
            </w:pPr>
            <w:r w:rsidRPr="00405CC3">
              <w:rPr>
                <w:b/>
                <w:bCs/>
              </w:rPr>
              <w:t>oct.</w:t>
            </w:r>
          </w:p>
        </w:tc>
        <w:tc>
          <w:tcPr>
            <w:tcW w:w="650" w:type="dxa"/>
            <w:tcBorders>
              <w:top w:val="nil"/>
              <w:left w:val="nil"/>
              <w:bottom w:val="single" w:sz="8" w:space="0" w:color="auto"/>
              <w:right w:val="single" w:sz="4" w:space="0" w:color="auto"/>
            </w:tcBorders>
            <w:shd w:val="clear" w:color="auto" w:fill="auto"/>
            <w:vAlign w:val="center"/>
            <w:hideMark/>
          </w:tcPr>
          <w:p w:rsidR="007A0A16" w:rsidRPr="00405CC3" w:rsidRDefault="007A0A16" w:rsidP="00A77970">
            <w:pPr>
              <w:jc w:val="center"/>
              <w:rPr>
                <w:b/>
                <w:bCs/>
              </w:rPr>
            </w:pPr>
            <w:r w:rsidRPr="00405CC3">
              <w:rPr>
                <w:b/>
                <w:bCs/>
              </w:rPr>
              <w:t>nov.</w:t>
            </w:r>
          </w:p>
        </w:tc>
        <w:tc>
          <w:tcPr>
            <w:tcW w:w="636" w:type="dxa"/>
            <w:tcBorders>
              <w:top w:val="nil"/>
              <w:left w:val="nil"/>
              <w:bottom w:val="single" w:sz="8" w:space="0" w:color="auto"/>
              <w:right w:val="single" w:sz="8" w:space="0" w:color="auto"/>
            </w:tcBorders>
            <w:shd w:val="clear" w:color="auto" w:fill="auto"/>
            <w:vAlign w:val="center"/>
            <w:hideMark/>
          </w:tcPr>
          <w:p w:rsidR="007A0A16" w:rsidRPr="00405CC3" w:rsidRDefault="007A0A16" w:rsidP="00A77970">
            <w:pPr>
              <w:jc w:val="center"/>
              <w:rPr>
                <w:b/>
                <w:bCs/>
              </w:rPr>
            </w:pPr>
            <w:r w:rsidRPr="00405CC3">
              <w:rPr>
                <w:b/>
                <w:bCs/>
              </w:rPr>
              <w:t>dec.</w:t>
            </w:r>
          </w:p>
        </w:tc>
        <w:tc>
          <w:tcPr>
            <w:tcW w:w="756" w:type="dxa"/>
            <w:tcBorders>
              <w:top w:val="nil"/>
              <w:left w:val="nil"/>
              <w:bottom w:val="single" w:sz="8" w:space="0" w:color="auto"/>
              <w:right w:val="single" w:sz="8" w:space="0" w:color="auto"/>
            </w:tcBorders>
            <w:shd w:val="clear" w:color="auto" w:fill="auto"/>
            <w:vAlign w:val="center"/>
          </w:tcPr>
          <w:p w:rsidR="007A0A16" w:rsidRPr="00405CC3" w:rsidRDefault="007A0A16" w:rsidP="00A77970">
            <w:pPr>
              <w:jc w:val="center"/>
              <w:rPr>
                <w:b/>
                <w:bCs/>
              </w:rPr>
            </w:pPr>
            <w:r w:rsidRPr="00405CC3">
              <w:rPr>
                <w:b/>
                <w:bCs/>
              </w:rPr>
              <w:t>ian.</w:t>
            </w:r>
            <w:r w:rsidRPr="00405CC3">
              <w:rPr>
                <w:vertAlign w:val="superscript"/>
              </w:rPr>
              <w:t xml:space="preserve"> </w:t>
            </w:r>
            <w:r w:rsidRPr="00405CC3">
              <w:rPr>
                <w:b/>
                <w:vertAlign w:val="superscript"/>
              </w:rPr>
              <w:t>2)</w:t>
            </w:r>
          </w:p>
        </w:tc>
      </w:tr>
      <w:tr w:rsidR="00405CC3" w:rsidRPr="00405CC3" w:rsidTr="003E3FEE">
        <w:trPr>
          <w:trHeight w:val="405"/>
          <w:jc w:val="center"/>
        </w:trPr>
        <w:tc>
          <w:tcPr>
            <w:tcW w:w="1535" w:type="dxa"/>
            <w:tcBorders>
              <w:top w:val="single" w:sz="8" w:space="0" w:color="auto"/>
              <w:left w:val="single" w:sz="4" w:space="0" w:color="auto"/>
              <w:bottom w:val="single" w:sz="4" w:space="0" w:color="auto"/>
              <w:right w:val="single" w:sz="4" w:space="0" w:color="000000"/>
            </w:tcBorders>
            <w:shd w:val="clear" w:color="auto" w:fill="auto"/>
            <w:vAlign w:val="center"/>
            <w:hideMark/>
          </w:tcPr>
          <w:p w:rsidR="00405CC3" w:rsidRPr="00405CC3" w:rsidRDefault="00405CC3" w:rsidP="00A77970">
            <w:pPr>
              <w:rPr>
                <w:b/>
                <w:bCs/>
              </w:rPr>
            </w:pPr>
            <w:r w:rsidRPr="00405CC3">
              <w:rPr>
                <w:b/>
                <w:bCs/>
              </w:rPr>
              <w:t>Municipiul Bucuresti - total</w:t>
            </w:r>
          </w:p>
        </w:tc>
        <w:tc>
          <w:tcPr>
            <w:tcW w:w="636" w:type="dxa"/>
            <w:tcBorders>
              <w:top w:val="nil"/>
              <w:left w:val="nil"/>
              <w:bottom w:val="single" w:sz="4" w:space="0" w:color="auto"/>
              <w:right w:val="single" w:sz="4" w:space="0" w:color="auto"/>
            </w:tcBorders>
            <w:shd w:val="clear" w:color="auto" w:fill="auto"/>
            <w:vAlign w:val="center"/>
            <w:hideMark/>
          </w:tcPr>
          <w:p w:rsidR="00405CC3" w:rsidRPr="00405CC3" w:rsidRDefault="00405CC3" w:rsidP="001C00F8">
            <w:pPr>
              <w:jc w:val="center"/>
              <w:rPr>
                <w:b/>
                <w:bCs/>
                <w:sz w:val="20"/>
                <w:szCs w:val="20"/>
                <w:lang w:eastAsia="en-US"/>
              </w:rPr>
            </w:pPr>
            <w:r w:rsidRPr="00405CC3">
              <w:rPr>
                <w:b/>
                <w:bCs/>
                <w:sz w:val="20"/>
                <w:szCs w:val="20"/>
              </w:rPr>
              <w:t>102,9</w:t>
            </w:r>
          </w:p>
        </w:tc>
        <w:tc>
          <w:tcPr>
            <w:tcW w:w="636" w:type="dxa"/>
            <w:tcBorders>
              <w:top w:val="nil"/>
              <w:left w:val="nil"/>
              <w:bottom w:val="single" w:sz="4" w:space="0" w:color="auto"/>
              <w:right w:val="single" w:sz="4" w:space="0" w:color="auto"/>
            </w:tcBorders>
            <w:shd w:val="clear" w:color="auto" w:fill="auto"/>
            <w:vAlign w:val="center"/>
            <w:hideMark/>
          </w:tcPr>
          <w:p w:rsidR="00405CC3" w:rsidRPr="00405CC3" w:rsidRDefault="00405CC3" w:rsidP="001C00F8">
            <w:pPr>
              <w:jc w:val="center"/>
              <w:rPr>
                <w:b/>
                <w:bCs/>
                <w:sz w:val="20"/>
                <w:szCs w:val="20"/>
              </w:rPr>
            </w:pPr>
            <w:r w:rsidRPr="00405CC3">
              <w:rPr>
                <w:b/>
                <w:bCs/>
                <w:sz w:val="20"/>
                <w:szCs w:val="20"/>
              </w:rPr>
              <w:t>115,6</w:t>
            </w:r>
          </w:p>
        </w:tc>
        <w:tc>
          <w:tcPr>
            <w:tcW w:w="756" w:type="dxa"/>
            <w:tcBorders>
              <w:top w:val="nil"/>
              <w:left w:val="nil"/>
              <w:bottom w:val="single" w:sz="4" w:space="0" w:color="auto"/>
              <w:right w:val="single" w:sz="4" w:space="0" w:color="auto"/>
            </w:tcBorders>
            <w:shd w:val="clear" w:color="auto" w:fill="auto"/>
            <w:vAlign w:val="center"/>
            <w:hideMark/>
          </w:tcPr>
          <w:p w:rsidR="00405CC3" w:rsidRPr="00405CC3" w:rsidRDefault="00405CC3" w:rsidP="001C00F8">
            <w:pPr>
              <w:jc w:val="center"/>
              <w:rPr>
                <w:b/>
                <w:bCs/>
                <w:sz w:val="20"/>
                <w:szCs w:val="20"/>
              </w:rPr>
            </w:pPr>
            <w:r w:rsidRPr="00405CC3">
              <w:rPr>
                <w:b/>
                <w:bCs/>
                <w:sz w:val="20"/>
                <w:szCs w:val="20"/>
              </w:rPr>
              <w:t>101,8</w:t>
            </w:r>
          </w:p>
        </w:tc>
        <w:tc>
          <w:tcPr>
            <w:tcW w:w="636" w:type="dxa"/>
            <w:tcBorders>
              <w:top w:val="nil"/>
              <w:left w:val="nil"/>
              <w:bottom w:val="single" w:sz="4" w:space="0" w:color="auto"/>
              <w:right w:val="single" w:sz="4" w:space="0" w:color="auto"/>
            </w:tcBorders>
            <w:shd w:val="clear" w:color="auto" w:fill="auto"/>
            <w:vAlign w:val="center"/>
            <w:hideMark/>
          </w:tcPr>
          <w:p w:rsidR="00405CC3" w:rsidRPr="00405CC3" w:rsidRDefault="00405CC3" w:rsidP="001C00F8">
            <w:pPr>
              <w:jc w:val="center"/>
              <w:rPr>
                <w:b/>
                <w:bCs/>
                <w:sz w:val="20"/>
                <w:szCs w:val="20"/>
              </w:rPr>
            </w:pPr>
            <w:r w:rsidRPr="00405CC3">
              <w:rPr>
                <w:b/>
                <w:bCs/>
                <w:sz w:val="20"/>
                <w:szCs w:val="20"/>
              </w:rPr>
              <w:t>102,6</w:t>
            </w:r>
          </w:p>
        </w:tc>
        <w:tc>
          <w:tcPr>
            <w:tcW w:w="756" w:type="dxa"/>
            <w:tcBorders>
              <w:top w:val="nil"/>
              <w:left w:val="nil"/>
              <w:bottom w:val="single" w:sz="4" w:space="0" w:color="auto"/>
              <w:right w:val="single" w:sz="4" w:space="0" w:color="auto"/>
            </w:tcBorders>
            <w:shd w:val="clear" w:color="auto" w:fill="auto"/>
            <w:vAlign w:val="center"/>
            <w:hideMark/>
          </w:tcPr>
          <w:p w:rsidR="00405CC3" w:rsidRPr="00405CC3" w:rsidRDefault="00405CC3" w:rsidP="001C00F8">
            <w:pPr>
              <w:jc w:val="center"/>
              <w:rPr>
                <w:b/>
                <w:bCs/>
                <w:sz w:val="20"/>
                <w:szCs w:val="20"/>
              </w:rPr>
            </w:pPr>
            <w:r w:rsidRPr="00405CC3">
              <w:rPr>
                <w:b/>
                <w:bCs/>
                <w:sz w:val="20"/>
                <w:szCs w:val="20"/>
              </w:rPr>
              <w:t>105,2</w:t>
            </w:r>
          </w:p>
        </w:tc>
        <w:tc>
          <w:tcPr>
            <w:tcW w:w="636" w:type="dxa"/>
            <w:tcBorders>
              <w:top w:val="nil"/>
              <w:left w:val="nil"/>
              <w:bottom w:val="single" w:sz="4" w:space="0" w:color="auto"/>
              <w:right w:val="single" w:sz="4" w:space="0" w:color="auto"/>
            </w:tcBorders>
            <w:shd w:val="clear" w:color="auto" w:fill="auto"/>
            <w:vAlign w:val="center"/>
            <w:hideMark/>
          </w:tcPr>
          <w:p w:rsidR="00405CC3" w:rsidRPr="00405CC3" w:rsidRDefault="00405CC3" w:rsidP="001C00F8">
            <w:pPr>
              <w:jc w:val="center"/>
              <w:rPr>
                <w:b/>
                <w:bCs/>
                <w:sz w:val="20"/>
                <w:szCs w:val="20"/>
              </w:rPr>
            </w:pPr>
            <w:r w:rsidRPr="00405CC3">
              <w:rPr>
                <w:b/>
                <w:bCs/>
                <w:sz w:val="20"/>
                <w:szCs w:val="20"/>
              </w:rPr>
              <w:t>103,9</w:t>
            </w:r>
          </w:p>
        </w:tc>
        <w:tc>
          <w:tcPr>
            <w:tcW w:w="636" w:type="dxa"/>
            <w:tcBorders>
              <w:top w:val="nil"/>
              <w:left w:val="nil"/>
              <w:bottom w:val="single" w:sz="4" w:space="0" w:color="auto"/>
              <w:right w:val="single" w:sz="4" w:space="0" w:color="auto"/>
            </w:tcBorders>
            <w:shd w:val="clear" w:color="auto" w:fill="auto"/>
            <w:vAlign w:val="center"/>
            <w:hideMark/>
          </w:tcPr>
          <w:p w:rsidR="00405CC3" w:rsidRPr="00405CC3" w:rsidRDefault="00405CC3" w:rsidP="001C00F8">
            <w:pPr>
              <w:jc w:val="center"/>
              <w:rPr>
                <w:b/>
                <w:bCs/>
                <w:sz w:val="20"/>
                <w:szCs w:val="20"/>
              </w:rPr>
            </w:pPr>
            <w:r w:rsidRPr="00405CC3">
              <w:rPr>
                <w:b/>
                <w:bCs/>
                <w:sz w:val="20"/>
                <w:szCs w:val="20"/>
              </w:rPr>
              <w:t>106,2</w:t>
            </w:r>
          </w:p>
        </w:tc>
        <w:tc>
          <w:tcPr>
            <w:tcW w:w="650" w:type="dxa"/>
            <w:tcBorders>
              <w:top w:val="nil"/>
              <w:left w:val="nil"/>
              <w:bottom w:val="single" w:sz="4" w:space="0" w:color="auto"/>
              <w:right w:val="single" w:sz="4" w:space="0" w:color="auto"/>
            </w:tcBorders>
            <w:shd w:val="clear" w:color="auto" w:fill="auto"/>
            <w:vAlign w:val="center"/>
            <w:hideMark/>
          </w:tcPr>
          <w:p w:rsidR="00405CC3" w:rsidRPr="00405CC3" w:rsidRDefault="00405CC3" w:rsidP="001C00F8">
            <w:pPr>
              <w:jc w:val="center"/>
              <w:rPr>
                <w:b/>
                <w:bCs/>
                <w:sz w:val="20"/>
                <w:szCs w:val="20"/>
              </w:rPr>
            </w:pPr>
            <w:r w:rsidRPr="00405CC3">
              <w:rPr>
                <w:b/>
                <w:bCs/>
                <w:sz w:val="20"/>
                <w:szCs w:val="20"/>
              </w:rPr>
              <w:t>105,7</w:t>
            </w:r>
          </w:p>
        </w:tc>
        <w:tc>
          <w:tcPr>
            <w:tcW w:w="636" w:type="dxa"/>
            <w:tcBorders>
              <w:top w:val="nil"/>
              <w:left w:val="nil"/>
              <w:bottom w:val="single" w:sz="4" w:space="0" w:color="auto"/>
              <w:right w:val="single" w:sz="4" w:space="0" w:color="auto"/>
            </w:tcBorders>
            <w:shd w:val="clear" w:color="auto" w:fill="auto"/>
            <w:vAlign w:val="center"/>
            <w:hideMark/>
          </w:tcPr>
          <w:p w:rsidR="00405CC3" w:rsidRPr="00405CC3" w:rsidRDefault="00405CC3" w:rsidP="001C00F8">
            <w:pPr>
              <w:jc w:val="center"/>
              <w:rPr>
                <w:b/>
                <w:bCs/>
                <w:sz w:val="20"/>
                <w:szCs w:val="20"/>
              </w:rPr>
            </w:pPr>
            <w:r w:rsidRPr="00405CC3">
              <w:rPr>
                <w:b/>
                <w:bCs/>
                <w:sz w:val="20"/>
                <w:szCs w:val="20"/>
              </w:rPr>
              <w:t>102,6</w:t>
            </w:r>
          </w:p>
        </w:tc>
        <w:tc>
          <w:tcPr>
            <w:tcW w:w="756" w:type="dxa"/>
            <w:tcBorders>
              <w:top w:val="nil"/>
              <w:left w:val="nil"/>
              <w:bottom w:val="single" w:sz="4" w:space="0" w:color="auto"/>
              <w:right w:val="single" w:sz="4" w:space="0" w:color="auto"/>
            </w:tcBorders>
            <w:shd w:val="clear" w:color="auto" w:fill="auto"/>
            <w:vAlign w:val="center"/>
            <w:hideMark/>
          </w:tcPr>
          <w:p w:rsidR="00405CC3" w:rsidRPr="00405CC3" w:rsidRDefault="00405CC3" w:rsidP="001C00F8">
            <w:pPr>
              <w:jc w:val="center"/>
              <w:rPr>
                <w:b/>
                <w:bCs/>
                <w:sz w:val="20"/>
                <w:szCs w:val="20"/>
              </w:rPr>
            </w:pPr>
            <w:r w:rsidRPr="00405CC3">
              <w:rPr>
                <w:b/>
                <w:bCs/>
                <w:sz w:val="20"/>
                <w:szCs w:val="20"/>
              </w:rPr>
              <w:t>110,5</w:t>
            </w:r>
          </w:p>
        </w:tc>
        <w:tc>
          <w:tcPr>
            <w:tcW w:w="650" w:type="dxa"/>
            <w:tcBorders>
              <w:top w:val="nil"/>
              <w:left w:val="nil"/>
              <w:bottom w:val="single" w:sz="4" w:space="0" w:color="auto"/>
              <w:right w:val="single" w:sz="4" w:space="0" w:color="auto"/>
            </w:tcBorders>
            <w:shd w:val="clear" w:color="auto" w:fill="auto"/>
            <w:vAlign w:val="center"/>
            <w:hideMark/>
          </w:tcPr>
          <w:p w:rsidR="00405CC3" w:rsidRPr="00405CC3" w:rsidRDefault="00405CC3" w:rsidP="001C00F8">
            <w:pPr>
              <w:jc w:val="center"/>
              <w:rPr>
                <w:b/>
                <w:bCs/>
                <w:sz w:val="20"/>
                <w:szCs w:val="20"/>
              </w:rPr>
            </w:pPr>
            <w:r w:rsidRPr="00405CC3">
              <w:rPr>
                <w:b/>
                <w:bCs/>
                <w:sz w:val="20"/>
                <w:szCs w:val="20"/>
              </w:rPr>
              <w:t>109,9</w:t>
            </w:r>
          </w:p>
        </w:tc>
        <w:tc>
          <w:tcPr>
            <w:tcW w:w="636" w:type="dxa"/>
            <w:tcBorders>
              <w:top w:val="nil"/>
              <w:left w:val="nil"/>
              <w:bottom w:val="single" w:sz="4" w:space="0" w:color="auto"/>
              <w:right w:val="single" w:sz="4" w:space="0" w:color="auto"/>
            </w:tcBorders>
            <w:shd w:val="clear" w:color="auto" w:fill="auto"/>
            <w:vAlign w:val="center"/>
            <w:hideMark/>
          </w:tcPr>
          <w:p w:rsidR="00405CC3" w:rsidRPr="00405CC3" w:rsidRDefault="00405CC3" w:rsidP="001C00F8">
            <w:pPr>
              <w:jc w:val="center"/>
              <w:rPr>
                <w:b/>
                <w:bCs/>
                <w:sz w:val="20"/>
                <w:szCs w:val="20"/>
              </w:rPr>
            </w:pPr>
            <w:r w:rsidRPr="00405CC3">
              <w:rPr>
                <w:b/>
                <w:bCs/>
                <w:sz w:val="20"/>
                <w:szCs w:val="20"/>
              </w:rPr>
              <w:t>104,4</w:t>
            </w:r>
          </w:p>
        </w:tc>
        <w:tc>
          <w:tcPr>
            <w:tcW w:w="756" w:type="dxa"/>
            <w:tcBorders>
              <w:top w:val="nil"/>
              <w:left w:val="nil"/>
              <w:bottom w:val="single" w:sz="4" w:space="0" w:color="auto"/>
              <w:right w:val="single" w:sz="4" w:space="0" w:color="auto"/>
            </w:tcBorders>
            <w:vAlign w:val="center"/>
          </w:tcPr>
          <w:p w:rsidR="00405CC3" w:rsidRPr="00405CC3" w:rsidRDefault="00405CC3" w:rsidP="001C00F8">
            <w:pPr>
              <w:jc w:val="center"/>
              <w:rPr>
                <w:b/>
                <w:bCs/>
                <w:sz w:val="20"/>
                <w:szCs w:val="20"/>
              </w:rPr>
            </w:pPr>
            <w:r w:rsidRPr="00405CC3">
              <w:rPr>
                <w:b/>
                <w:bCs/>
                <w:sz w:val="20"/>
                <w:szCs w:val="20"/>
              </w:rPr>
              <w:t>101,7</w:t>
            </w:r>
          </w:p>
        </w:tc>
      </w:tr>
      <w:tr w:rsidR="007A0A16" w:rsidRPr="00405CC3" w:rsidTr="003E3FEE">
        <w:trPr>
          <w:trHeight w:val="70"/>
          <w:jc w:val="center"/>
        </w:trPr>
        <w:tc>
          <w:tcPr>
            <w:tcW w:w="9555" w:type="dxa"/>
            <w:gridSpan w:val="13"/>
            <w:tcBorders>
              <w:top w:val="nil"/>
              <w:left w:val="nil"/>
              <w:bottom w:val="nil"/>
              <w:right w:val="nil"/>
            </w:tcBorders>
            <w:shd w:val="clear" w:color="auto" w:fill="auto"/>
            <w:vAlign w:val="center"/>
            <w:hideMark/>
          </w:tcPr>
          <w:p w:rsidR="007A0A16" w:rsidRPr="00405CC3" w:rsidRDefault="007A0A16" w:rsidP="00A77970">
            <w:pPr>
              <w:rPr>
                <w:b/>
                <w:bCs/>
                <w:sz w:val="16"/>
                <w:szCs w:val="16"/>
              </w:rPr>
            </w:pPr>
          </w:p>
        </w:tc>
        <w:tc>
          <w:tcPr>
            <w:tcW w:w="756" w:type="dxa"/>
            <w:tcBorders>
              <w:top w:val="nil"/>
              <w:left w:val="nil"/>
              <w:bottom w:val="nil"/>
              <w:right w:val="nil"/>
            </w:tcBorders>
          </w:tcPr>
          <w:p w:rsidR="007A0A16" w:rsidRPr="00405CC3" w:rsidRDefault="007A0A16" w:rsidP="00A77970">
            <w:pPr>
              <w:rPr>
                <w:b/>
                <w:bCs/>
                <w:sz w:val="16"/>
                <w:szCs w:val="16"/>
              </w:rPr>
            </w:pPr>
          </w:p>
        </w:tc>
      </w:tr>
    </w:tbl>
    <w:p w:rsidR="00B03D9F" w:rsidRPr="00405CC3" w:rsidRDefault="00060144" w:rsidP="00A77970">
      <w:pPr>
        <w:jc w:val="both"/>
        <w:rPr>
          <w:sz w:val="20"/>
          <w:szCs w:val="20"/>
        </w:rPr>
      </w:pPr>
      <w:r w:rsidRPr="00405CC3">
        <w:rPr>
          <w:sz w:val="20"/>
          <w:szCs w:val="20"/>
        </w:rPr>
        <w:tab/>
      </w:r>
      <w:r w:rsidRPr="00405CC3">
        <w:rPr>
          <w:b/>
          <w:sz w:val="20"/>
          <w:szCs w:val="20"/>
        </w:rPr>
        <w:t>Notă:</w:t>
      </w:r>
      <w:r w:rsidRPr="00405CC3">
        <w:rPr>
          <w:sz w:val="20"/>
          <w:szCs w:val="20"/>
        </w:rPr>
        <w:t xml:space="preserve"> Sursa datelor o constituie capitolul PROD din Cercetarea statistică lunară privind indicatorii pe termen scurt în industrie (IND TS). Indicii producţiei industriale (IPI) caracterizează evoluţia producţiei industriale totale la nivel de judeţ, în timp ce IPI, calculat la nivel naţional, caracterizează evoluţia valorii adăugate brute la costul factorilor, realizată în activitatea industrială.</w:t>
      </w:r>
    </w:p>
    <w:p w:rsidR="00060144" w:rsidRPr="00405CC3" w:rsidRDefault="00060144" w:rsidP="00A77970">
      <w:pPr>
        <w:jc w:val="both"/>
      </w:pPr>
    </w:p>
    <w:tbl>
      <w:tblPr>
        <w:tblW w:w="10453" w:type="dxa"/>
        <w:jc w:val="center"/>
        <w:tblInd w:w="651" w:type="dxa"/>
        <w:tblLook w:val="04A0"/>
      </w:tblPr>
      <w:tblGrid>
        <w:gridCol w:w="194"/>
        <w:gridCol w:w="1181"/>
        <w:gridCol w:w="666"/>
        <w:gridCol w:w="666"/>
        <w:gridCol w:w="711"/>
        <w:gridCol w:w="666"/>
        <w:gridCol w:w="721"/>
        <w:gridCol w:w="721"/>
        <w:gridCol w:w="721"/>
        <w:gridCol w:w="721"/>
        <w:gridCol w:w="721"/>
        <w:gridCol w:w="721"/>
        <w:gridCol w:w="721"/>
        <w:gridCol w:w="666"/>
        <w:gridCol w:w="656"/>
      </w:tblGrid>
      <w:tr w:rsidR="007A0A16" w:rsidRPr="00405CC3" w:rsidTr="003E3FEE">
        <w:trPr>
          <w:trHeight w:val="433"/>
          <w:jc w:val="center"/>
        </w:trPr>
        <w:tc>
          <w:tcPr>
            <w:tcW w:w="1431"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A0A16" w:rsidRPr="00405CC3" w:rsidRDefault="007A0A16" w:rsidP="00A77970">
            <w:pPr>
              <w:rPr>
                <w:b/>
                <w:bCs/>
                <w:sz w:val="20"/>
                <w:szCs w:val="20"/>
              </w:rPr>
            </w:pPr>
            <w:r w:rsidRPr="00405CC3">
              <w:rPr>
                <w:b/>
                <w:bCs/>
                <w:sz w:val="20"/>
                <w:szCs w:val="20"/>
              </w:rPr>
              <w:t xml:space="preserve">2. </w:t>
            </w:r>
            <w:r w:rsidR="004D0E4C" w:rsidRPr="00405CC3">
              <w:rPr>
                <w:b/>
                <w:bCs/>
                <w:sz w:val="20"/>
                <w:szCs w:val="20"/>
              </w:rPr>
              <w:t>Indicii valorici ai cifrei de afaceri din industrie pe total (piaţa internă şi piaţa externă)</w:t>
            </w:r>
          </w:p>
        </w:tc>
        <w:tc>
          <w:tcPr>
            <w:tcW w:w="8356" w:type="dxa"/>
            <w:gridSpan w:val="12"/>
            <w:tcBorders>
              <w:top w:val="single" w:sz="8" w:space="0" w:color="auto"/>
              <w:left w:val="nil"/>
              <w:bottom w:val="single" w:sz="8" w:space="0" w:color="auto"/>
              <w:right w:val="nil"/>
            </w:tcBorders>
            <w:shd w:val="clear" w:color="auto" w:fill="auto"/>
            <w:vAlign w:val="center"/>
            <w:hideMark/>
          </w:tcPr>
          <w:p w:rsidR="007A0A16" w:rsidRPr="00405CC3" w:rsidRDefault="007A0A16" w:rsidP="00A77970">
            <w:pPr>
              <w:jc w:val="center"/>
              <w:rPr>
                <w:b/>
                <w:bCs/>
                <w:sz w:val="20"/>
                <w:szCs w:val="20"/>
              </w:rPr>
            </w:pPr>
            <w:r w:rsidRPr="00405CC3">
              <w:rPr>
                <w:b/>
                <w:bCs/>
                <w:sz w:val="20"/>
                <w:szCs w:val="20"/>
              </w:rPr>
              <w:t xml:space="preserve">luna corespunzătoare din anul precedent = 100 </w:t>
            </w:r>
          </w:p>
        </w:tc>
        <w:tc>
          <w:tcPr>
            <w:tcW w:w="666" w:type="dxa"/>
            <w:tcBorders>
              <w:top w:val="single" w:sz="8" w:space="0" w:color="auto"/>
              <w:left w:val="nil"/>
              <w:bottom w:val="single" w:sz="8" w:space="0" w:color="auto"/>
              <w:right w:val="nil"/>
            </w:tcBorders>
            <w:shd w:val="clear" w:color="auto" w:fill="auto"/>
          </w:tcPr>
          <w:p w:rsidR="007A0A16" w:rsidRPr="00405CC3" w:rsidRDefault="007A0A16" w:rsidP="00A77970">
            <w:pPr>
              <w:jc w:val="center"/>
              <w:rPr>
                <w:b/>
                <w:bCs/>
                <w:sz w:val="20"/>
                <w:szCs w:val="20"/>
              </w:rPr>
            </w:pPr>
          </w:p>
        </w:tc>
      </w:tr>
      <w:tr w:rsidR="007A0A16" w:rsidRPr="00405CC3" w:rsidTr="003E3FEE">
        <w:trPr>
          <w:trHeight w:val="343"/>
          <w:jc w:val="center"/>
        </w:trPr>
        <w:tc>
          <w:tcPr>
            <w:tcW w:w="1431"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7A0A16" w:rsidRPr="00405CC3" w:rsidRDefault="007A0A16" w:rsidP="00A77970">
            <w:pPr>
              <w:rPr>
                <w:b/>
                <w:bCs/>
                <w:sz w:val="20"/>
                <w:szCs w:val="20"/>
              </w:rPr>
            </w:pPr>
          </w:p>
        </w:tc>
        <w:tc>
          <w:tcPr>
            <w:tcW w:w="8356" w:type="dxa"/>
            <w:gridSpan w:val="12"/>
            <w:tcBorders>
              <w:top w:val="single" w:sz="8" w:space="0" w:color="auto"/>
              <w:left w:val="nil"/>
              <w:bottom w:val="single" w:sz="8" w:space="0" w:color="auto"/>
              <w:right w:val="single" w:sz="8" w:space="0" w:color="000000"/>
            </w:tcBorders>
            <w:shd w:val="clear" w:color="auto" w:fill="auto"/>
            <w:vAlign w:val="center"/>
            <w:hideMark/>
          </w:tcPr>
          <w:p w:rsidR="007A0A16" w:rsidRPr="00405CC3" w:rsidRDefault="007A0A16" w:rsidP="00405CC3">
            <w:pPr>
              <w:jc w:val="center"/>
              <w:rPr>
                <w:b/>
                <w:bCs/>
                <w:sz w:val="20"/>
                <w:szCs w:val="20"/>
              </w:rPr>
            </w:pPr>
            <w:r w:rsidRPr="00405CC3">
              <w:rPr>
                <w:b/>
                <w:bCs/>
                <w:sz w:val="20"/>
                <w:szCs w:val="20"/>
              </w:rPr>
              <w:t>201</w:t>
            </w:r>
            <w:r w:rsidR="00405CC3" w:rsidRPr="00405CC3">
              <w:rPr>
                <w:b/>
                <w:bCs/>
                <w:sz w:val="20"/>
                <w:szCs w:val="20"/>
              </w:rPr>
              <w:t>8</w:t>
            </w:r>
          </w:p>
        </w:tc>
        <w:tc>
          <w:tcPr>
            <w:tcW w:w="666" w:type="dxa"/>
            <w:tcBorders>
              <w:top w:val="single" w:sz="8" w:space="0" w:color="auto"/>
              <w:left w:val="nil"/>
              <w:bottom w:val="single" w:sz="8" w:space="0" w:color="auto"/>
              <w:right w:val="single" w:sz="8" w:space="0" w:color="000000"/>
            </w:tcBorders>
            <w:shd w:val="clear" w:color="auto" w:fill="auto"/>
            <w:vAlign w:val="center"/>
          </w:tcPr>
          <w:p w:rsidR="007A0A16" w:rsidRPr="00405CC3" w:rsidRDefault="007A0A16" w:rsidP="00405CC3">
            <w:pPr>
              <w:jc w:val="center"/>
              <w:rPr>
                <w:b/>
                <w:bCs/>
                <w:sz w:val="20"/>
                <w:szCs w:val="20"/>
              </w:rPr>
            </w:pPr>
            <w:r w:rsidRPr="00405CC3">
              <w:rPr>
                <w:b/>
                <w:bCs/>
                <w:sz w:val="20"/>
                <w:szCs w:val="20"/>
              </w:rPr>
              <w:t>201</w:t>
            </w:r>
            <w:r w:rsidR="00405CC3" w:rsidRPr="00405CC3">
              <w:rPr>
                <w:b/>
                <w:bCs/>
                <w:sz w:val="20"/>
                <w:szCs w:val="20"/>
              </w:rPr>
              <w:t>9</w:t>
            </w:r>
          </w:p>
        </w:tc>
      </w:tr>
      <w:tr w:rsidR="004D0E4C" w:rsidRPr="00405CC3" w:rsidTr="003E3FEE">
        <w:trPr>
          <w:trHeight w:val="328"/>
          <w:jc w:val="center"/>
        </w:trPr>
        <w:tc>
          <w:tcPr>
            <w:tcW w:w="1431" w:type="dxa"/>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7A0A16" w:rsidRPr="00405CC3" w:rsidRDefault="007A0A16" w:rsidP="00A77970">
            <w:pPr>
              <w:rPr>
                <w:b/>
                <w:bCs/>
                <w:sz w:val="20"/>
                <w:szCs w:val="20"/>
              </w:rPr>
            </w:pPr>
          </w:p>
        </w:tc>
        <w:tc>
          <w:tcPr>
            <w:tcW w:w="619" w:type="dxa"/>
            <w:tcBorders>
              <w:top w:val="nil"/>
              <w:left w:val="nil"/>
              <w:bottom w:val="single" w:sz="8" w:space="0" w:color="auto"/>
              <w:right w:val="single" w:sz="4" w:space="0" w:color="auto"/>
            </w:tcBorders>
            <w:shd w:val="clear" w:color="auto" w:fill="auto"/>
            <w:vAlign w:val="center"/>
            <w:hideMark/>
          </w:tcPr>
          <w:p w:rsidR="007A0A16" w:rsidRPr="00405CC3" w:rsidRDefault="007A0A16" w:rsidP="00A77970">
            <w:pPr>
              <w:jc w:val="center"/>
              <w:rPr>
                <w:b/>
                <w:bCs/>
                <w:sz w:val="20"/>
                <w:szCs w:val="20"/>
              </w:rPr>
            </w:pPr>
            <w:r w:rsidRPr="00405CC3">
              <w:rPr>
                <w:b/>
                <w:bCs/>
                <w:sz w:val="20"/>
                <w:szCs w:val="20"/>
              </w:rPr>
              <w:t>ian.</w:t>
            </w:r>
          </w:p>
        </w:tc>
        <w:tc>
          <w:tcPr>
            <w:tcW w:w="619" w:type="dxa"/>
            <w:tcBorders>
              <w:top w:val="nil"/>
              <w:left w:val="nil"/>
              <w:bottom w:val="single" w:sz="8" w:space="0" w:color="auto"/>
              <w:right w:val="single" w:sz="4" w:space="0" w:color="auto"/>
            </w:tcBorders>
            <w:shd w:val="clear" w:color="auto" w:fill="auto"/>
            <w:vAlign w:val="center"/>
            <w:hideMark/>
          </w:tcPr>
          <w:p w:rsidR="007A0A16" w:rsidRPr="00405CC3" w:rsidRDefault="00060144" w:rsidP="00A77970">
            <w:pPr>
              <w:jc w:val="center"/>
              <w:rPr>
                <w:b/>
                <w:bCs/>
                <w:sz w:val="20"/>
                <w:szCs w:val="20"/>
              </w:rPr>
            </w:pPr>
            <w:r w:rsidRPr="00405CC3">
              <w:rPr>
                <w:b/>
                <w:bCs/>
                <w:sz w:val="20"/>
                <w:szCs w:val="20"/>
              </w:rPr>
              <w:t>feb.</w:t>
            </w:r>
            <w:r w:rsidR="007A0A16" w:rsidRPr="00405CC3">
              <w:rPr>
                <w:sz w:val="20"/>
                <w:szCs w:val="20"/>
                <w:vertAlign w:val="superscript"/>
              </w:rPr>
              <w:t xml:space="preserve"> </w:t>
            </w:r>
          </w:p>
        </w:tc>
        <w:tc>
          <w:tcPr>
            <w:tcW w:w="735" w:type="dxa"/>
            <w:tcBorders>
              <w:top w:val="nil"/>
              <w:left w:val="nil"/>
              <w:bottom w:val="single" w:sz="8" w:space="0" w:color="auto"/>
              <w:right w:val="single" w:sz="4" w:space="0" w:color="auto"/>
            </w:tcBorders>
            <w:shd w:val="clear" w:color="auto" w:fill="auto"/>
            <w:vAlign w:val="center"/>
            <w:hideMark/>
          </w:tcPr>
          <w:p w:rsidR="007A0A16" w:rsidRPr="00405CC3" w:rsidRDefault="007A0A16" w:rsidP="00A77970">
            <w:pPr>
              <w:jc w:val="center"/>
              <w:rPr>
                <w:b/>
                <w:bCs/>
                <w:sz w:val="20"/>
                <w:szCs w:val="20"/>
              </w:rPr>
            </w:pPr>
            <w:r w:rsidRPr="00405CC3">
              <w:rPr>
                <w:b/>
                <w:bCs/>
                <w:sz w:val="20"/>
                <w:szCs w:val="20"/>
              </w:rPr>
              <w:t>mar.</w:t>
            </w:r>
          </w:p>
        </w:tc>
        <w:tc>
          <w:tcPr>
            <w:tcW w:w="619" w:type="dxa"/>
            <w:tcBorders>
              <w:top w:val="nil"/>
              <w:left w:val="nil"/>
              <w:bottom w:val="single" w:sz="8" w:space="0" w:color="auto"/>
              <w:right w:val="single" w:sz="4" w:space="0" w:color="auto"/>
            </w:tcBorders>
            <w:shd w:val="clear" w:color="auto" w:fill="auto"/>
            <w:vAlign w:val="center"/>
            <w:hideMark/>
          </w:tcPr>
          <w:p w:rsidR="007A0A16" w:rsidRPr="00405CC3" w:rsidRDefault="007A0A16" w:rsidP="00A77970">
            <w:pPr>
              <w:jc w:val="center"/>
              <w:rPr>
                <w:b/>
                <w:bCs/>
                <w:sz w:val="20"/>
                <w:szCs w:val="20"/>
              </w:rPr>
            </w:pPr>
            <w:r w:rsidRPr="00405CC3">
              <w:rPr>
                <w:b/>
                <w:bCs/>
                <w:sz w:val="20"/>
                <w:szCs w:val="20"/>
              </w:rPr>
              <w:t>apr.</w:t>
            </w:r>
          </w:p>
        </w:tc>
        <w:tc>
          <w:tcPr>
            <w:tcW w:w="735" w:type="dxa"/>
            <w:tcBorders>
              <w:top w:val="nil"/>
              <w:left w:val="nil"/>
              <w:bottom w:val="single" w:sz="8" w:space="0" w:color="auto"/>
              <w:right w:val="single" w:sz="4" w:space="0" w:color="auto"/>
            </w:tcBorders>
            <w:shd w:val="clear" w:color="auto" w:fill="auto"/>
            <w:vAlign w:val="center"/>
            <w:hideMark/>
          </w:tcPr>
          <w:p w:rsidR="007A0A16" w:rsidRPr="00405CC3" w:rsidRDefault="007A0A16" w:rsidP="00A77970">
            <w:pPr>
              <w:jc w:val="center"/>
              <w:rPr>
                <w:b/>
                <w:bCs/>
                <w:sz w:val="20"/>
                <w:szCs w:val="20"/>
              </w:rPr>
            </w:pPr>
            <w:r w:rsidRPr="00405CC3">
              <w:rPr>
                <w:b/>
                <w:bCs/>
                <w:sz w:val="20"/>
                <w:szCs w:val="20"/>
              </w:rPr>
              <w:t>mai</w:t>
            </w:r>
          </w:p>
        </w:tc>
        <w:tc>
          <w:tcPr>
            <w:tcW w:w="735" w:type="dxa"/>
            <w:tcBorders>
              <w:top w:val="nil"/>
              <w:left w:val="nil"/>
              <w:bottom w:val="single" w:sz="8" w:space="0" w:color="auto"/>
              <w:right w:val="single" w:sz="4" w:space="0" w:color="auto"/>
            </w:tcBorders>
            <w:shd w:val="clear" w:color="auto" w:fill="auto"/>
            <w:vAlign w:val="center"/>
            <w:hideMark/>
          </w:tcPr>
          <w:p w:rsidR="007A0A16" w:rsidRPr="00405CC3" w:rsidRDefault="007A0A16" w:rsidP="00A77970">
            <w:pPr>
              <w:jc w:val="center"/>
              <w:rPr>
                <w:b/>
                <w:bCs/>
                <w:sz w:val="20"/>
                <w:szCs w:val="20"/>
              </w:rPr>
            </w:pPr>
            <w:r w:rsidRPr="00405CC3">
              <w:rPr>
                <w:b/>
                <w:bCs/>
                <w:sz w:val="20"/>
                <w:szCs w:val="20"/>
              </w:rPr>
              <w:t>iun.</w:t>
            </w:r>
          </w:p>
        </w:tc>
        <w:tc>
          <w:tcPr>
            <w:tcW w:w="735" w:type="dxa"/>
            <w:tcBorders>
              <w:top w:val="nil"/>
              <w:left w:val="nil"/>
              <w:bottom w:val="single" w:sz="8" w:space="0" w:color="auto"/>
              <w:right w:val="single" w:sz="4" w:space="0" w:color="auto"/>
            </w:tcBorders>
            <w:shd w:val="clear" w:color="auto" w:fill="auto"/>
            <w:vAlign w:val="center"/>
            <w:hideMark/>
          </w:tcPr>
          <w:p w:rsidR="007A0A16" w:rsidRPr="00405CC3" w:rsidRDefault="007A0A16" w:rsidP="00A77970">
            <w:pPr>
              <w:jc w:val="center"/>
              <w:rPr>
                <w:b/>
                <w:bCs/>
                <w:sz w:val="20"/>
                <w:szCs w:val="20"/>
              </w:rPr>
            </w:pPr>
            <w:r w:rsidRPr="00405CC3">
              <w:rPr>
                <w:b/>
                <w:bCs/>
                <w:sz w:val="20"/>
                <w:szCs w:val="20"/>
              </w:rPr>
              <w:t>iul.</w:t>
            </w:r>
          </w:p>
        </w:tc>
        <w:tc>
          <w:tcPr>
            <w:tcW w:w="735" w:type="dxa"/>
            <w:tcBorders>
              <w:top w:val="nil"/>
              <w:left w:val="nil"/>
              <w:bottom w:val="single" w:sz="8" w:space="0" w:color="auto"/>
              <w:right w:val="single" w:sz="4" w:space="0" w:color="auto"/>
            </w:tcBorders>
            <w:shd w:val="clear" w:color="auto" w:fill="auto"/>
            <w:vAlign w:val="center"/>
            <w:hideMark/>
          </w:tcPr>
          <w:p w:rsidR="007A0A16" w:rsidRPr="00405CC3" w:rsidRDefault="007A0A16" w:rsidP="00A77970">
            <w:pPr>
              <w:jc w:val="center"/>
              <w:rPr>
                <w:b/>
                <w:bCs/>
                <w:sz w:val="20"/>
                <w:szCs w:val="20"/>
              </w:rPr>
            </w:pPr>
            <w:r w:rsidRPr="00405CC3">
              <w:rPr>
                <w:b/>
                <w:bCs/>
                <w:sz w:val="20"/>
                <w:szCs w:val="20"/>
              </w:rPr>
              <w:t>aug.</w:t>
            </w:r>
          </w:p>
        </w:tc>
        <w:tc>
          <w:tcPr>
            <w:tcW w:w="735" w:type="dxa"/>
            <w:tcBorders>
              <w:top w:val="nil"/>
              <w:left w:val="nil"/>
              <w:bottom w:val="single" w:sz="8" w:space="0" w:color="auto"/>
              <w:right w:val="single" w:sz="4" w:space="0" w:color="auto"/>
            </w:tcBorders>
            <w:shd w:val="clear" w:color="auto" w:fill="auto"/>
            <w:vAlign w:val="center"/>
            <w:hideMark/>
          </w:tcPr>
          <w:p w:rsidR="007A0A16" w:rsidRPr="00405CC3" w:rsidRDefault="007A0A16" w:rsidP="00A77970">
            <w:pPr>
              <w:jc w:val="center"/>
              <w:rPr>
                <w:b/>
                <w:bCs/>
                <w:sz w:val="20"/>
                <w:szCs w:val="20"/>
              </w:rPr>
            </w:pPr>
            <w:r w:rsidRPr="00405CC3">
              <w:rPr>
                <w:b/>
                <w:bCs/>
                <w:sz w:val="20"/>
                <w:szCs w:val="20"/>
              </w:rPr>
              <w:t>sep.</w:t>
            </w:r>
          </w:p>
        </w:tc>
        <w:tc>
          <w:tcPr>
            <w:tcW w:w="735" w:type="dxa"/>
            <w:tcBorders>
              <w:top w:val="nil"/>
              <w:left w:val="nil"/>
              <w:bottom w:val="single" w:sz="8" w:space="0" w:color="auto"/>
              <w:right w:val="single" w:sz="4" w:space="0" w:color="auto"/>
            </w:tcBorders>
            <w:shd w:val="clear" w:color="auto" w:fill="auto"/>
            <w:vAlign w:val="center"/>
            <w:hideMark/>
          </w:tcPr>
          <w:p w:rsidR="007A0A16" w:rsidRPr="00405CC3" w:rsidRDefault="007A0A16" w:rsidP="00A77970">
            <w:pPr>
              <w:jc w:val="center"/>
              <w:rPr>
                <w:b/>
                <w:bCs/>
                <w:sz w:val="20"/>
                <w:szCs w:val="20"/>
              </w:rPr>
            </w:pPr>
            <w:r w:rsidRPr="00405CC3">
              <w:rPr>
                <w:b/>
                <w:bCs/>
                <w:sz w:val="20"/>
                <w:szCs w:val="20"/>
              </w:rPr>
              <w:t>oct.</w:t>
            </w:r>
          </w:p>
        </w:tc>
        <w:tc>
          <w:tcPr>
            <w:tcW w:w="735" w:type="dxa"/>
            <w:tcBorders>
              <w:top w:val="nil"/>
              <w:left w:val="nil"/>
              <w:bottom w:val="single" w:sz="8" w:space="0" w:color="auto"/>
              <w:right w:val="single" w:sz="4" w:space="0" w:color="auto"/>
            </w:tcBorders>
            <w:shd w:val="clear" w:color="auto" w:fill="auto"/>
            <w:vAlign w:val="center"/>
            <w:hideMark/>
          </w:tcPr>
          <w:p w:rsidR="007A0A16" w:rsidRPr="00405CC3" w:rsidRDefault="007A0A16" w:rsidP="00A77970">
            <w:pPr>
              <w:jc w:val="center"/>
              <w:rPr>
                <w:b/>
                <w:bCs/>
                <w:sz w:val="20"/>
                <w:szCs w:val="20"/>
              </w:rPr>
            </w:pPr>
            <w:r w:rsidRPr="00405CC3">
              <w:rPr>
                <w:b/>
                <w:bCs/>
                <w:sz w:val="20"/>
                <w:szCs w:val="20"/>
              </w:rPr>
              <w:t>nov.</w:t>
            </w:r>
          </w:p>
        </w:tc>
        <w:tc>
          <w:tcPr>
            <w:tcW w:w="619" w:type="dxa"/>
            <w:tcBorders>
              <w:top w:val="nil"/>
              <w:left w:val="nil"/>
              <w:bottom w:val="single" w:sz="8" w:space="0" w:color="auto"/>
              <w:right w:val="single" w:sz="8" w:space="0" w:color="auto"/>
            </w:tcBorders>
            <w:shd w:val="clear" w:color="auto" w:fill="auto"/>
            <w:vAlign w:val="center"/>
            <w:hideMark/>
          </w:tcPr>
          <w:p w:rsidR="007A0A16" w:rsidRPr="00405CC3" w:rsidRDefault="007A0A16" w:rsidP="00A77970">
            <w:pPr>
              <w:jc w:val="center"/>
              <w:rPr>
                <w:b/>
                <w:bCs/>
                <w:sz w:val="20"/>
                <w:szCs w:val="20"/>
              </w:rPr>
            </w:pPr>
            <w:r w:rsidRPr="00405CC3">
              <w:rPr>
                <w:b/>
                <w:bCs/>
                <w:sz w:val="20"/>
                <w:szCs w:val="20"/>
              </w:rPr>
              <w:t>dec.</w:t>
            </w:r>
          </w:p>
        </w:tc>
        <w:tc>
          <w:tcPr>
            <w:tcW w:w="666" w:type="dxa"/>
            <w:tcBorders>
              <w:top w:val="nil"/>
              <w:left w:val="nil"/>
              <w:bottom w:val="single" w:sz="8" w:space="0" w:color="auto"/>
              <w:right w:val="single" w:sz="8" w:space="0" w:color="auto"/>
            </w:tcBorders>
            <w:shd w:val="clear" w:color="auto" w:fill="auto"/>
            <w:vAlign w:val="center"/>
          </w:tcPr>
          <w:p w:rsidR="007A0A16" w:rsidRPr="00405CC3" w:rsidRDefault="007A0A16" w:rsidP="00A77970">
            <w:pPr>
              <w:jc w:val="center"/>
              <w:rPr>
                <w:b/>
                <w:bCs/>
                <w:sz w:val="20"/>
                <w:szCs w:val="20"/>
              </w:rPr>
            </w:pPr>
            <w:r w:rsidRPr="00405CC3">
              <w:rPr>
                <w:b/>
                <w:bCs/>
                <w:sz w:val="20"/>
                <w:szCs w:val="20"/>
              </w:rPr>
              <w:t>ian.</w:t>
            </w:r>
            <w:r w:rsidRPr="00405CC3">
              <w:rPr>
                <w:sz w:val="20"/>
                <w:szCs w:val="20"/>
                <w:vertAlign w:val="superscript"/>
              </w:rPr>
              <w:t xml:space="preserve"> </w:t>
            </w:r>
          </w:p>
        </w:tc>
      </w:tr>
      <w:tr w:rsidR="00405CC3" w:rsidRPr="00405CC3" w:rsidTr="003E3FEE">
        <w:trPr>
          <w:trHeight w:val="328"/>
          <w:jc w:val="center"/>
        </w:trPr>
        <w:tc>
          <w:tcPr>
            <w:tcW w:w="1431" w:type="dxa"/>
            <w:gridSpan w:val="2"/>
            <w:tcBorders>
              <w:top w:val="single" w:sz="8" w:space="0" w:color="auto"/>
              <w:left w:val="single" w:sz="4" w:space="0" w:color="auto"/>
              <w:bottom w:val="single" w:sz="4" w:space="0" w:color="auto"/>
              <w:right w:val="single" w:sz="4" w:space="0" w:color="000000"/>
            </w:tcBorders>
            <w:shd w:val="clear" w:color="auto" w:fill="auto"/>
            <w:vAlign w:val="center"/>
            <w:hideMark/>
          </w:tcPr>
          <w:p w:rsidR="00405CC3" w:rsidRPr="00405CC3" w:rsidRDefault="00405CC3" w:rsidP="00A77970">
            <w:pPr>
              <w:rPr>
                <w:b/>
                <w:bCs/>
                <w:sz w:val="20"/>
                <w:szCs w:val="20"/>
              </w:rPr>
            </w:pPr>
            <w:r w:rsidRPr="00405CC3">
              <w:rPr>
                <w:b/>
                <w:bCs/>
                <w:sz w:val="20"/>
                <w:szCs w:val="20"/>
              </w:rPr>
              <w:t>Municipiul Bucuresti - total</w:t>
            </w:r>
          </w:p>
        </w:tc>
        <w:tc>
          <w:tcPr>
            <w:tcW w:w="619" w:type="dxa"/>
            <w:tcBorders>
              <w:top w:val="nil"/>
              <w:left w:val="nil"/>
              <w:bottom w:val="single" w:sz="4" w:space="0" w:color="auto"/>
              <w:right w:val="single" w:sz="4" w:space="0" w:color="auto"/>
            </w:tcBorders>
            <w:shd w:val="clear" w:color="auto" w:fill="auto"/>
            <w:vAlign w:val="center"/>
            <w:hideMark/>
          </w:tcPr>
          <w:p w:rsidR="00405CC3" w:rsidRPr="00405CC3" w:rsidRDefault="00405CC3" w:rsidP="001C00F8">
            <w:pPr>
              <w:jc w:val="center"/>
              <w:rPr>
                <w:b/>
                <w:bCs/>
                <w:sz w:val="20"/>
                <w:szCs w:val="20"/>
                <w:lang w:eastAsia="en-US"/>
              </w:rPr>
            </w:pPr>
            <w:r w:rsidRPr="00405CC3">
              <w:rPr>
                <w:b/>
                <w:bCs/>
                <w:sz w:val="20"/>
                <w:szCs w:val="20"/>
              </w:rPr>
              <w:t>131,9</w:t>
            </w:r>
          </w:p>
        </w:tc>
        <w:tc>
          <w:tcPr>
            <w:tcW w:w="619" w:type="dxa"/>
            <w:tcBorders>
              <w:top w:val="nil"/>
              <w:left w:val="nil"/>
              <w:bottom w:val="single" w:sz="4" w:space="0" w:color="auto"/>
              <w:right w:val="single" w:sz="4" w:space="0" w:color="auto"/>
            </w:tcBorders>
            <w:shd w:val="clear" w:color="auto" w:fill="auto"/>
            <w:vAlign w:val="center"/>
            <w:hideMark/>
          </w:tcPr>
          <w:p w:rsidR="00405CC3" w:rsidRPr="00405CC3" w:rsidRDefault="00405CC3" w:rsidP="001C00F8">
            <w:pPr>
              <w:jc w:val="center"/>
              <w:rPr>
                <w:b/>
                <w:bCs/>
                <w:sz w:val="20"/>
                <w:szCs w:val="20"/>
              </w:rPr>
            </w:pPr>
            <w:r w:rsidRPr="00405CC3">
              <w:rPr>
                <w:b/>
                <w:bCs/>
                <w:sz w:val="20"/>
                <w:szCs w:val="20"/>
              </w:rPr>
              <w:t>111,5</w:t>
            </w:r>
          </w:p>
        </w:tc>
        <w:tc>
          <w:tcPr>
            <w:tcW w:w="735" w:type="dxa"/>
            <w:tcBorders>
              <w:top w:val="nil"/>
              <w:left w:val="nil"/>
              <w:bottom w:val="single" w:sz="4" w:space="0" w:color="auto"/>
              <w:right w:val="single" w:sz="4" w:space="0" w:color="auto"/>
            </w:tcBorders>
            <w:shd w:val="clear" w:color="auto" w:fill="auto"/>
            <w:vAlign w:val="center"/>
            <w:hideMark/>
          </w:tcPr>
          <w:p w:rsidR="00405CC3" w:rsidRPr="00405CC3" w:rsidRDefault="00405CC3" w:rsidP="001C00F8">
            <w:pPr>
              <w:jc w:val="center"/>
              <w:rPr>
                <w:b/>
                <w:bCs/>
                <w:sz w:val="20"/>
                <w:szCs w:val="20"/>
              </w:rPr>
            </w:pPr>
            <w:r w:rsidRPr="00405CC3">
              <w:rPr>
                <w:b/>
                <w:bCs/>
                <w:sz w:val="20"/>
                <w:szCs w:val="20"/>
              </w:rPr>
              <w:t>94,4</w:t>
            </w:r>
          </w:p>
        </w:tc>
        <w:tc>
          <w:tcPr>
            <w:tcW w:w="619" w:type="dxa"/>
            <w:tcBorders>
              <w:top w:val="nil"/>
              <w:left w:val="nil"/>
              <w:bottom w:val="single" w:sz="4" w:space="0" w:color="auto"/>
              <w:right w:val="single" w:sz="4" w:space="0" w:color="auto"/>
            </w:tcBorders>
            <w:shd w:val="clear" w:color="auto" w:fill="auto"/>
            <w:vAlign w:val="center"/>
            <w:hideMark/>
          </w:tcPr>
          <w:p w:rsidR="00405CC3" w:rsidRPr="00405CC3" w:rsidRDefault="00405CC3" w:rsidP="001C00F8">
            <w:pPr>
              <w:jc w:val="center"/>
              <w:rPr>
                <w:b/>
                <w:bCs/>
                <w:sz w:val="20"/>
                <w:szCs w:val="20"/>
              </w:rPr>
            </w:pPr>
            <w:r w:rsidRPr="00405CC3">
              <w:rPr>
                <w:b/>
                <w:bCs/>
                <w:sz w:val="20"/>
                <w:szCs w:val="20"/>
              </w:rPr>
              <w:t>114,0</w:t>
            </w:r>
          </w:p>
        </w:tc>
        <w:tc>
          <w:tcPr>
            <w:tcW w:w="735" w:type="dxa"/>
            <w:tcBorders>
              <w:top w:val="nil"/>
              <w:left w:val="nil"/>
              <w:bottom w:val="single" w:sz="4" w:space="0" w:color="auto"/>
              <w:right w:val="single" w:sz="4" w:space="0" w:color="auto"/>
            </w:tcBorders>
            <w:shd w:val="clear" w:color="auto" w:fill="auto"/>
            <w:vAlign w:val="center"/>
            <w:hideMark/>
          </w:tcPr>
          <w:p w:rsidR="00405CC3" w:rsidRPr="00405CC3" w:rsidRDefault="00405CC3" w:rsidP="001C00F8">
            <w:pPr>
              <w:jc w:val="center"/>
              <w:rPr>
                <w:b/>
                <w:bCs/>
                <w:sz w:val="20"/>
                <w:szCs w:val="20"/>
              </w:rPr>
            </w:pPr>
            <w:r w:rsidRPr="00405CC3">
              <w:rPr>
                <w:b/>
                <w:bCs/>
                <w:sz w:val="20"/>
                <w:szCs w:val="20"/>
              </w:rPr>
              <w:t>108,7</w:t>
            </w:r>
          </w:p>
        </w:tc>
        <w:tc>
          <w:tcPr>
            <w:tcW w:w="735" w:type="dxa"/>
            <w:tcBorders>
              <w:top w:val="nil"/>
              <w:left w:val="nil"/>
              <w:bottom w:val="single" w:sz="4" w:space="0" w:color="auto"/>
              <w:right w:val="single" w:sz="4" w:space="0" w:color="auto"/>
            </w:tcBorders>
            <w:shd w:val="clear" w:color="auto" w:fill="auto"/>
            <w:vAlign w:val="center"/>
            <w:hideMark/>
          </w:tcPr>
          <w:p w:rsidR="00405CC3" w:rsidRPr="00405CC3" w:rsidRDefault="00405CC3" w:rsidP="001C00F8">
            <w:pPr>
              <w:jc w:val="center"/>
              <w:rPr>
                <w:b/>
                <w:bCs/>
                <w:sz w:val="20"/>
                <w:szCs w:val="20"/>
              </w:rPr>
            </w:pPr>
            <w:r w:rsidRPr="00405CC3">
              <w:rPr>
                <w:b/>
                <w:bCs/>
                <w:sz w:val="20"/>
                <w:szCs w:val="20"/>
              </w:rPr>
              <w:t>105,7</w:t>
            </w:r>
          </w:p>
        </w:tc>
        <w:tc>
          <w:tcPr>
            <w:tcW w:w="735" w:type="dxa"/>
            <w:tcBorders>
              <w:top w:val="nil"/>
              <w:left w:val="nil"/>
              <w:bottom w:val="single" w:sz="4" w:space="0" w:color="auto"/>
              <w:right w:val="single" w:sz="4" w:space="0" w:color="auto"/>
            </w:tcBorders>
            <w:shd w:val="clear" w:color="auto" w:fill="auto"/>
            <w:vAlign w:val="center"/>
            <w:hideMark/>
          </w:tcPr>
          <w:p w:rsidR="00405CC3" w:rsidRPr="00405CC3" w:rsidRDefault="00405CC3" w:rsidP="001C00F8">
            <w:pPr>
              <w:jc w:val="center"/>
              <w:rPr>
                <w:b/>
                <w:bCs/>
                <w:sz w:val="20"/>
                <w:szCs w:val="20"/>
              </w:rPr>
            </w:pPr>
            <w:r w:rsidRPr="00405CC3">
              <w:rPr>
                <w:b/>
                <w:bCs/>
                <w:sz w:val="20"/>
                <w:szCs w:val="20"/>
              </w:rPr>
              <w:t>108,6</w:t>
            </w:r>
          </w:p>
        </w:tc>
        <w:tc>
          <w:tcPr>
            <w:tcW w:w="735" w:type="dxa"/>
            <w:tcBorders>
              <w:top w:val="nil"/>
              <w:left w:val="nil"/>
              <w:bottom w:val="single" w:sz="4" w:space="0" w:color="auto"/>
              <w:right w:val="single" w:sz="4" w:space="0" w:color="auto"/>
            </w:tcBorders>
            <w:shd w:val="clear" w:color="auto" w:fill="auto"/>
            <w:vAlign w:val="center"/>
            <w:hideMark/>
          </w:tcPr>
          <w:p w:rsidR="00405CC3" w:rsidRPr="00405CC3" w:rsidRDefault="00405CC3" w:rsidP="001C00F8">
            <w:pPr>
              <w:jc w:val="center"/>
              <w:rPr>
                <w:b/>
                <w:bCs/>
                <w:sz w:val="20"/>
                <w:szCs w:val="20"/>
              </w:rPr>
            </w:pPr>
            <w:r w:rsidRPr="00405CC3">
              <w:rPr>
                <w:b/>
                <w:bCs/>
                <w:sz w:val="20"/>
                <w:szCs w:val="20"/>
              </w:rPr>
              <w:t>106,6</w:t>
            </w:r>
          </w:p>
        </w:tc>
        <w:tc>
          <w:tcPr>
            <w:tcW w:w="735" w:type="dxa"/>
            <w:tcBorders>
              <w:top w:val="nil"/>
              <w:left w:val="nil"/>
              <w:bottom w:val="single" w:sz="4" w:space="0" w:color="auto"/>
              <w:right w:val="single" w:sz="4" w:space="0" w:color="auto"/>
            </w:tcBorders>
            <w:shd w:val="clear" w:color="auto" w:fill="auto"/>
            <w:vAlign w:val="center"/>
            <w:hideMark/>
          </w:tcPr>
          <w:p w:rsidR="00405CC3" w:rsidRPr="00405CC3" w:rsidRDefault="00405CC3" w:rsidP="001C00F8">
            <w:pPr>
              <w:jc w:val="center"/>
              <w:rPr>
                <w:b/>
                <w:bCs/>
                <w:sz w:val="20"/>
                <w:szCs w:val="20"/>
              </w:rPr>
            </w:pPr>
            <w:r w:rsidRPr="00405CC3">
              <w:rPr>
                <w:b/>
                <w:bCs/>
                <w:sz w:val="20"/>
                <w:szCs w:val="20"/>
              </w:rPr>
              <w:t>104,3</w:t>
            </w:r>
          </w:p>
        </w:tc>
        <w:tc>
          <w:tcPr>
            <w:tcW w:w="735" w:type="dxa"/>
            <w:tcBorders>
              <w:top w:val="nil"/>
              <w:left w:val="nil"/>
              <w:bottom w:val="single" w:sz="4" w:space="0" w:color="auto"/>
              <w:right w:val="single" w:sz="4" w:space="0" w:color="auto"/>
            </w:tcBorders>
            <w:shd w:val="clear" w:color="auto" w:fill="auto"/>
            <w:vAlign w:val="center"/>
            <w:hideMark/>
          </w:tcPr>
          <w:p w:rsidR="00405CC3" w:rsidRPr="00405CC3" w:rsidRDefault="00405CC3" w:rsidP="001C00F8">
            <w:pPr>
              <w:jc w:val="center"/>
              <w:rPr>
                <w:b/>
                <w:bCs/>
                <w:sz w:val="20"/>
                <w:szCs w:val="20"/>
              </w:rPr>
            </w:pPr>
            <w:r w:rsidRPr="00405CC3">
              <w:rPr>
                <w:b/>
                <w:bCs/>
                <w:sz w:val="20"/>
                <w:szCs w:val="20"/>
              </w:rPr>
              <w:t>115,0</w:t>
            </w:r>
          </w:p>
        </w:tc>
        <w:tc>
          <w:tcPr>
            <w:tcW w:w="735" w:type="dxa"/>
            <w:tcBorders>
              <w:top w:val="nil"/>
              <w:left w:val="nil"/>
              <w:bottom w:val="single" w:sz="4" w:space="0" w:color="auto"/>
              <w:right w:val="single" w:sz="4" w:space="0" w:color="auto"/>
            </w:tcBorders>
            <w:shd w:val="clear" w:color="auto" w:fill="auto"/>
            <w:vAlign w:val="center"/>
            <w:hideMark/>
          </w:tcPr>
          <w:p w:rsidR="00405CC3" w:rsidRPr="00405CC3" w:rsidRDefault="00405CC3" w:rsidP="001C00F8">
            <w:pPr>
              <w:jc w:val="center"/>
              <w:rPr>
                <w:b/>
                <w:bCs/>
                <w:sz w:val="20"/>
                <w:szCs w:val="20"/>
              </w:rPr>
            </w:pPr>
            <w:r w:rsidRPr="00405CC3">
              <w:rPr>
                <w:b/>
                <w:bCs/>
                <w:sz w:val="20"/>
                <w:szCs w:val="20"/>
              </w:rPr>
              <w:t>112,6</w:t>
            </w:r>
          </w:p>
        </w:tc>
        <w:tc>
          <w:tcPr>
            <w:tcW w:w="619" w:type="dxa"/>
            <w:tcBorders>
              <w:top w:val="nil"/>
              <w:left w:val="nil"/>
              <w:bottom w:val="single" w:sz="4" w:space="0" w:color="auto"/>
              <w:right w:val="single" w:sz="4" w:space="0" w:color="auto"/>
            </w:tcBorders>
            <w:shd w:val="clear" w:color="auto" w:fill="auto"/>
            <w:vAlign w:val="center"/>
            <w:hideMark/>
          </w:tcPr>
          <w:p w:rsidR="00405CC3" w:rsidRPr="00405CC3" w:rsidRDefault="00405CC3" w:rsidP="001C00F8">
            <w:pPr>
              <w:jc w:val="center"/>
              <w:rPr>
                <w:b/>
                <w:bCs/>
                <w:sz w:val="20"/>
                <w:szCs w:val="20"/>
              </w:rPr>
            </w:pPr>
            <w:r w:rsidRPr="00405CC3">
              <w:rPr>
                <w:b/>
                <w:bCs/>
                <w:sz w:val="20"/>
                <w:szCs w:val="20"/>
              </w:rPr>
              <w:t>109,7</w:t>
            </w:r>
          </w:p>
        </w:tc>
        <w:tc>
          <w:tcPr>
            <w:tcW w:w="666" w:type="dxa"/>
            <w:tcBorders>
              <w:top w:val="nil"/>
              <w:left w:val="nil"/>
              <w:bottom w:val="single" w:sz="4" w:space="0" w:color="auto"/>
              <w:right w:val="single" w:sz="4" w:space="0" w:color="auto"/>
            </w:tcBorders>
            <w:vAlign w:val="center"/>
          </w:tcPr>
          <w:p w:rsidR="00405CC3" w:rsidRPr="00405CC3" w:rsidRDefault="00405CC3" w:rsidP="001C00F8">
            <w:pPr>
              <w:jc w:val="center"/>
              <w:rPr>
                <w:b/>
                <w:bCs/>
                <w:sz w:val="20"/>
                <w:szCs w:val="20"/>
              </w:rPr>
            </w:pPr>
            <w:r w:rsidRPr="00405CC3">
              <w:rPr>
                <w:b/>
                <w:bCs/>
                <w:sz w:val="20"/>
                <w:szCs w:val="20"/>
              </w:rPr>
              <w:t>99,7</w:t>
            </w:r>
          </w:p>
        </w:tc>
      </w:tr>
      <w:tr w:rsidR="007A0A16" w:rsidRPr="00405CC3" w:rsidTr="003E3FEE">
        <w:trPr>
          <w:gridBefore w:val="1"/>
          <w:wBefore w:w="194" w:type="dxa"/>
          <w:trHeight w:val="229"/>
          <w:jc w:val="center"/>
        </w:trPr>
        <w:tc>
          <w:tcPr>
            <w:tcW w:w="9593" w:type="dxa"/>
            <w:gridSpan w:val="13"/>
            <w:tcBorders>
              <w:top w:val="nil"/>
              <w:left w:val="nil"/>
              <w:bottom w:val="nil"/>
              <w:right w:val="nil"/>
            </w:tcBorders>
            <w:shd w:val="clear" w:color="auto" w:fill="auto"/>
            <w:vAlign w:val="center"/>
            <w:hideMark/>
          </w:tcPr>
          <w:p w:rsidR="007A0A16" w:rsidRPr="00405CC3" w:rsidRDefault="007A0A16" w:rsidP="00A77970">
            <w:pPr>
              <w:jc w:val="both"/>
              <w:rPr>
                <w:b/>
                <w:bCs/>
                <w:sz w:val="16"/>
                <w:szCs w:val="16"/>
              </w:rPr>
            </w:pPr>
          </w:p>
        </w:tc>
        <w:tc>
          <w:tcPr>
            <w:tcW w:w="666" w:type="dxa"/>
            <w:tcBorders>
              <w:top w:val="nil"/>
              <w:left w:val="nil"/>
              <w:bottom w:val="nil"/>
              <w:right w:val="nil"/>
            </w:tcBorders>
          </w:tcPr>
          <w:p w:rsidR="007A0A16" w:rsidRPr="00405CC3" w:rsidRDefault="007A0A16" w:rsidP="00A77970">
            <w:pPr>
              <w:jc w:val="both"/>
              <w:rPr>
                <w:b/>
                <w:bCs/>
                <w:sz w:val="16"/>
                <w:szCs w:val="16"/>
              </w:rPr>
            </w:pPr>
          </w:p>
        </w:tc>
      </w:tr>
    </w:tbl>
    <w:p w:rsidR="00B03D9F" w:rsidRPr="004D0E4C" w:rsidRDefault="00060144" w:rsidP="00A77970">
      <w:pPr>
        <w:jc w:val="both"/>
        <w:rPr>
          <w:sz w:val="20"/>
          <w:szCs w:val="20"/>
        </w:rPr>
      </w:pPr>
      <w:r w:rsidRPr="00405CC3">
        <w:rPr>
          <w:sz w:val="20"/>
          <w:szCs w:val="20"/>
        </w:rPr>
        <w:tab/>
      </w:r>
      <w:r w:rsidRPr="00405CC3">
        <w:rPr>
          <w:b/>
          <w:sz w:val="20"/>
          <w:szCs w:val="20"/>
        </w:rPr>
        <w:t>Notă:</w:t>
      </w:r>
      <w:r w:rsidRPr="00405CC3">
        <w:rPr>
          <w:sz w:val="20"/>
          <w:szCs w:val="20"/>
        </w:rPr>
        <w:t xml:space="preserve"> Sursa datelor o constituie capitolul CA din Cercetarea statistică lunară privind indicatorii pe termen scurt în industrie (IND TS). Indicele valoric al  cifrei de afaceri din industrie este calculat pe baza unei cercetări statistice selective care cuprinde toate întreprinderile cu peste 50 de salariaţi şi un eşantion de întreprinderi cu 4-49 salariaţi. Conform recomandărilor europene indicii valorici ai cifrei de afaceri din industrie sunt calculaţi ca indici nedeflataţi. Raportarea cifrei de afaceri pe judeţe se face după sediul central al întreprinderii furnizoare de date.</w:t>
      </w:r>
    </w:p>
    <w:p w:rsidR="00B03D9F" w:rsidRDefault="00B03D9F" w:rsidP="00A77970">
      <w:pPr>
        <w:jc w:val="both"/>
        <w:rPr>
          <w:u w:val="single"/>
        </w:rPr>
      </w:pPr>
    </w:p>
    <w:p w:rsidR="00C524B1" w:rsidRDefault="00C524B1" w:rsidP="00A77970">
      <w:pPr>
        <w:pStyle w:val="ListParagraph"/>
        <w:numPr>
          <w:ilvl w:val="0"/>
          <w:numId w:val="2"/>
        </w:numPr>
        <w:jc w:val="both"/>
      </w:pPr>
      <w:r w:rsidRPr="00756F46">
        <w:t>Agricultură</w:t>
      </w:r>
    </w:p>
    <w:p w:rsidR="009C1BEA" w:rsidRDefault="009C1BEA" w:rsidP="00A77970">
      <w:pPr>
        <w:ind w:left="360"/>
        <w:jc w:val="both"/>
        <w:rPr>
          <w:rFonts w:eastAsia="Calibri"/>
          <w:lang w:eastAsia="en-US"/>
        </w:rPr>
      </w:pPr>
    </w:p>
    <w:p w:rsidR="009C1BEA" w:rsidRDefault="00750FF7" w:rsidP="00A77970">
      <w:pPr>
        <w:jc w:val="both"/>
        <w:rPr>
          <w:iCs/>
        </w:rPr>
      </w:pPr>
      <w:r>
        <w:rPr>
          <w:rFonts w:eastAsia="Calibri"/>
          <w:lang w:eastAsia="en-US"/>
        </w:rPr>
        <w:tab/>
      </w:r>
      <w:r w:rsidR="0029292A">
        <w:t xml:space="preserve">Suprafaţa agricolă a Municipiului Bucureşti este de </w:t>
      </w:r>
      <w:r w:rsidR="0029292A" w:rsidRPr="00970C16">
        <w:rPr>
          <w:b/>
        </w:rPr>
        <w:t>1</w:t>
      </w:r>
      <w:r w:rsidR="0029292A">
        <w:rPr>
          <w:b/>
        </w:rPr>
        <w:t>.</w:t>
      </w:r>
      <w:r w:rsidR="0029292A" w:rsidRPr="00970C16">
        <w:rPr>
          <w:b/>
        </w:rPr>
        <w:t>670 ha,</w:t>
      </w:r>
      <w:r w:rsidR="0029292A">
        <w:t xml:space="preserve"> din care: suprafaţa arabilă </w:t>
      </w:r>
      <w:r w:rsidR="0029292A" w:rsidRPr="00970C16">
        <w:rPr>
          <w:b/>
        </w:rPr>
        <w:t>1</w:t>
      </w:r>
      <w:r w:rsidR="0029292A">
        <w:rPr>
          <w:b/>
        </w:rPr>
        <w:t>.</w:t>
      </w:r>
      <w:r w:rsidR="0029292A" w:rsidRPr="00970C16">
        <w:rPr>
          <w:b/>
        </w:rPr>
        <w:t>609 ha,</w:t>
      </w:r>
      <w:r w:rsidR="0029292A">
        <w:t xml:space="preserve"> vii (hibride) </w:t>
      </w:r>
      <w:r w:rsidR="0029292A" w:rsidRPr="00970C16">
        <w:rPr>
          <w:b/>
        </w:rPr>
        <w:t>6 ha</w:t>
      </w:r>
      <w:r w:rsidR="0029292A">
        <w:t xml:space="preserve">, patrimoniu pomicol </w:t>
      </w:r>
      <w:r w:rsidR="0029292A" w:rsidRPr="00970C16">
        <w:rPr>
          <w:b/>
        </w:rPr>
        <w:t>47 ha</w:t>
      </w:r>
      <w:r w:rsidR="0029292A">
        <w:t xml:space="preserve"> (livezi pe rod </w:t>
      </w:r>
      <w:r w:rsidR="0029292A" w:rsidRPr="00970C16">
        <w:rPr>
          <w:b/>
        </w:rPr>
        <w:t>25 ha</w:t>
      </w:r>
      <w:r w:rsidR="0029292A">
        <w:t xml:space="preserve">), păşuni naturale </w:t>
      </w:r>
      <w:r w:rsidR="0029292A" w:rsidRPr="00970C16">
        <w:rPr>
          <w:b/>
        </w:rPr>
        <w:t>8 ha</w:t>
      </w:r>
      <w:r w:rsidR="0029292A">
        <w:t>, suprafaţă</w:t>
      </w:r>
      <w:r w:rsidR="0029292A">
        <w:rPr>
          <w:iCs/>
        </w:rPr>
        <w:t xml:space="preserve"> încadrată la intravilan</w:t>
      </w:r>
      <w:r w:rsidR="0029292A">
        <w:t xml:space="preserve">, conform </w:t>
      </w:r>
      <w:r w:rsidR="0029292A">
        <w:rPr>
          <w:iCs/>
        </w:rPr>
        <w:t>Hotărârii Consiliului General al Municipiului Bucureşti nr. 269/21.12.2000.</w:t>
      </w:r>
    </w:p>
    <w:p w:rsidR="0029292A" w:rsidRPr="003D21DE" w:rsidRDefault="0029292A" w:rsidP="00A77970">
      <w:pPr>
        <w:jc w:val="both"/>
        <w:rPr>
          <w:rFonts w:eastAsia="Calibri"/>
          <w:iCs/>
          <w:highlight w:val="yellow"/>
          <w:lang w:eastAsia="en-US"/>
        </w:rPr>
      </w:pPr>
    </w:p>
    <w:p w:rsidR="009C1BEA" w:rsidRPr="0029292A" w:rsidRDefault="009C1BEA" w:rsidP="00A77970">
      <w:pPr>
        <w:tabs>
          <w:tab w:val="left" w:pos="0"/>
          <w:tab w:val="left" w:pos="142"/>
          <w:tab w:val="left" w:pos="284"/>
        </w:tabs>
        <w:ind w:left="360"/>
        <w:jc w:val="both"/>
        <w:rPr>
          <w:rFonts w:eastAsia="Calibri"/>
          <w:b/>
          <w:iCs/>
          <w:lang w:eastAsia="en-US"/>
        </w:rPr>
      </w:pPr>
      <w:r w:rsidRPr="0029292A">
        <w:rPr>
          <w:rFonts w:eastAsia="Calibri"/>
          <w:b/>
          <w:iCs/>
          <w:lang w:eastAsia="en-US"/>
        </w:rPr>
        <w:t>Situaţia suprafeţelor însămânţate, recoltate şi a pr</w:t>
      </w:r>
      <w:r w:rsidR="0029292A" w:rsidRPr="0029292A">
        <w:rPr>
          <w:rFonts w:eastAsia="Calibri"/>
          <w:b/>
          <w:iCs/>
          <w:lang w:eastAsia="en-US"/>
        </w:rPr>
        <w:t>oducţiilor obţinute în anul 2018</w:t>
      </w:r>
    </w:p>
    <w:p w:rsidR="009C1BEA" w:rsidRPr="0029292A" w:rsidRDefault="009C1BEA" w:rsidP="00A77970">
      <w:pPr>
        <w:ind w:left="360"/>
        <w:jc w:val="both"/>
        <w:rPr>
          <w:rFonts w:eastAsia="Calibri"/>
          <w:iCs/>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8"/>
        <w:gridCol w:w="2457"/>
        <w:gridCol w:w="2029"/>
        <w:gridCol w:w="1657"/>
        <w:gridCol w:w="1842"/>
        <w:gridCol w:w="1349"/>
      </w:tblGrid>
      <w:tr w:rsidR="009C1BEA" w:rsidRPr="0029292A" w:rsidTr="0029292A">
        <w:trPr>
          <w:jc w:val="center"/>
        </w:trPr>
        <w:tc>
          <w:tcPr>
            <w:tcW w:w="628" w:type="dxa"/>
            <w:shd w:val="clear" w:color="auto" w:fill="auto"/>
            <w:vAlign w:val="center"/>
          </w:tcPr>
          <w:p w:rsidR="009C1BEA" w:rsidRPr="0029292A" w:rsidRDefault="009C1BEA" w:rsidP="00A77970">
            <w:pPr>
              <w:jc w:val="center"/>
              <w:rPr>
                <w:rFonts w:eastAsia="Calibri"/>
                <w:lang w:eastAsia="en-US"/>
              </w:rPr>
            </w:pPr>
            <w:r w:rsidRPr="0029292A">
              <w:rPr>
                <w:rFonts w:eastAsia="Calibri"/>
                <w:lang w:eastAsia="en-US"/>
              </w:rPr>
              <w:t>Nr.</w:t>
            </w:r>
          </w:p>
          <w:p w:rsidR="009C1BEA" w:rsidRPr="0029292A" w:rsidRDefault="0029292A" w:rsidP="00A77970">
            <w:pPr>
              <w:jc w:val="center"/>
              <w:rPr>
                <w:rFonts w:eastAsia="Calibri"/>
                <w:lang w:eastAsia="en-US"/>
              </w:rPr>
            </w:pPr>
            <w:r>
              <w:rPr>
                <w:rFonts w:eastAsia="Calibri"/>
                <w:lang w:eastAsia="en-US"/>
              </w:rPr>
              <w:t>c</w:t>
            </w:r>
            <w:r w:rsidR="009C1BEA" w:rsidRPr="0029292A">
              <w:rPr>
                <w:rFonts w:eastAsia="Calibri"/>
                <w:lang w:eastAsia="en-US"/>
              </w:rPr>
              <w:t>rt.</w:t>
            </w:r>
          </w:p>
        </w:tc>
        <w:tc>
          <w:tcPr>
            <w:tcW w:w="2457" w:type="dxa"/>
            <w:shd w:val="clear" w:color="auto" w:fill="auto"/>
            <w:vAlign w:val="center"/>
          </w:tcPr>
          <w:p w:rsidR="009C1BEA" w:rsidRPr="0029292A" w:rsidRDefault="009C1BEA" w:rsidP="00A77970">
            <w:pPr>
              <w:jc w:val="center"/>
              <w:rPr>
                <w:rFonts w:eastAsia="Calibri"/>
                <w:lang w:eastAsia="en-US"/>
              </w:rPr>
            </w:pPr>
            <w:r w:rsidRPr="0029292A">
              <w:rPr>
                <w:rFonts w:eastAsia="Calibri"/>
                <w:lang w:eastAsia="en-US"/>
              </w:rPr>
              <w:t>Cultura</w:t>
            </w:r>
          </w:p>
        </w:tc>
        <w:tc>
          <w:tcPr>
            <w:tcW w:w="2029" w:type="dxa"/>
            <w:shd w:val="clear" w:color="auto" w:fill="auto"/>
            <w:vAlign w:val="center"/>
          </w:tcPr>
          <w:p w:rsidR="009C1BEA" w:rsidRPr="0029292A" w:rsidRDefault="009C1BEA" w:rsidP="00A77970">
            <w:pPr>
              <w:jc w:val="center"/>
              <w:rPr>
                <w:rFonts w:eastAsia="Calibri"/>
                <w:lang w:eastAsia="en-US"/>
              </w:rPr>
            </w:pPr>
            <w:r w:rsidRPr="0029292A">
              <w:rPr>
                <w:rFonts w:eastAsia="Calibri"/>
                <w:lang w:eastAsia="en-US"/>
              </w:rPr>
              <w:t>Suprafaţa</w:t>
            </w:r>
          </w:p>
          <w:p w:rsidR="009C1BEA" w:rsidRPr="0029292A" w:rsidRDefault="009C1BEA" w:rsidP="00A77970">
            <w:pPr>
              <w:jc w:val="center"/>
              <w:rPr>
                <w:rFonts w:eastAsia="Calibri"/>
                <w:lang w:eastAsia="en-US"/>
              </w:rPr>
            </w:pPr>
            <w:r w:rsidRPr="0029292A">
              <w:rPr>
                <w:rFonts w:eastAsia="Calibri"/>
                <w:lang w:eastAsia="en-US"/>
              </w:rPr>
              <w:t>Însămânţată (ha)</w:t>
            </w:r>
          </w:p>
        </w:tc>
        <w:tc>
          <w:tcPr>
            <w:tcW w:w="1657" w:type="dxa"/>
            <w:shd w:val="clear" w:color="auto" w:fill="auto"/>
            <w:vAlign w:val="center"/>
          </w:tcPr>
          <w:p w:rsidR="009C1BEA" w:rsidRPr="0029292A" w:rsidRDefault="009C1BEA" w:rsidP="00A77970">
            <w:pPr>
              <w:jc w:val="center"/>
              <w:rPr>
                <w:rFonts w:eastAsia="Calibri"/>
                <w:lang w:eastAsia="en-US"/>
              </w:rPr>
            </w:pPr>
            <w:r w:rsidRPr="0029292A">
              <w:rPr>
                <w:rFonts w:eastAsia="Calibri"/>
                <w:lang w:eastAsia="en-US"/>
              </w:rPr>
              <w:t>Suprafaţa</w:t>
            </w:r>
          </w:p>
          <w:p w:rsidR="009C1BEA" w:rsidRPr="0029292A" w:rsidRDefault="009C1BEA" w:rsidP="00A77970">
            <w:pPr>
              <w:jc w:val="center"/>
              <w:rPr>
                <w:rFonts w:eastAsia="Calibri"/>
                <w:lang w:eastAsia="en-US"/>
              </w:rPr>
            </w:pPr>
            <w:r w:rsidRPr="0029292A">
              <w:rPr>
                <w:rFonts w:eastAsia="Calibri"/>
                <w:lang w:eastAsia="en-US"/>
              </w:rPr>
              <w:t>Recoltată (ha)</w:t>
            </w:r>
          </w:p>
        </w:tc>
        <w:tc>
          <w:tcPr>
            <w:tcW w:w="1842" w:type="dxa"/>
            <w:shd w:val="clear" w:color="auto" w:fill="auto"/>
            <w:vAlign w:val="center"/>
          </w:tcPr>
          <w:p w:rsidR="009C1BEA" w:rsidRPr="0029292A" w:rsidRDefault="009C1BEA" w:rsidP="00A77970">
            <w:pPr>
              <w:jc w:val="center"/>
              <w:rPr>
                <w:rFonts w:eastAsia="Calibri"/>
                <w:lang w:eastAsia="en-US"/>
              </w:rPr>
            </w:pPr>
            <w:r w:rsidRPr="0029292A">
              <w:rPr>
                <w:rFonts w:eastAsia="Calibri"/>
                <w:lang w:eastAsia="en-US"/>
              </w:rPr>
              <w:t>Producţia</w:t>
            </w:r>
          </w:p>
          <w:p w:rsidR="009C1BEA" w:rsidRPr="0029292A" w:rsidRDefault="009C1BEA" w:rsidP="00A77970">
            <w:pPr>
              <w:jc w:val="center"/>
              <w:rPr>
                <w:rFonts w:eastAsia="Calibri"/>
                <w:lang w:eastAsia="en-US"/>
              </w:rPr>
            </w:pPr>
            <w:r w:rsidRPr="0029292A">
              <w:rPr>
                <w:rFonts w:eastAsia="Calibri"/>
                <w:lang w:eastAsia="en-US"/>
              </w:rPr>
              <w:t>medie  (kg/ha)</w:t>
            </w:r>
          </w:p>
        </w:tc>
        <w:tc>
          <w:tcPr>
            <w:tcW w:w="1349" w:type="dxa"/>
            <w:shd w:val="clear" w:color="auto" w:fill="auto"/>
            <w:vAlign w:val="center"/>
          </w:tcPr>
          <w:p w:rsidR="009C1BEA" w:rsidRPr="0029292A" w:rsidRDefault="009C1BEA" w:rsidP="00A77970">
            <w:pPr>
              <w:jc w:val="center"/>
              <w:rPr>
                <w:rFonts w:eastAsia="Calibri"/>
                <w:lang w:eastAsia="en-US"/>
              </w:rPr>
            </w:pPr>
            <w:r w:rsidRPr="0029292A">
              <w:rPr>
                <w:rFonts w:eastAsia="Calibri"/>
                <w:lang w:eastAsia="en-US"/>
              </w:rPr>
              <w:t>Producţia</w:t>
            </w:r>
          </w:p>
          <w:p w:rsidR="009C1BEA" w:rsidRPr="0029292A" w:rsidRDefault="009C1BEA" w:rsidP="00A77970">
            <w:pPr>
              <w:jc w:val="center"/>
              <w:rPr>
                <w:rFonts w:eastAsia="Calibri"/>
                <w:lang w:eastAsia="en-US"/>
              </w:rPr>
            </w:pPr>
            <w:r w:rsidRPr="0029292A">
              <w:rPr>
                <w:rFonts w:eastAsia="Calibri"/>
                <w:lang w:eastAsia="en-US"/>
              </w:rPr>
              <w:t>Totală (to)</w:t>
            </w:r>
          </w:p>
        </w:tc>
      </w:tr>
      <w:tr w:rsidR="0029292A" w:rsidRPr="0029292A" w:rsidTr="0029292A">
        <w:trPr>
          <w:jc w:val="center"/>
        </w:trPr>
        <w:tc>
          <w:tcPr>
            <w:tcW w:w="628" w:type="dxa"/>
            <w:shd w:val="clear" w:color="auto" w:fill="auto"/>
          </w:tcPr>
          <w:p w:rsidR="0029292A" w:rsidRPr="0029292A" w:rsidRDefault="0029292A" w:rsidP="00A77970">
            <w:pPr>
              <w:jc w:val="both"/>
              <w:rPr>
                <w:rFonts w:eastAsia="Calibri"/>
                <w:lang w:eastAsia="en-US"/>
              </w:rPr>
            </w:pPr>
            <w:r w:rsidRPr="0029292A">
              <w:rPr>
                <w:rFonts w:eastAsia="Calibri"/>
                <w:lang w:eastAsia="en-US"/>
              </w:rPr>
              <w:t>1</w:t>
            </w:r>
          </w:p>
        </w:tc>
        <w:tc>
          <w:tcPr>
            <w:tcW w:w="2457" w:type="dxa"/>
            <w:shd w:val="clear" w:color="auto" w:fill="auto"/>
          </w:tcPr>
          <w:p w:rsidR="0029292A" w:rsidRPr="0029292A" w:rsidRDefault="0029292A" w:rsidP="00A77970">
            <w:r w:rsidRPr="0029292A">
              <w:t xml:space="preserve">Rapiţă </w:t>
            </w:r>
          </w:p>
        </w:tc>
        <w:tc>
          <w:tcPr>
            <w:tcW w:w="2029" w:type="dxa"/>
            <w:shd w:val="clear" w:color="auto" w:fill="auto"/>
            <w:vAlign w:val="center"/>
          </w:tcPr>
          <w:p w:rsidR="0029292A" w:rsidRPr="0029292A" w:rsidRDefault="0029292A" w:rsidP="00A77970">
            <w:pPr>
              <w:jc w:val="center"/>
            </w:pPr>
            <w:r w:rsidRPr="0029292A">
              <w:t>227</w:t>
            </w:r>
          </w:p>
        </w:tc>
        <w:tc>
          <w:tcPr>
            <w:tcW w:w="1657" w:type="dxa"/>
            <w:shd w:val="clear" w:color="auto" w:fill="auto"/>
            <w:vAlign w:val="center"/>
          </w:tcPr>
          <w:p w:rsidR="0029292A" w:rsidRPr="0029292A" w:rsidRDefault="0029292A" w:rsidP="00A77970">
            <w:pPr>
              <w:jc w:val="center"/>
            </w:pPr>
            <w:r w:rsidRPr="0029292A">
              <w:t>227</w:t>
            </w:r>
          </w:p>
        </w:tc>
        <w:tc>
          <w:tcPr>
            <w:tcW w:w="1842" w:type="dxa"/>
            <w:shd w:val="clear" w:color="auto" w:fill="auto"/>
            <w:vAlign w:val="center"/>
          </w:tcPr>
          <w:p w:rsidR="0029292A" w:rsidRPr="0029292A" w:rsidRDefault="0029292A" w:rsidP="00A77970">
            <w:pPr>
              <w:jc w:val="center"/>
            </w:pPr>
            <w:r w:rsidRPr="0029292A">
              <w:t>3</w:t>
            </w:r>
            <w:r>
              <w:t>.</w:t>
            </w:r>
            <w:r w:rsidRPr="0029292A">
              <w:t>877</w:t>
            </w:r>
          </w:p>
        </w:tc>
        <w:tc>
          <w:tcPr>
            <w:tcW w:w="1349" w:type="dxa"/>
            <w:shd w:val="clear" w:color="auto" w:fill="auto"/>
            <w:vAlign w:val="center"/>
          </w:tcPr>
          <w:p w:rsidR="0029292A" w:rsidRPr="0029292A" w:rsidRDefault="0029292A" w:rsidP="00A77970">
            <w:pPr>
              <w:jc w:val="center"/>
            </w:pPr>
            <w:r w:rsidRPr="0029292A">
              <w:t>880</w:t>
            </w:r>
          </w:p>
        </w:tc>
      </w:tr>
      <w:tr w:rsidR="0029292A" w:rsidRPr="0029292A" w:rsidTr="0029292A">
        <w:trPr>
          <w:jc w:val="center"/>
        </w:trPr>
        <w:tc>
          <w:tcPr>
            <w:tcW w:w="628" w:type="dxa"/>
            <w:shd w:val="clear" w:color="auto" w:fill="auto"/>
          </w:tcPr>
          <w:p w:rsidR="0029292A" w:rsidRPr="0029292A" w:rsidRDefault="0029292A" w:rsidP="00A77970">
            <w:pPr>
              <w:jc w:val="both"/>
              <w:rPr>
                <w:rFonts w:eastAsia="Calibri"/>
                <w:lang w:eastAsia="en-US"/>
              </w:rPr>
            </w:pPr>
            <w:r w:rsidRPr="0029292A">
              <w:rPr>
                <w:rFonts w:eastAsia="Calibri"/>
                <w:lang w:eastAsia="en-US"/>
              </w:rPr>
              <w:t>2</w:t>
            </w:r>
          </w:p>
        </w:tc>
        <w:tc>
          <w:tcPr>
            <w:tcW w:w="2457" w:type="dxa"/>
            <w:shd w:val="clear" w:color="auto" w:fill="auto"/>
          </w:tcPr>
          <w:p w:rsidR="0029292A" w:rsidRPr="0029292A" w:rsidRDefault="0029292A" w:rsidP="00A77970">
            <w:r w:rsidRPr="0029292A">
              <w:t>Orzoaică de primăvară</w:t>
            </w:r>
          </w:p>
        </w:tc>
        <w:tc>
          <w:tcPr>
            <w:tcW w:w="2029" w:type="dxa"/>
            <w:shd w:val="clear" w:color="auto" w:fill="auto"/>
            <w:vAlign w:val="center"/>
          </w:tcPr>
          <w:p w:rsidR="0029292A" w:rsidRPr="0029292A" w:rsidRDefault="0029292A" w:rsidP="00A77970">
            <w:pPr>
              <w:jc w:val="center"/>
            </w:pPr>
            <w:r w:rsidRPr="0029292A">
              <w:t>12</w:t>
            </w:r>
          </w:p>
        </w:tc>
        <w:tc>
          <w:tcPr>
            <w:tcW w:w="1657" w:type="dxa"/>
            <w:shd w:val="clear" w:color="auto" w:fill="auto"/>
            <w:vAlign w:val="center"/>
          </w:tcPr>
          <w:p w:rsidR="0029292A" w:rsidRPr="0029292A" w:rsidRDefault="0029292A" w:rsidP="00A77970">
            <w:pPr>
              <w:jc w:val="center"/>
            </w:pPr>
            <w:r w:rsidRPr="0029292A">
              <w:t>12</w:t>
            </w:r>
          </w:p>
        </w:tc>
        <w:tc>
          <w:tcPr>
            <w:tcW w:w="1842" w:type="dxa"/>
            <w:shd w:val="clear" w:color="auto" w:fill="auto"/>
            <w:vAlign w:val="center"/>
          </w:tcPr>
          <w:p w:rsidR="0029292A" w:rsidRPr="0029292A" w:rsidRDefault="0029292A" w:rsidP="00A77970">
            <w:pPr>
              <w:jc w:val="center"/>
            </w:pPr>
            <w:r w:rsidRPr="0029292A">
              <w:t>3</w:t>
            </w:r>
            <w:r>
              <w:t>.</w:t>
            </w:r>
            <w:r w:rsidRPr="0029292A">
              <w:t>000</w:t>
            </w:r>
          </w:p>
        </w:tc>
        <w:tc>
          <w:tcPr>
            <w:tcW w:w="1349" w:type="dxa"/>
            <w:shd w:val="clear" w:color="auto" w:fill="auto"/>
            <w:vAlign w:val="center"/>
          </w:tcPr>
          <w:p w:rsidR="0029292A" w:rsidRPr="0029292A" w:rsidRDefault="0029292A" w:rsidP="00A77970">
            <w:pPr>
              <w:jc w:val="center"/>
            </w:pPr>
            <w:r w:rsidRPr="0029292A">
              <w:t>36</w:t>
            </w:r>
          </w:p>
        </w:tc>
      </w:tr>
      <w:tr w:rsidR="0029292A" w:rsidRPr="0029292A" w:rsidTr="0029292A">
        <w:trPr>
          <w:jc w:val="center"/>
        </w:trPr>
        <w:tc>
          <w:tcPr>
            <w:tcW w:w="628" w:type="dxa"/>
            <w:shd w:val="clear" w:color="auto" w:fill="auto"/>
          </w:tcPr>
          <w:p w:rsidR="0029292A" w:rsidRPr="0029292A" w:rsidRDefault="0029292A" w:rsidP="00A77970">
            <w:pPr>
              <w:jc w:val="both"/>
              <w:rPr>
                <w:rFonts w:eastAsia="Calibri"/>
                <w:lang w:eastAsia="en-US"/>
              </w:rPr>
            </w:pPr>
            <w:r w:rsidRPr="0029292A">
              <w:rPr>
                <w:rFonts w:eastAsia="Calibri"/>
                <w:lang w:eastAsia="en-US"/>
              </w:rPr>
              <w:t>3</w:t>
            </w:r>
          </w:p>
        </w:tc>
        <w:tc>
          <w:tcPr>
            <w:tcW w:w="2457" w:type="dxa"/>
            <w:shd w:val="clear" w:color="auto" w:fill="auto"/>
          </w:tcPr>
          <w:p w:rsidR="0029292A" w:rsidRPr="0029292A" w:rsidRDefault="0029292A" w:rsidP="00A77970">
            <w:r w:rsidRPr="0029292A">
              <w:t xml:space="preserve">Ovăz </w:t>
            </w:r>
          </w:p>
        </w:tc>
        <w:tc>
          <w:tcPr>
            <w:tcW w:w="2029" w:type="dxa"/>
            <w:shd w:val="clear" w:color="auto" w:fill="auto"/>
            <w:vAlign w:val="center"/>
          </w:tcPr>
          <w:p w:rsidR="0029292A" w:rsidRPr="0029292A" w:rsidRDefault="0029292A" w:rsidP="00A77970">
            <w:pPr>
              <w:jc w:val="center"/>
            </w:pPr>
            <w:r w:rsidRPr="0029292A">
              <w:t>3</w:t>
            </w:r>
          </w:p>
        </w:tc>
        <w:tc>
          <w:tcPr>
            <w:tcW w:w="1657" w:type="dxa"/>
            <w:shd w:val="clear" w:color="auto" w:fill="auto"/>
            <w:vAlign w:val="center"/>
          </w:tcPr>
          <w:p w:rsidR="0029292A" w:rsidRPr="0029292A" w:rsidRDefault="0029292A" w:rsidP="00A77970">
            <w:pPr>
              <w:jc w:val="center"/>
            </w:pPr>
            <w:r w:rsidRPr="0029292A">
              <w:t>3</w:t>
            </w:r>
          </w:p>
        </w:tc>
        <w:tc>
          <w:tcPr>
            <w:tcW w:w="1842" w:type="dxa"/>
            <w:shd w:val="clear" w:color="auto" w:fill="auto"/>
            <w:vAlign w:val="center"/>
          </w:tcPr>
          <w:p w:rsidR="0029292A" w:rsidRPr="0029292A" w:rsidRDefault="0029292A" w:rsidP="00A77970">
            <w:pPr>
              <w:jc w:val="center"/>
            </w:pPr>
            <w:r w:rsidRPr="0029292A">
              <w:t>2</w:t>
            </w:r>
            <w:r>
              <w:t>.</w:t>
            </w:r>
            <w:r w:rsidRPr="0029292A">
              <w:t>000</w:t>
            </w:r>
          </w:p>
        </w:tc>
        <w:tc>
          <w:tcPr>
            <w:tcW w:w="1349" w:type="dxa"/>
            <w:shd w:val="clear" w:color="auto" w:fill="auto"/>
            <w:vAlign w:val="center"/>
          </w:tcPr>
          <w:p w:rsidR="0029292A" w:rsidRPr="0029292A" w:rsidRDefault="0029292A" w:rsidP="00A77970">
            <w:pPr>
              <w:jc w:val="center"/>
            </w:pPr>
            <w:r w:rsidRPr="0029292A">
              <w:t>6</w:t>
            </w:r>
          </w:p>
        </w:tc>
      </w:tr>
      <w:tr w:rsidR="0029292A" w:rsidRPr="0029292A" w:rsidTr="0029292A">
        <w:trPr>
          <w:jc w:val="center"/>
        </w:trPr>
        <w:tc>
          <w:tcPr>
            <w:tcW w:w="628" w:type="dxa"/>
            <w:shd w:val="clear" w:color="auto" w:fill="auto"/>
          </w:tcPr>
          <w:p w:rsidR="0029292A" w:rsidRPr="0029292A" w:rsidRDefault="0029292A" w:rsidP="00A77970">
            <w:pPr>
              <w:jc w:val="both"/>
              <w:rPr>
                <w:rFonts w:eastAsia="Calibri"/>
                <w:lang w:eastAsia="en-US"/>
              </w:rPr>
            </w:pPr>
            <w:r w:rsidRPr="0029292A">
              <w:rPr>
                <w:rFonts w:eastAsia="Calibri"/>
                <w:lang w:eastAsia="en-US"/>
              </w:rPr>
              <w:t>4</w:t>
            </w:r>
          </w:p>
        </w:tc>
        <w:tc>
          <w:tcPr>
            <w:tcW w:w="2457" w:type="dxa"/>
            <w:shd w:val="clear" w:color="auto" w:fill="auto"/>
          </w:tcPr>
          <w:p w:rsidR="0029292A" w:rsidRPr="0029292A" w:rsidRDefault="0029292A" w:rsidP="00A77970">
            <w:r w:rsidRPr="0029292A">
              <w:t>Mazăre boabe furajeră</w:t>
            </w:r>
          </w:p>
        </w:tc>
        <w:tc>
          <w:tcPr>
            <w:tcW w:w="2029" w:type="dxa"/>
            <w:shd w:val="clear" w:color="auto" w:fill="auto"/>
            <w:vAlign w:val="center"/>
          </w:tcPr>
          <w:p w:rsidR="0029292A" w:rsidRPr="0029292A" w:rsidRDefault="0029292A" w:rsidP="00A77970">
            <w:pPr>
              <w:jc w:val="center"/>
            </w:pPr>
            <w:r w:rsidRPr="0029292A">
              <w:t>14</w:t>
            </w:r>
          </w:p>
        </w:tc>
        <w:tc>
          <w:tcPr>
            <w:tcW w:w="1657" w:type="dxa"/>
            <w:shd w:val="clear" w:color="auto" w:fill="auto"/>
            <w:vAlign w:val="center"/>
          </w:tcPr>
          <w:p w:rsidR="0029292A" w:rsidRPr="0029292A" w:rsidRDefault="0029292A" w:rsidP="00A77970">
            <w:pPr>
              <w:jc w:val="center"/>
            </w:pPr>
            <w:r w:rsidRPr="0029292A">
              <w:t>14</w:t>
            </w:r>
          </w:p>
        </w:tc>
        <w:tc>
          <w:tcPr>
            <w:tcW w:w="1842" w:type="dxa"/>
            <w:shd w:val="clear" w:color="auto" w:fill="auto"/>
            <w:vAlign w:val="center"/>
          </w:tcPr>
          <w:p w:rsidR="0029292A" w:rsidRPr="0029292A" w:rsidRDefault="0029292A" w:rsidP="00A77970">
            <w:pPr>
              <w:jc w:val="center"/>
            </w:pPr>
            <w:r w:rsidRPr="0029292A">
              <w:t>500</w:t>
            </w:r>
          </w:p>
        </w:tc>
        <w:tc>
          <w:tcPr>
            <w:tcW w:w="1349" w:type="dxa"/>
            <w:shd w:val="clear" w:color="auto" w:fill="auto"/>
            <w:vAlign w:val="center"/>
          </w:tcPr>
          <w:p w:rsidR="0029292A" w:rsidRPr="0029292A" w:rsidRDefault="0029292A" w:rsidP="00A77970">
            <w:pPr>
              <w:jc w:val="center"/>
            </w:pPr>
            <w:r w:rsidRPr="0029292A">
              <w:t>7</w:t>
            </w:r>
          </w:p>
        </w:tc>
      </w:tr>
      <w:tr w:rsidR="0029292A" w:rsidRPr="0029292A" w:rsidTr="0029292A">
        <w:trPr>
          <w:jc w:val="center"/>
        </w:trPr>
        <w:tc>
          <w:tcPr>
            <w:tcW w:w="628" w:type="dxa"/>
            <w:shd w:val="clear" w:color="auto" w:fill="auto"/>
          </w:tcPr>
          <w:p w:rsidR="0029292A" w:rsidRPr="0029292A" w:rsidRDefault="0029292A" w:rsidP="00A77970">
            <w:pPr>
              <w:jc w:val="both"/>
              <w:rPr>
                <w:rFonts w:eastAsia="Calibri"/>
                <w:lang w:eastAsia="en-US"/>
              </w:rPr>
            </w:pPr>
            <w:r w:rsidRPr="0029292A">
              <w:rPr>
                <w:rFonts w:eastAsia="Calibri"/>
                <w:lang w:eastAsia="en-US"/>
              </w:rPr>
              <w:t>5</w:t>
            </w:r>
          </w:p>
        </w:tc>
        <w:tc>
          <w:tcPr>
            <w:tcW w:w="2457" w:type="dxa"/>
            <w:shd w:val="clear" w:color="auto" w:fill="auto"/>
          </w:tcPr>
          <w:p w:rsidR="0029292A" w:rsidRPr="0029292A" w:rsidRDefault="0029292A" w:rsidP="00A77970">
            <w:r w:rsidRPr="0029292A">
              <w:t>Porumb boabe</w:t>
            </w:r>
          </w:p>
        </w:tc>
        <w:tc>
          <w:tcPr>
            <w:tcW w:w="2029" w:type="dxa"/>
            <w:shd w:val="clear" w:color="auto" w:fill="auto"/>
            <w:vAlign w:val="center"/>
          </w:tcPr>
          <w:p w:rsidR="0029292A" w:rsidRPr="0029292A" w:rsidRDefault="0029292A" w:rsidP="00A77970">
            <w:pPr>
              <w:jc w:val="center"/>
            </w:pPr>
            <w:r w:rsidRPr="0029292A">
              <w:t>63</w:t>
            </w:r>
          </w:p>
        </w:tc>
        <w:tc>
          <w:tcPr>
            <w:tcW w:w="1657" w:type="dxa"/>
            <w:shd w:val="clear" w:color="auto" w:fill="auto"/>
            <w:vAlign w:val="center"/>
          </w:tcPr>
          <w:p w:rsidR="0029292A" w:rsidRPr="0029292A" w:rsidRDefault="0029292A" w:rsidP="00A77970">
            <w:pPr>
              <w:jc w:val="center"/>
            </w:pPr>
            <w:r w:rsidRPr="0029292A">
              <w:t>63</w:t>
            </w:r>
          </w:p>
        </w:tc>
        <w:tc>
          <w:tcPr>
            <w:tcW w:w="1842" w:type="dxa"/>
            <w:shd w:val="clear" w:color="auto" w:fill="auto"/>
            <w:vAlign w:val="center"/>
          </w:tcPr>
          <w:p w:rsidR="0029292A" w:rsidRPr="0029292A" w:rsidRDefault="0029292A" w:rsidP="00A77970">
            <w:pPr>
              <w:jc w:val="center"/>
            </w:pPr>
            <w:r w:rsidRPr="0029292A">
              <w:t>8</w:t>
            </w:r>
            <w:r>
              <w:t>.</w:t>
            </w:r>
            <w:r w:rsidRPr="0029292A">
              <w:t>750</w:t>
            </w:r>
          </w:p>
        </w:tc>
        <w:tc>
          <w:tcPr>
            <w:tcW w:w="1349" w:type="dxa"/>
            <w:shd w:val="clear" w:color="auto" w:fill="auto"/>
            <w:vAlign w:val="center"/>
          </w:tcPr>
          <w:p w:rsidR="0029292A" w:rsidRPr="0029292A" w:rsidRDefault="0029292A" w:rsidP="00A77970">
            <w:pPr>
              <w:jc w:val="center"/>
            </w:pPr>
            <w:r w:rsidRPr="0029292A">
              <w:t>478</w:t>
            </w:r>
          </w:p>
        </w:tc>
      </w:tr>
      <w:tr w:rsidR="0029292A" w:rsidRPr="0029292A" w:rsidTr="0029292A">
        <w:trPr>
          <w:jc w:val="center"/>
        </w:trPr>
        <w:tc>
          <w:tcPr>
            <w:tcW w:w="628" w:type="dxa"/>
            <w:shd w:val="clear" w:color="auto" w:fill="auto"/>
          </w:tcPr>
          <w:p w:rsidR="0029292A" w:rsidRPr="0029292A" w:rsidRDefault="0029292A" w:rsidP="00A77970">
            <w:pPr>
              <w:jc w:val="both"/>
              <w:rPr>
                <w:rFonts w:eastAsia="Calibri"/>
                <w:lang w:eastAsia="en-US"/>
              </w:rPr>
            </w:pPr>
            <w:r w:rsidRPr="0029292A">
              <w:rPr>
                <w:rFonts w:eastAsia="Calibri"/>
                <w:lang w:eastAsia="en-US"/>
              </w:rPr>
              <w:lastRenderedPageBreak/>
              <w:t>6</w:t>
            </w:r>
          </w:p>
        </w:tc>
        <w:tc>
          <w:tcPr>
            <w:tcW w:w="2457" w:type="dxa"/>
            <w:shd w:val="clear" w:color="auto" w:fill="auto"/>
          </w:tcPr>
          <w:p w:rsidR="0029292A" w:rsidRPr="0029292A" w:rsidRDefault="0029292A" w:rsidP="00A77970">
            <w:r w:rsidRPr="0029292A">
              <w:t>Plante medicinale</w:t>
            </w:r>
          </w:p>
        </w:tc>
        <w:tc>
          <w:tcPr>
            <w:tcW w:w="2029" w:type="dxa"/>
            <w:shd w:val="clear" w:color="auto" w:fill="auto"/>
            <w:vAlign w:val="center"/>
          </w:tcPr>
          <w:p w:rsidR="0029292A" w:rsidRPr="0029292A" w:rsidRDefault="0029292A" w:rsidP="00A77970">
            <w:pPr>
              <w:jc w:val="center"/>
            </w:pPr>
            <w:r w:rsidRPr="0029292A">
              <w:t>23</w:t>
            </w:r>
          </w:p>
        </w:tc>
        <w:tc>
          <w:tcPr>
            <w:tcW w:w="1657" w:type="dxa"/>
            <w:shd w:val="clear" w:color="auto" w:fill="auto"/>
            <w:vAlign w:val="center"/>
          </w:tcPr>
          <w:p w:rsidR="0029292A" w:rsidRPr="0029292A" w:rsidRDefault="0029292A" w:rsidP="00A77970">
            <w:pPr>
              <w:jc w:val="center"/>
            </w:pPr>
            <w:r w:rsidRPr="0029292A">
              <w:t>23</w:t>
            </w:r>
          </w:p>
        </w:tc>
        <w:tc>
          <w:tcPr>
            <w:tcW w:w="1842" w:type="dxa"/>
            <w:shd w:val="clear" w:color="auto" w:fill="auto"/>
            <w:vAlign w:val="center"/>
          </w:tcPr>
          <w:p w:rsidR="0029292A" w:rsidRPr="0029292A" w:rsidRDefault="0029292A" w:rsidP="00A77970">
            <w:pPr>
              <w:jc w:val="center"/>
            </w:pPr>
            <w:r w:rsidRPr="0029292A">
              <w:t>6</w:t>
            </w:r>
            <w:r>
              <w:t>.</w:t>
            </w:r>
            <w:r w:rsidRPr="0029292A">
              <w:t>522</w:t>
            </w:r>
          </w:p>
        </w:tc>
        <w:tc>
          <w:tcPr>
            <w:tcW w:w="1349" w:type="dxa"/>
            <w:shd w:val="clear" w:color="auto" w:fill="auto"/>
            <w:vAlign w:val="center"/>
          </w:tcPr>
          <w:p w:rsidR="0029292A" w:rsidRPr="0029292A" w:rsidRDefault="0029292A" w:rsidP="00A77970">
            <w:pPr>
              <w:jc w:val="center"/>
            </w:pPr>
            <w:r w:rsidRPr="0029292A">
              <w:t>150</w:t>
            </w:r>
          </w:p>
        </w:tc>
      </w:tr>
      <w:tr w:rsidR="0029292A" w:rsidRPr="0029292A" w:rsidTr="0029292A">
        <w:trPr>
          <w:jc w:val="center"/>
        </w:trPr>
        <w:tc>
          <w:tcPr>
            <w:tcW w:w="628" w:type="dxa"/>
            <w:shd w:val="clear" w:color="auto" w:fill="auto"/>
          </w:tcPr>
          <w:p w:rsidR="0029292A" w:rsidRPr="0029292A" w:rsidRDefault="0029292A" w:rsidP="00A77970">
            <w:pPr>
              <w:jc w:val="both"/>
              <w:rPr>
                <w:rFonts w:eastAsia="Calibri"/>
                <w:lang w:eastAsia="en-US"/>
              </w:rPr>
            </w:pPr>
            <w:r w:rsidRPr="0029292A">
              <w:rPr>
                <w:rFonts w:eastAsia="Calibri"/>
                <w:lang w:eastAsia="en-US"/>
              </w:rPr>
              <w:t>7</w:t>
            </w:r>
          </w:p>
        </w:tc>
        <w:tc>
          <w:tcPr>
            <w:tcW w:w="2457" w:type="dxa"/>
            <w:shd w:val="clear" w:color="auto" w:fill="auto"/>
          </w:tcPr>
          <w:p w:rsidR="0029292A" w:rsidRPr="0029292A" w:rsidRDefault="0029292A" w:rsidP="00A77970">
            <w:r w:rsidRPr="0029292A">
              <w:t xml:space="preserve">Cartofi </w:t>
            </w:r>
          </w:p>
        </w:tc>
        <w:tc>
          <w:tcPr>
            <w:tcW w:w="2029" w:type="dxa"/>
            <w:shd w:val="clear" w:color="auto" w:fill="auto"/>
            <w:vAlign w:val="center"/>
          </w:tcPr>
          <w:p w:rsidR="0029292A" w:rsidRPr="0029292A" w:rsidRDefault="0029292A" w:rsidP="00A77970">
            <w:pPr>
              <w:jc w:val="center"/>
            </w:pPr>
            <w:r w:rsidRPr="0029292A">
              <w:t>4</w:t>
            </w:r>
          </w:p>
        </w:tc>
        <w:tc>
          <w:tcPr>
            <w:tcW w:w="1657" w:type="dxa"/>
            <w:shd w:val="clear" w:color="auto" w:fill="auto"/>
            <w:vAlign w:val="center"/>
          </w:tcPr>
          <w:p w:rsidR="0029292A" w:rsidRPr="0029292A" w:rsidRDefault="0029292A" w:rsidP="00A77970">
            <w:pPr>
              <w:jc w:val="center"/>
            </w:pPr>
            <w:r w:rsidRPr="0029292A">
              <w:t>4</w:t>
            </w:r>
          </w:p>
        </w:tc>
        <w:tc>
          <w:tcPr>
            <w:tcW w:w="1842" w:type="dxa"/>
            <w:shd w:val="clear" w:color="auto" w:fill="auto"/>
            <w:vAlign w:val="center"/>
          </w:tcPr>
          <w:p w:rsidR="0029292A" w:rsidRPr="0029292A" w:rsidRDefault="0029292A" w:rsidP="00A77970">
            <w:pPr>
              <w:jc w:val="center"/>
            </w:pPr>
            <w:r w:rsidRPr="0029292A">
              <w:t>8</w:t>
            </w:r>
            <w:r>
              <w:t>.</w:t>
            </w:r>
            <w:r w:rsidRPr="0029292A">
              <w:t>750</w:t>
            </w:r>
          </w:p>
        </w:tc>
        <w:tc>
          <w:tcPr>
            <w:tcW w:w="1349" w:type="dxa"/>
            <w:shd w:val="clear" w:color="auto" w:fill="auto"/>
            <w:vAlign w:val="center"/>
          </w:tcPr>
          <w:p w:rsidR="0029292A" w:rsidRPr="0029292A" w:rsidRDefault="0029292A" w:rsidP="00A77970">
            <w:pPr>
              <w:jc w:val="center"/>
            </w:pPr>
            <w:r w:rsidRPr="0029292A">
              <w:t>35</w:t>
            </w:r>
          </w:p>
        </w:tc>
      </w:tr>
      <w:tr w:rsidR="0029292A" w:rsidRPr="0029292A" w:rsidTr="0029292A">
        <w:trPr>
          <w:jc w:val="center"/>
        </w:trPr>
        <w:tc>
          <w:tcPr>
            <w:tcW w:w="628" w:type="dxa"/>
            <w:shd w:val="clear" w:color="auto" w:fill="auto"/>
          </w:tcPr>
          <w:p w:rsidR="0029292A" w:rsidRPr="0029292A" w:rsidRDefault="0029292A" w:rsidP="00A77970">
            <w:pPr>
              <w:jc w:val="both"/>
              <w:rPr>
                <w:rFonts w:eastAsia="Calibri"/>
                <w:lang w:eastAsia="en-US"/>
              </w:rPr>
            </w:pPr>
            <w:r w:rsidRPr="0029292A">
              <w:rPr>
                <w:rFonts w:eastAsia="Calibri"/>
                <w:lang w:eastAsia="en-US"/>
              </w:rPr>
              <w:t>8</w:t>
            </w:r>
          </w:p>
        </w:tc>
        <w:tc>
          <w:tcPr>
            <w:tcW w:w="2457" w:type="dxa"/>
            <w:shd w:val="clear" w:color="auto" w:fill="auto"/>
          </w:tcPr>
          <w:p w:rsidR="0029292A" w:rsidRPr="0029292A" w:rsidRDefault="0029292A" w:rsidP="00A77970">
            <w:r w:rsidRPr="0029292A">
              <w:t>Legume de câmp</w:t>
            </w:r>
          </w:p>
        </w:tc>
        <w:tc>
          <w:tcPr>
            <w:tcW w:w="2029" w:type="dxa"/>
            <w:shd w:val="clear" w:color="auto" w:fill="auto"/>
            <w:vAlign w:val="center"/>
          </w:tcPr>
          <w:p w:rsidR="0029292A" w:rsidRPr="0029292A" w:rsidRDefault="0029292A" w:rsidP="00A77970">
            <w:pPr>
              <w:jc w:val="center"/>
            </w:pPr>
            <w:r w:rsidRPr="0029292A">
              <w:t>33</w:t>
            </w:r>
          </w:p>
        </w:tc>
        <w:tc>
          <w:tcPr>
            <w:tcW w:w="1657" w:type="dxa"/>
            <w:shd w:val="clear" w:color="auto" w:fill="auto"/>
            <w:vAlign w:val="center"/>
          </w:tcPr>
          <w:p w:rsidR="0029292A" w:rsidRPr="0029292A" w:rsidRDefault="0029292A" w:rsidP="00A77970">
            <w:pPr>
              <w:jc w:val="center"/>
            </w:pPr>
            <w:r w:rsidRPr="0029292A">
              <w:t>33</w:t>
            </w:r>
          </w:p>
        </w:tc>
        <w:tc>
          <w:tcPr>
            <w:tcW w:w="1842" w:type="dxa"/>
            <w:shd w:val="clear" w:color="auto" w:fill="auto"/>
            <w:vAlign w:val="center"/>
          </w:tcPr>
          <w:p w:rsidR="0029292A" w:rsidRPr="0029292A" w:rsidRDefault="0029292A" w:rsidP="00A77970">
            <w:pPr>
              <w:jc w:val="center"/>
            </w:pPr>
            <w:r w:rsidRPr="0029292A">
              <w:t>7</w:t>
            </w:r>
            <w:r>
              <w:t>.</w:t>
            </w:r>
            <w:r w:rsidRPr="0029292A">
              <w:t>364</w:t>
            </w:r>
          </w:p>
        </w:tc>
        <w:tc>
          <w:tcPr>
            <w:tcW w:w="1349" w:type="dxa"/>
            <w:shd w:val="clear" w:color="auto" w:fill="auto"/>
            <w:vAlign w:val="center"/>
          </w:tcPr>
          <w:p w:rsidR="0029292A" w:rsidRPr="0029292A" w:rsidRDefault="0029292A" w:rsidP="00A77970">
            <w:pPr>
              <w:jc w:val="center"/>
            </w:pPr>
            <w:r w:rsidRPr="0029292A">
              <w:t>243</w:t>
            </w:r>
          </w:p>
        </w:tc>
      </w:tr>
      <w:tr w:rsidR="0029292A" w:rsidRPr="0029292A" w:rsidTr="0029292A">
        <w:trPr>
          <w:jc w:val="center"/>
        </w:trPr>
        <w:tc>
          <w:tcPr>
            <w:tcW w:w="628" w:type="dxa"/>
            <w:shd w:val="clear" w:color="auto" w:fill="auto"/>
          </w:tcPr>
          <w:p w:rsidR="0029292A" w:rsidRPr="0029292A" w:rsidRDefault="0029292A" w:rsidP="00A77970">
            <w:pPr>
              <w:jc w:val="both"/>
              <w:rPr>
                <w:rFonts w:eastAsia="Calibri"/>
                <w:lang w:eastAsia="en-US"/>
              </w:rPr>
            </w:pPr>
            <w:r w:rsidRPr="0029292A">
              <w:rPr>
                <w:rFonts w:eastAsia="Calibri"/>
                <w:lang w:eastAsia="en-US"/>
              </w:rPr>
              <w:t>9</w:t>
            </w:r>
          </w:p>
        </w:tc>
        <w:tc>
          <w:tcPr>
            <w:tcW w:w="2457" w:type="dxa"/>
            <w:shd w:val="clear" w:color="auto" w:fill="auto"/>
          </w:tcPr>
          <w:p w:rsidR="0029292A" w:rsidRPr="0029292A" w:rsidRDefault="0029292A" w:rsidP="00A77970">
            <w:r w:rsidRPr="0029292A">
              <w:t>Legume de seră</w:t>
            </w:r>
          </w:p>
        </w:tc>
        <w:tc>
          <w:tcPr>
            <w:tcW w:w="2029" w:type="dxa"/>
            <w:shd w:val="clear" w:color="auto" w:fill="auto"/>
            <w:vAlign w:val="center"/>
          </w:tcPr>
          <w:p w:rsidR="0029292A" w:rsidRPr="0029292A" w:rsidRDefault="0029292A" w:rsidP="00A77970">
            <w:pPr>
              <w:jc w:val="center"/>
            </w:pPr>
            <w:r w:rsidRPr="0029292A">
              <w:t>7</w:t>
            </w:r>
          </w:p>
        </w:tc>
        <w:tc>
          <w:tcPr>
            <w:tcW w:w="1657" w:type="dxa"/>
            <w:shd w:val="clear" w:color="auto" w:fill="auto"/>
            <w:vAlign w:val="center"/>
          </w:tcPr>
          <w:p w:rsidR="0029292A" w:rsidRPr="0029292A" w:rsidRDefault="0029292A" w:rsidP="00A77970">
            <w:pPr>
              <w:jc w:val="center"/>
            </w:pPr>
            <w:r w:rsidRPr="0029292A">
              <w:t>7</w:t>
            </w:r>
          </w:p>
        </w:tc>
        <w:tc>
          <w:tcPr>
            <w:tcW w:w="1842" w:type="dxa"/>
            <w:shd w:val="clear" w:color="auto" w:fill="auto"/>
            <w:vAlign w:val="center"/>
          </w:tcPr>
          <w:p w:rsidR="0029292A" w:rsidRPr="0029292A" w:rsidRDefault="0029292A" w:rsidP="00A77970">
            <w:pPr>
              <w:jc w:val="center"/>
            </w:pPr>
            <w:r w:rsidRPr="0029292A">
              <w:t>49</w:t>
            </w:r>
            <w:r>
              <w:t>.</w:t>
            </w:r>
            <w:r w:rsidRPr="0029292A">
              <w:t>571</w:t>
            </w:r>
          </w:p>
        </w:tc>
        <w:tc>
          <w:tcPr>
            <w:tcW w:w="1349" w:type="dxa"/>
            <w:shd w:val="clear" w:color="auto" w:fill="auto"/>
            <w:vAlign w:val="center"/>
          </w:tcPr>
          <w:p w:rsidR="0029292A" w:rsidRPr="0029292A" w:rsidRDefault="0029292A" w:rsidP="00A77970">
            <w:pPr>
              <w:jc w:val="center"/>
            </w:pPr>
            <w:r w:rsidRPr="0029292A">
              <w:t>347</w:t>
            </w:r>
          </w:p>
        </w:tc>
      </w:tr>
      <w:tr w:rsidR="0029292A" w:rsidRPr="00592994" w:rsidTr="0029292A">
        <w:trPr>
          <w:jc w:val="center"/>
        </w:trPr>
        <w:tc>
          <w:tcPr>
            <w:tcW w:w="628" w:type="dxa"/>
            <w:shd w:val="clear" w:color="auto" w:fill="auto"/>
          </w:tcPr>
          <w:p w:rsidR="0029292A" w:rsidRPr="0029292A" w:rsidRDefault="0029292A" w:rsidP="00A77970">
            <w:pPr>
              <w:jc w:val="both"/>
              <w:rPr>
                <w:rFonts w:eastAsia="Calibri"/>
                <w:lang w:eastAsia="en-US"/>
              </w:rPr>
            </w:pPr>
            <w:r w:rsidRPr="0029292A">
              <w:rPr>
                <w:rFonts w:eastAsia="Calibri"/>
                <w:lang w:eastAsia="en-US"/>
              </w:rPr>
              <w:t>10</w:t>
            </w:r>
          </w:p>
        </w:tc>
        <w:tc>
          <w:tcPr>
            <w:tcW w:w="2457" w:type="dxa"/>
            <w:shd w:val="clear" w:color="auto" w:fill="auto"/>
          </w:tcPr>
          <w:p w:rsidR="0029292A" w:rsidRPr="0029292A" w:rsidRDefault="0029292A" w:rsidP="00A77970">
            <w:r w:rsidRPr="0029292A">
              <w:t>Plante de nutreţ</w:t>
            </w:r>
          </w:p>
        </w:tc>
        <w:tc>
          <w:tcPr>
            <w:tcW w:w="2029" w:type="dxa"/>
            <w:shd w:val="clear" w:color="auto" w:fill="auto"/>
            <w:vAlign w:val="center"/>
          </w:tcPr>
          <w:p w:rsidR="0029292A" w:rsidRPr="0029292A" w:rsidRDefault="0029292A" w:rsidP="00A77970">
            <w:pPr>
              <w:jc w:val="center"/>
            </w:pPr>
            <w:r w:rsidRPr="0029292A">
              <w:t>95</w:t>
            </w:r>
          </w:p>
        </w:tc>
        <w:tc>
          <w:tcPr>
            <w:tcW w:w="1657" w:type="dxa"/>
            <w:shd w:val="clear" w:color="auto" w:fill="auto"/>
            <w:vAlign w:val="center"/>
          </w:tcPr>
          <w:p w:rsidR="0029292A" w:rsidRPr="0029292A" w:rsidRDefault="0029292A" w:rsidP="00A77970">
            <w:pPr>
              <w:jc w:val="center"/>
            </w:pPr>
            <w:r w:rsidRPr="0029292A">
              <w:t>95</w:t>
            </w:r>
          </w:p>
        </w:tc>
        <w:tc>
          <w:tcPr>
            <w:tcW w:w="1842" w:type="dxa"/>
            <w:shd w:val="clear" w:color="auto" w:fill="auto"/>
            <w:vAlign w:val="center"/>
          </w:tcPr>
          <w:p w:rsidR="0029292A" w:rsidRPr="0029292A" w:rsidRDefault="0029292A" w:rsidP="00A77970">
            <w:pPr>
              <w:jc w:val="center"/>
            </w:pPr>
            <w:r w:rsidRPr="0029292A">
              <w:t>10</w:t>
            </w:r>
            <w:r>
              <w:t>.</w:t>
            </w:r>
            <w:r w:rsidRPr="0029292A">
              <w:t>568</w:t>
            </w:r>
          </w:p>
        </w:tc>
        <w:tc>
          <w:tcPr>
            <w:tcW w:w="1349" w:type="dxa"/>
            <w:shd w:val="clear" w:color="auto" w:fill="auto"/>
            <w:vAlign w:val="center"/>
          </w:tcPr>
          <w:p w:rsidR="0029292A" w:rsidRDefault="0029292A" w:rsidP="00A77970">
            <w:pPr>
              <w:jc w:val="center"/>
            </w:pPr>
            <w:r w:rsidRPr="0029292A">
              <w:t>1</w:t>
            </w:r>
            <w:r>
              <w:t>.</w:t>
            </w:r>
            <w:r w:rsidRPr="0029292A">
              <w:t>004</w:t>
            </w:r>
          </w:p>
        </w:tc>
      </w:tr>
    </w:tbl>
    <w:p w:rsidR="00AC1F71" w:rsidRDefault="00AC1F71" w:rsidP="00A77970">
      <w:pPr>
        <w:jc w:val="both"/>
        <w:rPr>
          <w:u w:val="single"/>
        </w:rPr>
      </w:pPr>
    </w:p>
    <w:p w:rsidR="00745237" w:rsidRDefault="009C1BEA" w:rsidP="00A77970">
      <w:pPr>
        <w:widowControl w:val="0"/>
        <w:jc w:val="both"/>
        <w:rPr>
          <w:rFonts w:eastAsia="Calibri"/>
          <w:lang w:eastAsia="en-US"/>
        </w:rPr>
      </w:pPr>
      <w:r>
        <w:rPr>
          <w:b/>
          <w:kern w:val="28"/>
          <w:lang w:val="en-US" w:eastAsia="en-US"/>
        </w:rPr>
        <w:t>P</w:t>
      </w:r>
      <w:r w:rsidRPr="001A0ECE">
        <w:rPr>
          <w:b/>
          <w:kern w:val="28"/>
          <w:lang w:val="en-US" w:eastAsia="en-US"/>
        </w:rPr>
        <w:t xml:space="preserve">rincipalele realizări </w:t>
      </w:r>
      <w:r>
        <w:rPr>
          <w:b/>
          <w:kern w:val="28"/>
          <w:lang w:val="en-US" w:eastAsia="en-US"/>
        </w:rPr>
        <w:t xml:space="preserve">ale </w:t>
      </w:r>
      <w:r w:rsidRPr="00592994">
        <w:rPr>
          <w:rFonts w:eastAsia="Palatino Linotype"/>
          <w:b/>
          <w:spacing w:val="-6"/>
        </w:rPr>
        <w:t>Direcți</w:t>
      </w:r>
      <w:r w:rsidR="00C95B18">
        <w:rPr>
          <w:rFonts w:eastAsia="Palatino Linotype"/>
          <w:b/>
          <w:spacing w:val="-6"/>
        </w:rPr>
        <w:t>ei</w:t>
      </w:r>
      <w:r w:rsidRPr="00592994">
        <w:rPr>
          <w:rFonts w:eastAsia="Palatino Linotype"/>
          <w:b/>
          <w:spacing w:val="-6"/>
        </w:rPr>
        <w:t xml:space="preserve"> Pentru Agricultură A Municipiului București</w:t>
      </w:r>
      <w:r>
        <w:rPr>
          <w:rFonts w:eastAsia="Palatino Linotype"/>
          <w:b/>
          <w:spacing w:val="-6"/>
        </w:rPr>
        <w:t xml:space="preserve"> </w:t>
      </w:r>
      <w:r w:rsidR="00C668E6" w:rsidRPr="00C95B18">
        <w:rPr>
          <w:rFonts w:eastAsia="Palatino Linotype"/>
          <w:b/>
          <w:spacing w:val="-6"/>
        </w:rPr>
        <w:t>(</w:t>
      </w:r>
      <w:r w:rsidR="00C668E6" w:rsidRPr="00C95B18">
        <w:rPr>
          <w:rFonts w:eastAsia="Calibri"/>
          <w:b/>
          <w:lang w:eastAsia="en-US"/>
        </w:rPr>
        <w:t>D.A.M.B.)</w:t>
      </w:r>
    </w:p>
    <w:p w:rsidR="009C1BEA" w:rsidRDefault="009C1BEA" w:rsidP="00A77970">
      <w:pPr>
        <w:widowControl w:val="0"/>
        <w:jc w:val="center"/>
        <w:rPr>
          <w:rFonts w:eastAsia="Palatino Linotype"/>
          <w:b/>
          <w:spacing w:val="-6"/>
        </w:rPr>
      </w:pPr>
    </w:p>
    <w:p w:rsidR="009E193A" w:rsidRPr="009E193A" w:rsidRDefault="009E193A" w:rsidP="00A77970">
      <w:pPr>
        <w:tabs>
          <w:tab w:val="left" w:pos="0"/>
        </w:tabs>
        <w:ind w:firstLine="709"/>
        <w:jc w:val="both"/>
        <w:rPr>
          <w:rFonts w:eastAsia="Calibri"/>
          <w:lang w:eastAsia="en-US"/>
        </w:rPr>
      </w:pPr>
      <w:r w:rsidRPr="009E193A">
        <w:rPr>
          <w:rFonts w:eastAsia="Calibri"/>
          <w:lang w:eastAsia="en-US"/>
        </w:rPr>
        <w:t xml:space="preserve">În cursul anului 2018, în urma solicitărilor primite au fost eliberate conf. Legii nr. 348/2003 rep., </w:t>
      </w:r>
      <w:r w:rsidRPr="009E193A">
        <w:rPr>
          <w:rFonts w:eastAsia="Calibri"/>
          <w:b/>
          <w:lang w:eastAsia="en-US"/>
        </w:rPr>
        <w:t>181</w:t>
      </w:r>
      <w:r w:rsidRPr="009E193A">
        <w:rPr>
          <w:rFonts w:eastAsia="Calibri"/>
          <w:lang w:eastAsia="en-US"/>
        </w:rPr>
        <w:t xml:space="preserve"> de autorizaţii de defrişare pentru nuci din categoria ,,nuci răzleţi”.</w:t>
      </w:r>
    </w:p>
    <w:p w:rsidR="009E193A" w:rsidRPr="009E193A" w:rsidRDefault="009E193A" w:rsidP="00A77970">
      <w:pPr>
        <w:tabs>
          <w:tab w:val="left" w:pos="0"/>
        </w:tabs>
        <w:ind w:firstLine="709"/>
        <w:jc w:val="both"/>
        <w:rPr>
          <w:rFonts w:eastAsia="Calibri"/>
          <w:lang w:eastAsia="en-US"/>
        </w:rPr>
      </w:pPr>
      <w:r w:rsidRPr="009E193A">
        <w:rPr>
          <w:rFonts w:eastAsia="Calibri"/>
          <w:lang w:eastAsia="en-US"/>
        </w:rPr>
        <w:t xml:space="preserve">În urma solicitărilor primite au fost eliberate un nr. de </w:t>
      </w:r>
      <w:r w:rsidRPr="009E193A">
        <w:rPr>
          <w:rFonts w:eastAsia="Calibri"/>
          <w:b/>
          <w:lang w:eastAsia="en-US"/>
        </w:rPr>
        <w:t>19</w:t>
      </w:r>
      <w:r w:rsidRPr="009E193A">
        <w:rPr>
          <w:rFonts w:eastAsia="Calibri"/>
          <w:lang w:eastAsia="en-US"/>
        </w:rPr>
        <w:t xml:space="preserve"> avize consultative în vedere eliberării atestatelor de producător, conf. prevederilor Legii nr. 145/2014.</w:t>
      </w:r>
    </w:p>
    <w:p w:rsidR="009E193A" w:rsidRPr="009E193A" w:rsidRDefault="009E193A" w:rsidP="00A77970">
      <w:pPr>
        <w:tabs>
          <w:tab w:val="left" w:pos="0"/>
        </w:tabs>
        <w:ind w:firstLine="709"/>
        <w:jc w:val="both"/>
        <w:rPr>
          <w:rFonts w:eastAsia="Calibri"/>
          <w:color w:val="000000"/>
          <w:lang w:eastAsia="en-US"/>
        </w:rPr>
      </w:pPr>
      <w:r w:rsidRPr="009E193A">
        <w:rPr>
          <w:rFonts w:eastAsia="Calibri"/>
          <w:color w:val="000000"/>
          <w:lang w:eastAsia="en-US"/>
        </w:rPr>
        <w:t>Activitatea de implementare în agricultura ecologică s-a desfăşurat, în baza Ordinului nr. 1253/2013 cu modificările şi completările ulterioare şi a Ordinului nr. 900/2013 astfel:</w:t>
      </w:r>
    </w:p>
    <w:p w:rsidR="009E193A" w:rsidRPr="009E193A" w:rsidRDefault="009E193A" w:rsidP="00A77970">
      <w:pPr>
        <w:tabs>
          <w:tab w:val="left" w:pos="0"/>
        </w:tabs>
        <w:ind w:firstLine="709"/>
        <w:jc w:val="both"/>
        <w:rPr>
          <w:rFonts w:eastAsia="Calibri"/>
          <w:color w:val="000000"/>
          <w:lang w:eastAsia="en-US"/>
        </w:rPr>
      </w:pPr>
      <w:r w:rsidRPr="009E193A">
        <w:rPr>
          <w:rFonts w:eastAsia="Calibri"/>
          <w:color w:val="000000"/>
          <w:lang w:eastAsia="en-US"/>
        </w:rPr>
        <w:t xml:space="preserve">Au fost informate persoanele fizice/juridice referitor la termenul limită de depunere a fişei de înregistrare a producătorilor în agricultura ecologică – anexa nr. 1, la D.A.M.Bucureşti. </w:t>
      </w:r>
    </w:p>
    <w:p w:rsidR="009E193A" w:rsidRPr="009E193A" w:rsidRDefault="009E193A" w:rsidP="00A77970">
      <w:pPr>
        <w:tabs>
          <w:tab w:val="left" w:pos="0"/>
        </w:tabs>
        <w:ind w:firstLine="709"/>
        <w:jc w:val="both"/>
        <w:rPr>
          <w:rFonts w:eastAsia="Palatino Linotype"/>
          <w:b/>
          <w:color w:val="000000"/>
        </w:rPr>
      </w:pPr>
      <w:r w:rsidRPr="009E193A">
        <w:rPr>
          <w:rFonts w:eastAsia="Calibri"/>
          <w:color w:val="000000"/>
          <w:lang w:eastAsia="en-US"/>
        </w:rPr>
        <w:t xml:space="preserve">În cursul anului 2018 s-au înregistrat </w:t>
      </w:r>
      <w:r w:rsidRPr="009E193A">
        <w:rPr>
          <w:rFonts w:eastAsia="Calibri"/>
          <w:b/>
          <w:color w:val="000000"/>
          <w:lang w:eastAsia="en-US"/>
        </w:rPr>
        <w:t>356</w:t>
      </w:r>
      <w:r w:rsidRPr="009E193A">
        <w:rPr>
          <w:rFonts w:eastAsia="Calibri"/>
          <w:color w:val="000000"/>
          <w:lang w:eastAsia="en-US"/>
        </w:rPr>
        <w:t xml:space="preserve"> fişe în </w:t>
      </w:r>
      <w:r w:rsidRPr="009E193A">
        <w:rPr>
          <w:rFonts w:eastAsia="Palatino Linotype"/>
          <w:color w:val="000000"/>
        </w:rPr>
        <w:t>agricultura ecologică din care:</w:t>
      </w:r>
      <w:r w:rsidRPr="009E193A">
        <w:rPr>
          <w:rFonts w:eastAsia="Palatino Linotype"/>
          <w:b/>
          <w:color w:val="000000"/>
        </w:rPr>
        <w:t xml:space="preserve">   </w:t>
      </w:r>
    </w:p>
    <w:p w:rsidR="009E193A" w:rsidRPr="009E193A" w:rsidRDefault="009E193A" w:rsidP="00A77970">
      <w:pPr>
        <w:tabs>
          <w:tab w:val="left" w:pos="0"/>
        </w:tabs>
        <w:jc w:val="both"/>
        <w:rPr>
          <w:rFonts w:eastAsia="Palatino Linotype"/>
          <w:b/>
          <w:color w:val="000000"/>
        </w:rPr>
      </w:pPr>
      <w:r w:rsidRPr="009E193A">
        <w:rPr>
          <w:rFonts w:eastAsia="Calibri"/>
          <w:color w:val="000000"/>
          <w:lang w:eastAsia="en-US"/>
        </w:rPr>
        <w:t>-</w:t>
      </w:r>
      <w:r w:rsidRPr="009E193A">
        <w:rPr>
          <w:rFonts w:eastAsia="Palatino Linotype"/>
          <w:color w:val="000000"/>
        </w:rPr>
        <w:t xml:space="preserve"> </w:t>
      </w:r>
      <w:r w:rsidRPr="009E193A">
        <w:rPr>
          <w:rFonts w:eastAsia="Palatino Linotype"/>
          <w:b/>
          <w:color w:val="000000"/>
        </w:rPr>
        <w:t>149</w:t>
      </w:r>
      <w:r w:rsidRPr="009E193A">
        <w:rPr>
          <w:rFonts w:eastAsia="Palatino Linotype"/>
          <w:color w:val="000000"/>
        </w:rPr>
        <w:t xml:space="preserve"> fişe de înregistrare a producătorilor în agricultură ecologică;</w:t>
      </w:r>
    </w:p>
    <w:p w:rsidR="009E193A" w:rsidRPr="009E193A" w:rsidRDefault="009E193A" w:rsidP="00A77970">
      <w:pPr>
        <w:tabs>
          <w:tab w:val="left" w:pos="0"/>
        </w:tabs>
        <w:jc w:val="both"/>
        <w:rPr>
          <w:rFonts w:eastAsia="Palatino Linotype"/>
          <w:color w:val="000000"/>
        </w:rPr>
      </w:pPr>
      <w:r w:rsidRPr="009E193A">
        <w:rPr>
          <w:rFonts w:eastAsia="Palatino Linotype"/>
          <w:color w:val="000000"/>
        </w:rPr>
        <w:t xml:space="preserve">-   </w:t>
      </w:r>
      <w:r w:rsidRPr="009E193A">
        <w:rPr>
          <w:rFonts w:eastAsia="Palatino Linotype"/>
          <w:b/>
          <w:color w:val="000000"/>
        </w:rPr>
        <w:t xml:space="preserve"> 5</w:t>
      </w:r>
      <w:r w:rsidRPr="009E193A">
        <w:rPr>
          <w:rFonts w:eastAsia="Palatino Linotype"/>
          <w:color w:val="000000"/>
        </w:rPr>
        <w:t xml:space="preserve">  fişe de înregistrare a unităţilor de producţie de acvacultură ecologică;</w:t>
      </w:r>
    </w:p>
    <w:p w:rsidR="009E193A" w:rsidRPr="009E193A" w:rsidRDefault="009E193A" w:rsidP="00A77970">
      <w:pPr>
        <w:widowControl w:val="0"/>
        <w:tabs>
          <w:tab w:val="left" w:pos="0"/>
          <w:tab w:val="left" w:pos="1728"/>
        </w:tabs>
        <w:jc w:val="both"/>
        <w:rPr>
          <w:rFonts w:eastAsia="Palatino Linotype"/>
          <w:color w:val="000000"/>
        </w:rPr>
      </w:pPr>
      <w:r w:rsidRPr="009E193A">
        <w:rPr>
          <w:rFonts w:eastAsia="Palatino Linotype"/>
          <w:color w:val="000000"/>
        </w:rPr>
        <w:t xml:space="preserve">-  </w:t>
      </w:r>
      <w:r w:rsidRPr="009E193A">
        <w:rPr>
          <w:rFonts w:eastAsia="Palatino Linotype"/>
          <w:b/>
          <w:color w:val="000000"/>
        </w:rPr>
        <w:t>42</w:t>
      </w:r>
      <w:r w:rsidRPr="009E193A">
        <w:rPr>
          <w:rFonts w:eastAsia="Palatino Linotype"/>
          <w:color w:val="000000"/>
        </w:rPr>
        <w:t xml:space="preserve">  fişe de înregistrare a procesatorilor în agricultură ecologică;</w:t>
      </w:r>
    </w:p>
    <w:p w:rsidR="009E193A" w:rsidRPr="009E193A" w:rsidRDefault="009E193A" w:rsidP="00A77970">
      <w:pPr>
        <w:widowControl w:val="0"/>
        <w:tabs>
          <w:tab w:val="left" w:pos="0"/>
          <w:tab w:val="left" w:pos="1728"/>
        </w:tabs>
        <w:jc w:val="both"/>
        <w:rPr>
          <w:rFonts w:eastAsia="Palatino Linotype"/>
          <w:color w:val="000000"/>
        </w:rPr>
      </w:pPr>
      <w:r w:rsidRPr="009E193A">
        <w:rPr>
          <w:rFonts w:eastAsia="Palatino Linotype"/>
          <w:color w:val="000000"/>
        </w:rPr>
        <w:t xml:space="preserve">-    </w:t>
      </w:r>
      <w:r w:rsidRPr="009E193A">
        <w:rPr>
          <w:rFonts w:eastAsia="Palatino Linotype"/>
          <w:b/>
          <w:color w:val="000000"/>
        </w:rPr>
        <w:t>4</w:t>
      </w:r>
      <w:r w:rsidRPr="009E193A">
        <w:rPr>
          <w:rFonts w:eastAsia="Palatino Linotype"/>
          <w:color w:val="000000"/>
        </w:rPr>
        <w:t xml:space="preserve">  fişe de înregistrare a operatorilor în agricultură ecologică - floră spontană;</w:t>
      </w:r>
    </w:p>
    <w:p w:rsidR="009E193A" w:rsidRPr="009E193A" w:rsidRDefault="009E193A" w:rsidP="00A77970">
      <w:pPr>
        <w:widowControl w:val="0"/>
        <w:tabs>
          <w:tab w:val="left" w:pos="0"/>
          <w:tab w:val="left" w:pos="1728"/>
        </w:tabs>
        <w:jc w:val="both"/>
        <w:rPr>
          <w:rFonts w:eastAsia="Palatino Linotype"/>
          <w:color w:val="000000"/>
        </w:rPr>
      </w:pPr>
      <w:r w:rsidRPr="009E193A">
        <w:rPr>
          <w:rFonts w:eastAsia="Palatino Linotype"/>
          <w:color w:val="000000"/>
        </w:rPr>
        <w:t xml:space="preserve">-  </w:t>
      </w:r>
      <w:r w:rsidRPr="009E193A">
        <w:rPr>
          <w:rFonts w:eastAsia="Palatino Linotype"/>
          <w:b/>
          <w:color w:val="000000"/>
        </w:rPr>
        <w:t xml:space="preserve">19 </w:t>
      </w:r>
      <w:r w:rsidRPr="009E193A">
        <w:rPr>
          <w:rFonts w:eastAsia="Palatino Linotype"/>
          <w:color w:val="000000"/>
        </w:rPr>
        <w:t xml:space="preserve"> fişe de înregistrare  a importatorilor de produse ecologice;</w:t>
      </w:r>
    </w:p>
    <w:p w:rsidR="009E193A" w:rsidRPr="009E193A" w:rsidRDefault="009E193A" w:rsidP="00A77970">
      <w:pPr>
        <w:widowControl w:val="0"/>
        <w:tabs>
          <w:tab w:val="left" w:pos="0"/>
          <w:tab w:val="left" w:pos="1728"/>
        </w:tabs>
        <w:jc w:val="both"/>
        <w:rPr>
          <w:rFonts w:eastAsia="Palatino Linotype"/>
          <w:color w:val="000000"/>
        </w:rPr>
      </w:pPr>
      <w:r w:rsidRPr="009E193A">
        <w:rPr>
          <w:rFonts w:eastAsia="Palatino Linotype"/>
          <w:color w:val="000000"/>
        </w:rPr>
        <w:t xml:space="preserve">-    </w:t>
      </w:r>
      <w:r w:rsidRPr="009E193A">
        <w:rPr>
          <w:rFonts w:eastAsia="Palatino Linotype"/>
          <w:b/>
          <w:color w:val="000000"/>
        </w:rPr>
        <w:t xml:space="preserve">5 </w:t>
      </w:r>
      <w:r w:rsidRPr="009E193A">
        <w:rPr>
          <w:rFonts w:eastAsia="Palatino Linotype"/>
          <w:color w:val="000000"/>
        </w:rPr>
        <w:t xml:space="preserve"> fişe de înregistrare a exportatorilor de produse ecologice</w:t>
      </w:r>
    </w:p>
    <w:p w:rsidR="009E193A" w:rsidRPr="009E193A" w:rsidRDefault="009E193A" w:rsidP="00A77970">
      <w:pPr>
        <w:tabs>
          <w:tab w:val="left" w:pos="0"/>
        </w:tabs>
        <w:jc w:val="both"/>
        <w:rPr>
          <w:rFonts w:eastAsia="Palatino Linotype"/>
          <w:color w:val="000000"/>
        </w:rPr>
      </w:pPr>
      <w:r w:rsidRPr="009E193A">
        <w:rPr>
          <w:rFonts w:eastAsia="Palatino Linotype"/>
          <w:bCs/>
          <w:color w:val="000000"/>
        </w:rPr>
        <w:t>-</w:t>
      </w:r>
      <w:r w:rsidRPr="009E193A">
        <w:rPr>
          <w:rFonts w:eastAsia="Palatino Linotype"/>
          <w:b/>
          <w:bCs/>
          <w:color w:val="000000"/>
        </w:rPr>
        <w:t xml:space="preserve"> </w:t>
      </w:r>
      <w:r w:rsidRPr="009E193A">
        <w:rPr>
          <w:rFonts w:eastAsia="Palatino Linotype"/>
          <w:b/>
          <w:color w:val="000000"/>
        </w:rPr>
        <w:t>132</w:t>
      </w:r>
      <w:r w:rsidRPr="009E193A">
        <w:rPr>
          <w:rFonts w:eastAsia="Palatino Linotype"/>
          <w:color w:val="000000"/>
        </w:rPr>
        <w:t xml:space="preserve"> fişe de înregistrare a comercianţilor de produse ecologice;</w:t>
      </w:r>
    </w:p>
    <w:p w:rsidR="009E193A" w:rsidRPr="009E193A" w:rsidRDefault="009E193A" w:rsidP="00A77970">
      <w:pPr>
        <w:tabs>
          <w:tab w:val="left" w:pos="0"/>
        </w:tabs>
        <w:ind w:firstLine="709"/>
        <w:jc w:val="both"/>
        <w:rPr>
          <w:rFonts w:eastAsia="Palatino Linotype"/>
          <w:b/>
          <w:color w:val="000000"/>
        </w:rPr>
      </w:pPr>
      <w:r w:rsidRPr="009E193A">
        <w:rPr>
          <w:rFonts w:eastAsia="Calibri"/>
          <w:color w:val="000000"/>
          <w:lang w:eastAsia="en-US"/>
        </w:rPr>
        <w:t xml:space="preserve">A fost înregistrat </w:t>
      </w:r>
      <w:r w:rsidRPr="009E193A">
        <w:rPr>
          <w:rFonts w:eastAsia="Calibri"/>
          <w:b/>
          <w:color w:val="000000"/>
          <w:lang w:eastAsia="en-US"/>
        </w:rPr>
        <w:t>un</w:t>
      </w:r>
      <w:r w:rsidRPr="009E193A">
        <w:rPr>
          <w:rFonts w:eastAsia="Calibri"/>
          <w:b/>
          <w:noProof/>
          <w:color w:val="000000"/>
          <w:lang w:eastAsia="en-US"/>
        </w:rPr>
        <w:t xml:space="preserve"> </w:t>
      </w:r>
      <w:bookmarkStart w:id="3" w:name="do|ar5|al1"/>
      <w:bookmarkEnd w:id="3"/>
      <w:r w:rsidRPr="009E193A">
        <w:rPr>
          <w:rFonts w:eastAsia="Calibri"/>
          <w:b/>
          <w:color w:val="000000"/>
          <w:lang w:eastAsia="en-US"/>
        </w:rPr>
        <w:t>furnizor</w:t>
      </w:r>
      <w:r w:rsidRPr="009E193A">
        <w:rPr>
          <w:rFonts w:eastAsia="Calibri"/>
          <w:color w:val="000000"/>
          <w:lang w:eastAsia="en-US"/>
        </w:rPr>
        <w:t xml:space="preserve"> de seminţe şi material de înmulţire vegetativ obţinute prin metoda de producţie ecologică, conform </w:t>
      </w:r>
      <w:r w:rsidRPr="009E193A">
        <w:rPr>
          <w:rFonts w:eastAsia="Calibri"/>
          <w:i/>
          <w:color w:val="000000"/>
          <w:lang w:eastAsia="en-US"/>
        </w:rPr>
        <w:t>Ordinului nr. 900/2013</w:t>
      </w:r>
      <w:r w:rsidRPr="009E193A">
        <w:rPr>
          <w:rFonts w:eastAsia="Calibri"/>
          <w:color w:val="000000"/>
          <w:lang w:eastAsia="en-US"/>
        </w:rPr>
        <w:t xml:space="preserve"> </w:t>
      </w:r>
      <w:r w:rsidRPr="009E193A">
        <w:rPr>
          <w:rFonts w:eastAsia="Calibri"/>
          <w:bCs/>
          <w:color w:val="000000"/>
          <w:lang w:eastAsia="en-US"/>
        </w:rPr>
        <w:t>privind funcţionarea bazei de date pentru seminţe sau material vegetativ săditor, în sectorul agricultură ecologică.</w:t>
      </w:r>
    </w:p>
    <w:p w:rsidR="009E193A" w:rsidRPr="009E193A" w:rsidRDefault="009E193A" w:rsidP="00A77970">
      <w:pPr>
        <w:widowControl w:val="0"/>
        <w:tabs>
          <w:tab w:val="left" w:pos="0"/>
          <w:tab w:val="left" w:pos="1724"/>
        </w:tabs>
        <w:ind w:firstLine="709"/>
        <w:jc w:val="both"/>
        <w:rPr>
          <w:rFonts w:eastAsia="Calibri"/>
          <w:noProof/>
          <w:color w:val="000000"/>
          <w:lang w:eastAsia="en-US"/>
        </w:rPr>
      </w:pPr>
      <w:r w:rsidRPr="009E193A">
        <w:rPr>
          <w:rFonts w:eastAsia="Palatino Linotype"/>
          <w:color w:val="000000"/>
        </w:rPr>
        <w:t>L</w:t>
      </w:r>
      <w:r w:rsidRPr="009E193A">
        <w:rPr>
          <w:rFonts w:eastAsia="Calibri"/>
          <w:noProof/>
          <w:color w:val="000000"/>
          <w:lang w:eastAsia="en-US"/>
        </w:rPr>
        <w:t>a direcţia de specialitate din cadrul  M.A.D.R.</w:t>
      </w:r>
      <w:r w:rsidRPr="009E193A">
        <w:rPr>
          <w:rFonts w:eastAsia="Palatino Linotype"/>
          <w:color w:val="000000"/>
        </w:rPr>
        <w:t xml:space="preserve"> a fost transmis,</w:t>
      </w:r>
      <w:r w:rsidRPr="009E193A">
        <w:rPr>
          <w:rFonts w:eastAsia="Calibri"/>
          <w:noProof/>
          <w:color w:val="000000"/>
          <w:lang w:eastAsia="en-US"/>
        </w:rPr>
        <w:t xml:space="preserve">  în format electronic la sfârşitul fiecărei luni, </w:t>
      </w:r>
      <w:r w:rsidRPr="009E193A">
        <w:rPr>
          <w:rFonts w:eastAsia="Calibri"/>
          <w:b/>
          <w:i/>
          <w:noProof/>
          <w:color w:val="000000"/>
          <w:lang w:eastAsia="en-US"/>
        </w:rPr>
        <w:t>Centralizatorul operatorilor înregistraţi în agricultura ecologică,</w:t>
      </w:r>
      <w:r w:rsidRPr="009E193A">
        <w:rPr>
          <w:rFonts w:eastAsia="Calibri"/>
          <w:noProof/>
          <w:color w:val="000000"/>
          <w:lang w:eastAsia="en-US"/>
        </w:rPr>
        <w:t xml:space="preserve"> conform Anexei nr. 10 la Ordinul MADR nr. 1253/2013.</w:t>
      </w:r>
    </w:p>
    <w:p w:rsidR="009E193A" w:rsidRPr="009E193A" w:rsidRDefault="009E193A" w:rsidP="00A77970">
      <w:pPr>
        <w:tabs>
          <w:tab w:val="left" w:pos="0"/>
        </w:tabs>
        <w:ind w:firstLine="709"/>
        <w:jc w:val="both"/>
        <w:rPr>
          <w:rFonts w:eastAsia="Calibri"/>
          <w:color w:val="000000"/>
          <w:lang w:eastAsia="en-US"/>
        </w:rPr>
      </w:pPr>
      <w:r w:rsidRPr="009E193A">
        <w:rPr>
          <w:rFonts w:eastAsia="Calibri"/>
          <w:color w:val="000000"/>
          <w:lang w:eastAsia="en-US"/>
        </w:rPr>
        <w:t>Activitatea de implementare în domeniul îngrăşămintelor s-a desfăşurat în baza Legii nr. 232/2010, privind regimul de import al mostrelor de îngrăşăminte şi al îngrăşămintelor,         R(CE) nr. 2003/2003 şi Ordinul nr. 6/2004. În cursul anului 2018 s-au eliberat 8 certificate de abilitare import îngrăşăminte chimice si biologice din ţări din afară U.E. În vederea postării pe site-ul ministerului a fost transmisă  lista importatorilor abilităţi.</w:t>
      </w:r>
    </w:p>
    <w:p w:rsidR="009E193A" w:rsidRPr="009E193A" w:rsidRDefault="009E193A" w:rsidP="00A77970">
      <w:pPr>
        <w:tabs>
          <w:tab w:val="left" w:pos="0"/>
        </w:tabs>
        <w:ind w:firstLine="709"/>
        <w:jc w:val="both"/>
        <w:rPr>
          <w:rFonts w:eastAsia="Calibri"/>
          <w:color w:val="000000"/>
          <w:lang w:eastAsia="en-US"/>
        </w:rPr>
      </w:pPr>
      <w:r w:rsidRPr="009E193A">
        <w:rPr>
          <w:rFonts w:eastAsia="Calibri"/>
          <w:color w:val="000000"/>
          <w:lang w:eastAsia="en-US"/>
        </w:rPr>
        <w:t>Activitatea de implementare în domeniul biomasei s-a desfăşurat în baza Ordinului   nr. 46/2012 privind aprobarea Procedurii de emitere a certificatului de origine pentru biomasă provenită din agricultură şi industriile conexe, utilizată drept combustibil sau materie primă pentru producţia de energie electrică şi Hotărârea nr. 856/2002 privind evidenţa gestiunii deşeurilor şi pentru aprobarea listei cuprinzând deşeurile, inclusiv deşeurile periculoase. În cursul anului 2018 au fost eliberate 2 certificate de origine pentru biomasă provenită din deşeuri, utilizată drept combustibil sau materie primă pentru producţia de energie electrică.</w:t>
      </w:r>
    </w:p>
    <w:p w:rsidR="009E193A" w:rsidRPr="009E193A" w:rsidRDefault="009E193A" w:rsidP="00A77970">
      <w:pPr>
        <w:tabs>
          <w:tab w:val="left" w:pos="0"/>
        </w:tabs>
        <w:ind w:firstLine="709"/>
        <w:jc w:val="both"/>
        <w:rPr>
          <w:rFonts w:eastAsia="Calibri"/>
          <w:color w:val="000000"/>
          <w:lang w:eastAsia="en-US"/>
        </w:rPr>
      </w:pPr>
      <w:r w:rsidRPr="009E193A">
        <w:rPr>
          <w:rFonts w:eastAsia="Calibri"/>
          <w:color w:val="000000"/>
          <w:lang w:eastAsia="en-US"/>
        </w:rPr>
        <w:t xml:space="preserve">Activitatea de implementare privind recunoaşterea grupurilor de producători s-a desfaşurat conform OG 32//2015 pentru modificarea si completarea OG 37/2005 privind recunoşterea si funcţionarea grupurilor şi organizţiilor de producători pentru comercializarea produselor agricole şi silvice. Au fost finalizate două documentatii in vederea obtinerii avizului de recunoastere ca şi grup de producător, aviz emis de către MADR. </w:t>
      </w:r>
    </w:p>
    <w:p w:rsidR="009E193A" w:rsidRPr="009E193A" w:rsidRDefault="009E193A" w:rsidP="00A77970">
      <w:pPr>
        <w:widowControl w:val="0"/>
        <w:tabs>
          <w:tab w:val="left" w:pos="0"/>
          <w:tab w:val="left" w:pos="1276"/>
          <w:tab w:val="left" w:pos="2034"/>
        </w:tabs>
        <w:ind w:firstLine="709"/>
        <w:jc w:val="both"/>
        <w:rPr>
          <w:rFonts w:eastAsia="Palatino Linotype"/>
          <w:lang w:bidi="ro-RO"/>
        </w:rPr>
      </w:pPr>
      <w:r w:rsidRPr="009E193A">
        <w:rPr>
          <w:rFonts w:eastAsia="Palatino Linotype"/>
          <w:lang w:bidi="ro-RO"/>
        </w:rPr>
        <w:t xml:space="preserve">În cursul anului 2018 s-au întocmit (lunar, trimestrial) şi s-au transmis la M.A.D.R un număr de </w:t>
      </w:r>
      <w:r w:rsidRPr="009E193A">
        <w:rPr>
          <w:rFonts w:eastAsia="Palatino Linotype"/>
          <w:b/>
          <w:lang w:bidi="ro-RO"/>
        </w:rPr>
        <w:t>21</w:t>
      </w:r>
      <w:r w:rsidRPr="009E193A">
        <w:rPr>
          <w:rFonts w:eastAsia="Palatino Linotype"/>
          <w:lang w:bidi="ro-RO"/>
        </w:rPr>
        <w:t xml:space="preserve"> de situaţii statistice, privind stocurile la produsele agricole, depozitele de cereale autorizate, certificatele de abilitare eliberate pentru importul de ingraşăminte, situaţia alcoolului etilic alimentar </w:t>
      </w:r>
      <w:r w:rsidRPr="009E193A">
        <w:rPr>
          <w:rFonts w:eastAsia="Palatino Linotype"/>
          <w:lang w:bidi="ro-RO"/>
        </w:rPr>
        <w:lastRenderedPageBreak/>
        <w:t>fabricat şi comercializat.</w:t>
      </w:r>
    </w:p>
    <w:p w:rsidR="009E193A" w:rsidRPr="009E193A" w:rsidRDefault="009E193A" w:rsidP="00A77970">
      <w:pPr>
        <w:widowControl w:val="0"/>
        <w:tabs>
          <w:tab w:val="left" w:pos="0"/>
          <w:tab w:val="left" w:pos="2034"/>
        </w:tabs>
        <w:ind w:firstLine="709"/>
        <w:jc w:val="both"/>
        <w:rPr>
          <w:rFonts w:eastAsia="Palatino Linotype"/>
          <w:lang w:bidi="ro-RO"/>
        </w:rPr>
      </w:pPr>
      <w:r w:rsidRPr="009E193A">
        <w:rPr>
          <w:rFonts w:eastAsia="Palatino Linotype"/>
          <w:lang w:bidi="ro-RO"/>
        </w:rPr>
        <w:t>A fost intocmită situaţia statistică a terenului pe categorii de folosinţă şi forme de proprietate.</w:t>
      </w:r>
    </w:p>
    <w:p w:rsidR="009E193A" w:rsidRPr="009E193A" w:rsidRDefault="009E193A" w:rsidP="00A77970">
      <w:pPr>
        <w:widowControl w:val="0"/>
        <w:tabs>
          <w:tab w:val="left" w:pos="0"/>
          <w:tab w:val="left" w:pos="2034"/>
        </w:tabs>
        <w:ind w:firstLine="709"/>
        <w:jc w:val="both"/>
        <w:rPr>
          <w:rFonts w:eastAsia="Calibri"/>
          <w:i/>
          <w:lang w:eastAsia="en-US"/>
        </w:rPr>
      </w:pPr>
      <w:r w:rsidRPr="009E193A">
        <w:rPr>
          <w:rFonts w:eastAsia="Palatino Linotype"/>
          <w:lang w:bidi="ro-RO"/>
        </w:rPr>
        <w:t xml:space="preserve">În cursul anului 2018 a fost emis </w:t>
      </w:r>
      <w:r w:rsidRPr="009E193A">
        <w:rPr>
          <w:rFonts w:eastAsia="Palatino Linotype"/>
          <w:b/>
          <w:lang w:bidi="ro-RO"/>
        </w:rPr>
        <w:t>un aviz comun</w:t>
      </w:r>
      <w:r w:rsidRPr="009E193A">
        <w:rPr>
          <w:rFonts w:eastAsia="Palatino Linotype"/>
          <w:lang w:bidi="ro-RO"/>
        </w:rPr>
        <w:t>, alături de OCPI Municipiul Bucureşti, privind reintroducerea în circuitul agricol a unui teren situat în sectorul 1.</w:t>
      </w:r>
      <w:r w:rsidRPr="009E193A">
        <w:rPr>
          <w:rFonts w:eastAsia="Calibri"/>
          <w:i/>
          <w:lang w:eastAsia="en-US"/>
        </w:rPr>
        <w:t xml:space="preserve">         </w:t>
      </w:r>
    </w:p>
    <w:p w:rsidR="009E193A" w:rsidRPr="009E193A" w:rsidRDefault="009E193A" w:rsidP="00A77970">
      <w:pPr>
        <w:widowControl w:val="0"/>
        <w:tabs>
          <w:tab w:val="left" w:pos="0"/>
          <w:tab w:val="left" w:pos="2034"/>
        </w:tabs>
        <w:ind w:firstLine="709"/>
        <w:jc w:val="both"/>
        <w:rPr>
          <w:rFonts w:eastAsia="Calibri"/>
          <w:i/>
          <w:lang w:eastAsia="en-US"/>
        </w:rPr>
      </w:pPr>
      <w:r w:rsidRPr="009E193A">
        <w:rPr>
          <w:rFonts w:eastAsia="Calibri"/>
          <w:color w:val="000000"/>
          <w:lang w:eastAsia="en-US"/>
        </w:rPr>
        <w:t xml:space="preserve">Conform HG. Nr. 943/2017, în anul 2018 a fost acordat </w:t>
      </w:r>
      <w:r w:rsidRPr="009E193A">
        <w:rPr>
          <w:rFonts w:eastAsia="Calibri"/>
          <w:b/>
          <w:color w:val="000000"/>
          <w:lang w:eastAsia="en-US"/>
        </w:rPr>
        <w:t>1 sprijin financiar</w:t>
      </w:r>
      <w:r w:rsidRPr="009E193A">
        <w:rPr>
          <w:rFonts w:eastAsia="Calibri"/>
          <w:color w:val="000000"/>
          <w:lang w:eastAsia="en-US"/>
        </w:rPr>
        <w:t xml:space="preserve"> în cuantum de 13.797,9 lei, pentru aprobarea schemei „</w:t>
      </w:r>
      <w:r w:rsidRPr="009E193A">
        <w:rPr>
          <w:rFonts w:eastAsia="Calibri"/>
          <w:i/>
          <w:color w:val="000000"/>
          <w:lang w:eastAsia="en-US"/>
        </w:rPr>
        <w:t>Ajutor de minimis pentru programului de susţinere a produsului tomate în spaţii protejate”</w:t>
      </w:r>
      <w:r w:rsidRPr="009E193A">
        <w:rPr>
          <w:rFonts w:eastAsia="Calibri"/>
          <w:color w:val="000000"/>
          <w:lang w:eastAsia="en-US"/>
        </w:rPr>
        <w:t>. D.A.M. Bucuresti a desfaşurat o campanie de promovare a programului, în pieţele agroalimentare de pe raza Municipiului Bucuresti. Astfel, au fost organizate întalniri de lucru cu producatorii agricoli carora li s-a adus la cunostinta conditiile de eligibilitate si accesare a programului de minimis pentru sustinerea produsului tomate în spaţii protejate.</w:t>
      </w:r>
    </w:p>
    <w:p w:rsidR="009E193A" w:rsidRPr="00663E01" w:rsidRDefault="009E193A" w:rsidP="00663E01">
      <w:pPr>
        <w:widowControl w:val="0"/>
        <w:tabs>
          <w:tab w:val="left" w:pos="0"/>
          <w:tab w:val="left" w:pos="540"/>
        </w:tabs>
        <w:ind w:firstLine="709"/>
        <w:jc w:val="both"/>
        <w:rPr>
          <w:rFonts w:eastAsia="Calibri"/>
          <w:color w:val="000000"/>
          <w:lang w:eastAsia="en-US"/>
        </w:rPr>
      </w:pPr>
      <w:r w:rsidRPr="009E193A">
        <w:rPr>
          <w:rFonts w:eastAsia="Calibri"/>
          <w:color w:val="000000"/>
          <w:lang w:eastAsia="en-US"/>
        </w:rPr>
        <w:t>În scopul încurajării consumului de produse agroalimentare şi tradiţionale, ziua de 10 octombrie a fost dedicată prin excelenţă promovării produselor agroalimentare romaneşti şi producătorului român. În acest scop, D.A.M. Bucuresti, alaturi de M.A.D.R a participat şi sprijinit în permanenţă campania de încurajare a consumului de produse agroalimentare şi tradiţionale. Evenimentul la care Directia pentru Agricultură a Municipiului Bucureşti a participat, în Parcul Izvor,  în perioada 10-14 octombrie, a reprezentat modalitatea de a pune faţă în faţă, într-un</w:t>
      </w:r>
      <w:r w:rsidRPr="009E193A">
        <w:rPr>
          <w:rFonts w:eastAsia="Palatino Linotype"/>
          <w:color w:val="000000"/>
          <w:lang w:eastAsia="en-US"/>
        </w:rPr>
        <w:t> </w:t>
      </w:r>
      <w:r w:rsidRPr="009E193A">
        <w:rPr>
          <w:rFonts w:eastAsia="Palatino Linotype"/>
          <w:bCs/>
          <w:color w:val="000000"/>
          <w:lang w:eastAsia="en-US"/>
        </w:rPr>
        <w:t>loc dedicat</w:t>
      </w:r>
      <w:r w:rsidRPr="009E193A">
        <w:rPr>
          <w:rFonts w:eastAsia="Calibri"/>
          <w:color w:val="000000"/>
          <w:lang w:eastAsia="en-US"/>
        </w:rPr>
        <w:t>, atât producătorul cât şi consumatorul, în scopul promovării produselor ro</w:t>
      </w:r>
      <w:r w:rsidR="00663E01">
        <w:rPr>
          <w:rFonts w:eastAsia="Calibri"/>
          <w:color w:val="000000"/>
          <w:lang w:eastAsia="en-US"/>
        </w:rPr>
        <w:t>mâneşti.</w:t>
      </w:r>
    </w:p>
    <w:p w:rsidR="009E193A" w:rsidRPr="009E193A" w:rsidRDefault="009E193A" w:rsidP="00A77970">
      <w:pPr>
        <w:widowControl w:val="0"/>
        <w:tabs>
          <w:tab w:val="left" w:pos="0"/>
        </w:tabs>
        <w:jc w:val="both"/>
        <w:rPr>
          <w:rFonts w:eastAsia="Palatino Linotype" w:cs="Palatino Linotype"/>
          <w:bCs/>
          <w:color w:val="000000"/>
          <w:lang w:eastAsia="en-US"/>
        </w:rPr>
      </w:pPr>
      <w:r>
        <w:rPr>
          <w:rFonts w:eastAsia="Palatino Linotype" w:cs="Palatino Linotype"/>
          <w:b/>
          <w:color w:val="000000"/>
          <w:lang w:bidi="ro-RO"/>
        </w:rPr>
        <w:tab/>
      </w:r>
      <w:r w:rsidRPr="009E193A">
        <w:rPr>
          <w:rFonts w:eastAsia="Palatino Linotype" w:cs="Palatino Linotype"/>
          <w:b/>
          <w:color w:val="000000"/>
          <w:lang w:bidi="ro-RO"/>
        </w:rPr>
        <w:t>Implementarea politicilor în industria alimentară şi de promovare a schemelor de calitate naţionale şi europene</w:t>
      </w:r>
    </w:p>
    <w:p w:rsidR="009E193A" w:rsidRPr="009E193A" w:rsidRDefault="009E193A" w:rsidP="00A77970">
      <w:pPr>
        <w:widowControl w:val="0"/>
        <w:tabs>
          <w:tab w:val="left" w:pos="0"/>
          <w:tab w:val="left" w:pos="2034"/>
        </w:tabs>
        <w:ind w:firstLine="709"/>
        <w:jc w:val="both"/>
        <w:rPr>
          <w:rFonts w:eastAsia="Palatino Linotype" w:cs="Palatino Linotype"/>
          <w:i/>
          <w:color w:val="000000"/>
          <w:lang w:bidi="ro-RO"/>
        </w:rPr>
      </w:pPr>
      <w:r w:rsidRPr="009E193A">
        <w:rPr>
          <w:rFonts w:eastAsia="Palatino Linotype" w:cs="Palatino Linotype"/>
          <w:i/>
          <w:color w:val="000000"/>
          <w:lang w:bidi="ro-RO"/>
        </w:rPr>
        <w:t>Produse tradiţionale şi produse obţinute conform reţetelor consacrate româneşti</w:t>
      </w:r>
    </w:p>
    <w:p w:rsidR="009E193A" w:rsidRPr="00663E01" w:rsidRDefault="009E193A" w:rsidP="00663E01">
      <w:pPr>
        <w:widowControl w:val="0"/>
        <w:tabs>
          <w:tab w:val="left" w:pos="0"/>
        </w:tabs>
        <w:ind w:firstLine="709"/>
        <w:jc w:val="both"/>
        <w:rPr>
          <w:rFonts w:eastAsia="Palatino Linotype" w:cs="Palatino Linotype"/>
          <w:i/>
          <w:color w:val="000000"/>
          <w:lang w:bidi="ro-RO"/>
        </w:rPr>
      </w:pPr>
      <w:r w:rsidRPr="009E193A">
        <w:rPr>
          <w:rFonts w:eastAsia="Palatino Linotype" w:cs="Palatino Linotype"/>
          <w:color w:val="000000"/>
          <w:lang w:bidi="ro-RO"/>
        </w:rPr>
        <w:t xml:space="preserve">A fost realizată informarea corectă a operatorilor economici privind legislaţia în vigoare pentru obţinerea de </w:t>
      </w:r>
      <w:r w:rsidRPr="009E193A">
        <w:rPr>
          <w:rFonts w:eastAsia="Palatino Linotype" w:cs="Palatino Linotype"/>
          <w:b/>
          <w:color w:val="000000"/>
          <w:lang w:bidi="ro-RO"/>
        </w:rPr>
        <w:t>produse tradiţionale şi produse obţinute conform reţetelor consacrate româneşti</w:t>
      </w:r>
      <w:r w:rsidRPr="009E193A">
        <w:rPr>
          <w:rFonts w:eastAsia="Palatino Linotype" w:cs="Palatino Linotype"/>
          <w:color w:val="000000"/>
          <w:lang w:bidi="ro-RO"/>
        </w:rPr>
        <w:t xml:space="preserve">. În cursul anului 2018,  s-au atestat de la </w:t>
      </w:r>
      <w:r w:rsidRPr="009E193A">
        <w:rPr>
          <w:rFonts w:eastAsia="Palatino Linotype" w:cs="Palatino Linotype"/>
          <w:b/>
          <w:color w:val="000000"/>
          <w:lang w:bidi="ro-RO"/>
        </w:rPr>
        <w:t>SC Plăcinta Boierului SRL</w:t>
      </w:r>
      <w:r w:rsidRPr="009E193A">
        <w:rPr>
          <w:rFonts w:eastAsia="Palatino Linotype" w:cs="Palatino Linotype"/>
          <w:color w:val="000000"/>
          <w:lang w:bidi="ro-RO"/>
        </w:rPr>
        <w:t xml:space="preserve">, urmatoarele produsele: </w:t>
      </w:r>
      <w:r w:rsidRPr="009E193A">
        <w:rPr>
          <w:rFonts w:eastAsia="Palatino Linotype" w:cs="Palatino Linotype"/>
          <w:i/>
          <w:color w:val="000000"/>
          <w:lang w:bidi="ro-RO"/>
        </w:rPr>
        <w:t>placinta boierească  cu brânză dulce şi stafide; plăcinta boierească  cu dovleac; plăcinta boierească cu brânza sărată; plăcinta boierească</w:t>
      </w:r>
      <w:r w:rsidRPr="009E193A">
        <w:rPr>
          <w:rFonts w:eastAsia="Palatino Linotype" w:cs="Palatino Linotype"/>
          <w:color w:val="000000"/>
          <w:lang w:bidi="ro-RO"/>
        </w:rPr>
        <w:t xml:space="preserve">  </w:t>
      </w:r>
      <w:r w:rsidRPr="009E193A">
        <w:rPr>
          <w:rFonts w:eastAsia="Palatino Linotype" w:cs="Palatino Linotype"/>
          <w:i/>
          <w:color w:val="000000"/>
          <w:lang w:bidi="ro-RO"/>
        </w:rPr>
        <w:t>cu mere</w:t>
      </w:r>
      <w:r w:rsidRPr="009E193A">
        <w:rPr>
          <w:rFonts w:eastAsia="Palatino Linotype" w:cs="Palatino Linotype"/>
          <w:color w:val="000000"/>
          <w:lang w:bidi="ro-RO"/>
        </w:rPr>
        <w:t xml:space="preserve">, conform Ordinului nr. 724/29 iulie 2013. Conform Ordinului nr.394 din 12 martie 2014, privind atestarea produselor alimentare obţinute conform reţetelor consacrate româneşti, s-au atestat de la </w:t>
      </w:r>
      <w:r w:rsidRPr="009E193A">
        <w:rPr>
          <w:rFonts w:eastAsia="Palatino Linotype" w:cs="Palatino Linotype"/>
          <w:b/>
          <w:color w:val="000000"/>
          <w:lang w:bidi="ro-RO"/>
        </w:rPr>
        <w:t>Beschiu Maria Intreprindere Familială,</w:t>
      </w:r>
      <w:r w:rsidRPr="009E193A">
        <w:rPr>
          <w:rFonts w:eastAsia="Palatino Linotype" w:cs="Palatino Linotype"/>
          <w:color w:val="000000"/>
          <w:lang w:bidi="ro-RO"/>
        </w:rPr>
        <w:t xml:space="preserve"> următoarele produse consacrate</w:t>
      </w:r>
      <w:r w:rsidRPr="009E193A">
        <w:rPr>
          <w:rFonts w:eastAsia="Palatino Linotype" w:cs="Palatino Linotype"/>
          <w:i/>
          <w:color w:val="000000"/>
          <w:lang w:bidi="ro-RO"/>
        </w:rPr>
        <w:t>: muşchi file afumat; jambon afumat fără os; parizer; crenvuşti cu carne de vită; salam T</w:t>
      </w:r>
      <w:r w:rsidR="00663E01">
        <w:rPr>
          <w:rFonts w:eastAsia="Palatino Linotype" w:cs="Palatino Linotype"/>
          <w:i/>
          <w:color w:val="000000"/>
          <w:lang w:bidi="ro-RO"/>
        </w:rPr>
        <w:t>orpedo; ciolan presat; cabanos.</w:t>
      </w:r>
    </w:p>
    <w:p w:rsidR="009E193A" w:rsidRPr="009E193A" w:rsidRDefault="009E193A" w:rsidP="00A77970">
      <w:pPr>
        <w:widowControl w:val="0"/>
        <w:tabs>
          <w:tab w:val="left" w:pos="0"/>
        </w:tabs>
        <w:jc w:val="both"/>
        <w:rPr>
          <w:rFonts w:eastAsia="Palatino Linotype"/>
          <w:bCs/>
          <w:i/>
          <w:lang w:bidi="ro-RO"/>
        </w:rPr>
      </w:pPr>
      <w:r w:rsidRPr="009E193A">
        <w:rPr>
          <w:rFonts w:eastAsia="Palatino Linotype" w:cs="Palatino Linotype"/>
          <w:bCs/>
          <w:color w:val="000000"/>
          <w:lang w:bidi="ro-RO"/>
        </w:rPr>
        <w:tab/>
        <w:t xml:space="preserve">Activitatea privind </w:t>
      </w:r>
      <w:r w:rsidRPr="009E193A">
        <w:rPr>
          <w:rFonts w:eastAsia="Palatino Linotype"/>
          <w:bCs/>
          <w:i/>
          <w:lang w:bidi="ro-RO"/>
        </w:rPr>
        <w:t>Formare</w:t>
      </w:r>
      <w:r w:rsidRPr="009E193A">
        <w:rPr>
          <w:rFonts w:eastAsia="Palatino Linotype" w:cs="Palatino Linotype"/>
          <w:bCs/>
          <w:i/>
          <w:color w:val="000000"/>
          <w:lang w:bidi="ro-RO"/>
        </w:rPr>
        <w:t>a</w:t>
      </w:r>
      <w:r w:rsidRPr="009E193A">
        <w:rPr>
          <w:rFonts w:eastAsia="Palatino Linotype"/>
          <w:bCs/>
          <w:i/>
          <w:lang w:bidi="ro-RO"/>
        </w:rPr>
        <w:t xml:space="preserve"> profesională, promovare</w:t>
      </w:r>
      <w:r w:rsidRPr="009E193A">
        <w:rPr>
          <w:rFonts w:eastAsia="Palatino Linotype" w:cs="Palatino Linotype"/>
          <w:bCs/>
          <w:i/>
          <w:color w:val="000000"/>
          <w:lang w:bidi="ro-RO"/>
        </w:rPr>
        <w:t>a</w:t>
      </w:r>
      <w:r w:rsidRPr="009E193A">
        <w:rPr>
          <w:rFonts w:eastAsia="Palatino Linotype"/>
          <w:bCs/>
          <w:i/>
          <w:lang w:bidi="ro-RO"/>
        </w:rPr>
        <w:t xml:space="preserve"> şi elaborare</w:t>
      </w:r>
      <w:r w:rsidRPr="009E193A">
        <w:rPr>
          <w:rFonts w:eastAsia="Palatino Linotype" w:cs="Palatino Linotype"/>
          <w:bCs/>
          <w:i/>
          <w:color w:val="000000"/>
          <w:lang w:bidi="ro-RO"/>
        </w:rPr>
        <w:t>a de</w:t>
      </w:r>
      <w:r w:rsidRPr="009E193A">
        <w:rPr>
          <w:rFonts w:eastAsia="Palatino Linotype"/>
          <w:bCs/>
          <w:i/>
          <w:lang w:bidi="ro-RO"/>
        </w:rPr>
        <w:t xml:space="preserve"> proiecte </w:t>
      </w:r>
    </w:p>
    <w:p w:rsidR="009E193A" w:rsidRPr="009E193A" w:rsidRDefault="009E193A" w:rsidP="00A77970">
      <w:pPr>
        <w:tabs>
          <w:tab w:val="left" w:pos="0"/>
        </w:tabs>
        <w:ind w:firstLine="709"/>
        <w:jc w:val="both"/>
        <w:rPr>
          <w:rFonts w:eastAsia="Calibri"/>
          <w:b/>
          <w:color w:val="000000"/>
          <w:lang w:bidi="ro-RO"/>
        </w:rPr>
      </w:pPr>
      <w:r w:rsidRPr="009E193A">
        <w:rPr>
          <w:rFonts w:eastAsia="Calibri"/>
          <w:color w:val="000000"/>
          <w:lang w:bidi="ro-RO"/>
        </w:rPr>
        <w:t xml:space="preserve">În anul 2018, au fost organizate cursuri privind implementarea angajamentelor încheiate în cadrul </w:t>
      </w:r>
      <w:r w:rsidRPr="009E193A">
        <w:rPr>
          <w:rFonts w:eastAsia="Calibri"/>
          <w:i/>
          <w:color w:val="000000"/>
          <w:lang w:bidi="ro-RO"/>
        </w:rPr>
        <w:t xml:space="preserve">Măsurii 10 – agromediu şi climă, şi a Măsurii 11 – Agricultură ecologică </w:t>
      </w:r>
      <w:r w:rsidRPr="009E193A">
        <w:rPr>
          <w:rFonts w:eastAsia="Calibri"/>
          <w:color w:val="000000"/>
          <w:lang w:bidi="ro-RO"/>
        </w:rPr>
        <w:t xml:space="preserve">în urma cărora au fost eliberate </w:t>
      </w:r>
      <w:r w:rsidRPr="009E193A">
        <w:rPr>
          <w:rFonts w:eastAsia="Calibri"/>
          <w:b/>
          <w:color w:val="000000"/>
          <w:lang w:bidi="ro-RO"/>
        </w:rPr>
        <w:t>27</w:t>
      </w:r>
      <w:r w:rsidRPr="009E193A">
        <w:rPr>
          <w:rFonts w:eastAsia="Calibri"/>
          <w:color w:val="000000"/>
          <w:lang w:bidi="ro-RO"/>
        </w:rPr>
        <w:t xml:space="preserve"> certificate de participare, obţinându-se în acelaşi timp şi venituri proprii în valoare de 4050 lei.</w:t>
      </w:r>
    </w:p>
    <w:p w:rsidR="009E193A" w:rsidRPr="009E193A" w:rsidRDefault="009E193A" w:rsidP="00A77970">
      <w:pPr>
        <w:widowControl w:val="0"/>
        <w:tabs>
          <w:tab w:val="left" w:pos="0"/>
          <w:tab w:val="left" w:pos="851"/>
          <w:tab w:val="left" w:pos="1701"/>
        </w:tabs>
        <w:ind w:firstLine="709"/>
        <w:jc w:val="both"/>
        <w:rPr>
          <w:rFonts w:eastAsia="Palatino Linotype"/>
          <w:bCs/>
          <w:color w:val="000000"/>
        </w:rPr>
      </w:pPr>
      <w:r w:rsidRPr="009E193A">
        <w:rPr>
          <w:rFonts w:eastAsia="Palatino Linotype"/>
          <w:bCs/>
          <w:color w:val="000000"/>
        </w:rPr>
        <w:t>Cu aceeaşi ocazie a fost efectuată o campanie de informare a potenţialilor beneficiari  privind oportunitaţile de accesare a măsurilor de sprijin  în cadrul PNDR 2014 – 2020, a schemelor de plăţi directe si ajutoare naţionale tranzitorii care se aplică în agricultură.</w:t>
      </w:r>
    </w:p>
    <w:p w:rsidR="009E193A" w:rsidRPr="009E193A" w:rsidRDefault="009E193A" w:rsidP="00A77970">
      <w:pPr>
        <w:widowControl w:val="0"/>
        <w:tabs>
          <w:tab w:val="left" w:pos="0"/>
          <w:tab w:val="left" w:pos="851"/>
          <w:tab w:val="left" w:pos="1701"/>
        </w:tabs>
        <w:ind w:firstLine="709"/>
        <w:jc w:val="both"/>
        <w:rPr>
          <w:rFonts w:eastAsia="Palatino Linotype"/>
          <w:bCs/>
          <w:color w:val="000000"/>
        </w:rPr>
      </w:pPr>
      <w:r w:rsidRPr="009E193A">
        <w:rPr>
          <w:rFonts w:eastAsia="Palatino Linotype"/>
          <w:bCs/>
          <w:color w:val="000000"/>
        </w:rPr>
        <w:t xml:space="preserve">Urmare a acestei campanii a fost elaborat </w:t>
      </w:r>
      <w:r w:rsidRPr="009E193A">
        <w:rPr>
          <w:rFonts w:eastAsia="Palatino Linotype"/>
          <w:b/>
          <w:bCs/>
          <w:color w:val="000000"/>
        </w:rPr>
        <w:t>un proiect</w:t>
      </w:r>
      <w:r w:rsidRPr="009E193A">
        <w:rPr>
          <w:rFonts w:eastAsia="Palatino Linotype"/>
          <w:bCs/>
          <w:color w:val="000000"/>
        </w:rPr>
        <w:t xml:space="preserve"> în cadrul submăsurii 6.3 PNDR- Sprijin pentru dezvoltarea fermelor mici, în valoare de 15.000 euro, proiect ce a fost depus la AFIR si aprobat la finanţare</w:t>
      </w:r>
    </w:p>
    <w:p w:rsidR="009E193A" w:rsidRPr="009E193A" w:rsidRDefault="009E193A" w:rsidP="00A77970">
      <w:pPr>
        <w:tabs>
          <w:tab w:val="left" w:pos="0"/>
        </w:tabs>
        <w:autoSpaceDE w:val="0"/>
        <w:autoSpaceDN w:val="0"/>
        <w:adjustRightInd w:val="0"/>
        <w:ind w:firstLine="709"/>
        <w:jc w:val="both"/>
        <w:rPr>
          <w:rFonts w:eastAsia="Calibri"/>
          <w:bCs/>
          <w:color w:val="000000"/>
          <w:lang w:val="en-US" w:eastAsia="en-US"/>
        </w:rPr>
      </w:pPr>
      <w:r w:rsidRPr="009E193A">
        <w:rPr>
          <w:rFonts w:eastAsia="Calibri"/>
          <w:bCs/>
          <w:color w:val="000000"/>
        </w:rPr>
        <w:t>A fost publicat în revista de specialitate Agricultura 365”, (Anul VI, Nr. 28, martie- aprilie 2018) articolul „</w:t>
      </w:r>
      <w:r w:rsidRPr="009E193A">
        <w:rPr>
          <w:rFonts w:eastAsia="Calibri"/>
          <w:bCs/>
          <w:i/>
          <w:color w:val="000000"/>
          <w:lang w:val="en-US" w:eastAsia="en-US"/>
        </w:rPr>
        <w:t>Prevenirea săvârşirii de contravenţii în domeniul valorificării legumelor şi fructelor</w:t>
      </w:r>
      <w:r w:rsidRPr="009E193A">
        <w:rPr>
          <w:rFonts w:eastAsia="Calibri"/>
          <w:bCs/>
          <w:color w:val="000000"/>
          <w:lang w:val="en-US" w:eastAsia="en-US"/>
        </w:rPr>
        <w:t xml:space="preserve">” </w:t>
      </w:r>
      <w:r w:rsidRPr="009E193A">
        <w:rPr>
          <w:rFonts w:eastAsia="Calibri"/>
          <w:bCs/>
          <w:color w:val="000000"/>
        </w:rPr>
        <w:t>iar pe site-ul propriu al instituţiei au fost postate articole cu diverse teme de interes.</w:t>
      </w:r>
    </w:p>
    <w:p w:rsidR="009E193A" w:rsidRPr="009E193A" w:rsidRDefault="009E193A" w:rsidP="00A77970">
      <w:pPr>
        <w:tabs>
          <w:tab w:val="left" w:pos="0"/>
          <w:tab w:val="left" w:pos="4956"/>
        </w:tabs>
        <w:ind w:firstLine="709"/>
        <w:jc w:val="both"/>
        <w:rPr>
          <w:rFonts w:eastAsia="Calibri"/>
          <w:bCs/>
          <w:color w:val="000000"/>
          <w:shd w:val="clear" w:color="auto" w:fill="FFFFFF"/>
          <w:lang w:eastAsia="en-US"/>
        </w:rPr>
      </w:pPr>
      <w:r w:rsidRPr="009E193A">
        <w:rPr>
          <w:rFonts w:eastAsia="Calibri"/>
          <w:bCs/>
          <w:color w:val="000000"/>
          <w:shd w:val="clear" w:color="auto" w:fill="FFFFFF"/>
          <w:lang w:eastAsia="en-US"/>
        </w:rPr>
        <w:t xml:space="preserve">Au fost desfaşurate activitaţi de consiliere şi informare a fermierilor, în cadrul campaniei de depunere a cererii unice de plata la APIA, prin care Direcţia pentru Agricultură a Municipiului Bucureşti, a asigurat difuzarea de materiale informative (pliante si broşuri) privind masurile de plată directe de către APIA. În urma acestei campanii au fost contactaţi si informaţi un număr de </w:t>
      </w:r>
      <w:r w:rsidRPr="009E193A">
        <w:rPr>
          <w:rFonts w:eastAsia="Calibri"/>
          <w:b/>
          <w:bCs/>
          <w:color w:val="000000"/>
          <w:shd w:val="clear" w:color="auto" w:fill="FFFFFF"/>
          <w:lang w:eastAsia="en-US"/>
        </w:rPr>
        <w:t>185</w:t>
      </w:r>
      <w:r w:rsidRPr="009E193A">
        <w:rPr>
          <w:rFonts w:eastAsia="Calibri"/>
          <w:bCs/>
          <w:color w:val="000000"/>
          <w:shd w:val="clear" w:color="auto" w:fill="FFFFFF"/>
          <w:lang w:eastAsia="en-US"/>
        </w:rPr>
        <w:t xml:space="preserve"> fermieri.</w:t>
      </w:r>
    </w:p>
    <w:p w:rsidR="009E193A" w:rsidRPr="009E193A" w:rsidRDefault="009E193A" w:rsidP="00A77970">
      <w:pPr>
        <w:tabs>
          <w:tab w:val="left" w:pos="0"/>
          <w:tab w:val="left" w:pos="900"/>
          <w:tab w:val="left" w:pos="4956"/>
        </w:tabs>
        <w:ind w:firstLine="709"/>
        <w:jc w:val="both"/>
        <w:rPr>
          <w:rFonts w:eastAsia="Calibri"/>
          <w:bCs/>
          <w:color w:val="000000"/>
          <w:shd w:val="clear" w:color="auto" w:fill="FFFFFF"/>
          <w:lang w:eastAsia="en-US"/>
        </w:rPr>
      </w:pPr>
      <w:r w:rsidRPr="009E193A">
        <w:rPr>
          <w:rFonts w:eastAsia="Calibri"/>
          <w:bCs/>
          <w:color w:val="000000"/>
          <w:shd w:val="clear" w:color="auto" w:fill="FFFFFF"/>
          <w:lang w:eastAsia="en-US"/>
        </w:rPr>
        <w:t xml:space="preserve">Pentru consultanţa si formare profesională au fost desfaşurate şi activitaţi de informarea a fermerilor privind: practici, tehnologii în sistem ecologic şi forme de sprijin alocate în acest domeniu; </w:t>
      </w:r>
      <w:r w:rsidRPr="009E193A">
        <w:rPr>
          <w:rFonts w:eastAsia="Calibri"/>
          <w:bCs/>
          <w:color w:val="000000"/>
          <w:shd w:val="clear" w:color="auto" w:fill="FFFFFF"/>
          <w:lang w:eastAsia="en-US"/>
        </w:rPr>
        <w:lastRenderedPageBreak/>
        <w:t>adaptarea agriculturii la efectele schimbărilor climatice; legislatie agricultura ecologică; norme de ecocondiţionalitate.</w:t>
      </w:r>
    </w:p>
    <w:p w:rsidR="009E193A" w:rsidRPr="009E193A" w:rsidRDefault="009E193A" w:rsidP="00A77970">
      <w:pPr>
        <w:tabs>
          <w:tab w:val="left" w:pos="0"/>
          <w:tab w:val="left" w:pos="4956"/>
        </w:tabs>
        <w:ind w:firstLine="709"/>
        <w:jc w:val="both"/>
        <w:rPr>
          <w:rFonts w:eastAsia="Calibri"/>
          <w:bCs/>
          <w:color w:val="000000"/>
          <w:shd w:val="clear" w:color="auto" w:fill="FFFFFF"/>
          <w:lang w:eastAsia="en-US"/>
        </w:rPr>
      </w:pPr>
      <w:r w:rsidRPr="009E193A">
        <w:rPr>
          <w:rFonts w:eastAsia="Calibri"/>
          <w:bCs/>
          <w:color w:val="000000"/>
          <w:shd w:val="clear" w:color="auto" w:fill="FFFFFF"/>
          <w:lang w:eastAsia="en-US"/>
        </w:rPr>
        <w:t xml:space="preserve">În cadrul unor acţiuni realizate în pieţele agroalimentare din Bucureşti au fost distribuite materiale informative, flyere privind modificările legislative efectuate în anul 2018 în domeniul comercializării legumelor şi fructelor, a comercializării produselor tradiţionale, consacrate, a celor cu indicaţie geografică, a combaterii pestei africane, a pestei micilor rumegătoare cât şi informaţii privind accesarea submăsurii 4.2 PNDR -Sprijin pentru investiţii in procesare / marketingul produselor agricole – proiecte abatoare mobile.  </w:t>
      </w:r>
    </w:p>
    <w:p w:rsidR="009E193A" w:rsidRPr="009E193A" w:rsidRDefault="009E193A" w:rsidP="00A77970">
      <w:pPr>
        <w:tabs>
          <w:tab w:val="left" w:pos="0"/>
          <w:tab w:val="left" w:pos="4956"/>
        </w:tabs>
        <w:ind w:firstLine="709"/>
        <w:jc w:val="both"/>
        <w:rPr>
          <w:rFonts w:eastAsia="Calibri"/>
          <w:bCs/>
          <w:color w:val="000000"/>
          <w:shd w:val="clear" w:color="auto" w:fill="FFFFFF"/>
          <w:lang w:eastAsia="en-US"/>
        </w:rPr>
      </w:pPr>
      <w:r w:rsidRPr="009E193A">
        <w:rPr>
          <w:rFonts w:eastAsia="Calibri"/>
          <w:bCs/>
          <w:color w:val="000000"/>
          <w:shd w:val="clear" w:color="auto" w:fill="FFFFFF"/>
          <w:lang w:eastAsia="en-US"/>
        </w:rPr>
        <w:t xml:space="preserve">Având in vedere specificul activităţii, în anul 2018, a fost obtinută </w:t>
      </w:r>
      <w:r w:rsidRPr="009E193A">
        <w:rPr>
          <w:rFonts w:eastAsia="Calibri"/>
          <w:b/>
          <w:bCs/>
          <w:color w:val="000000"/>
          <w:shd w:val="clear" w:color="auto" w:fill="FFFFFF"/>
          <w:lang w:eastAsia="en-US"/>
        </w:rPr>
        <w:t>acreditarea</w:t>
      </w:r>
      <w:r w:rsidRPr="009E193A">
        <w:rPr>
          <w:rFonts w:eastAsia="Calibri"/>
          <w:bCs/>
          <w:color w:val="000000"/>
          <w:shd w:val="clear" w:color="auto" w:fill="FFFFFF"/>
          <w:lang w:eastAsia="en-US"/>
        </w:rPr>
        <w:t xml:space="preserve"> pentru desfaşurarea cursului „Operator în ferme ecologice mixte”, D.A.M Bucureşti devenind Furnizor de Formare Profesională.</w:t>
      </w:r>
    </w:p>
    <w:p w:rsidR="009E193A" w:rsidRPr="009E193A" w:rsidRDefault="009E193A" w:rsidP="00A77970">
      <w:pPr>
        <w:widowControl w:val="0"/>
        <w:tabs>
          <w:tab w:val="left" w:pos="0"/>
        </w:tabs>
        <w:ind w:firstLine="709"/>
        <w:jc w:val="both"/>
        <w:rPr>
          <w:rFonts w:eastAsia="Palatino Linotype" w:cs="Palatino Linotype"/>
          <w:bCs/>
          <w:color w:val="000000"/>
          <w:lang w:bidi="ro-RO"/>
        </w:rPr>
      </w:pPr>
      <w:r w:rsidRPr="009E193A">
        <w:rPr>
          <w:rFonts w:eastAsia="Palatino Linotype" w:cs="Palatino Linotype"/>
          <w:b/>
          <w:color w:val="000000"/>
          <w:lang w:bidi="ro-RO"/>
        </w:rPr>
        <w:t>Indicatorii de performanţă</w:t>
      </w:r>
      <w:r w:rsidRPr="009E193A">
        <w:rPr>
          <w:rFonts w:eastAsia="Palatino Linotype" w:cs="Palatino Linotype"/>
          <w:color w:val="000000"/>
          <w:lang w:bidi="ro-RO"/>
        </w:rPr>
        <w:t xml:space="preserve"> aferenţi activităţilor menţionate mai sus sunt: corectitudinea situaţiilor intocmite şi încadrarea strictă în termenele de raportare către M.A.D.R.; planificarea obligatorie a verificărilor în teren în urma solicitărilor primite pentru emiterea de autorizaţii de defrişare şi pentru avize consultative; încadrarea în termen privind transmiterea </w:t>
      </w:r>
      <w:r w:rsidRPr="009E193A">
        <w:rPr>
          <w:rFonts w:eastAsia="Palatino Linotype" w:cs="Palatino Linotype"/>
          <w:bCs/>
          <w:color w:val="000000"/>
          <w:lang w:bidi="ro-RO"/>
        </w:rPr>
        <w:t xml:space="preserve">Centralizatorului operatorilor înregistraţi în agricultura ecologică; eliberarea certificatelor de abilitare numai pentru produsele ce se regăsesc în lista îngrăşămintelor chimice şi biologice autorizate; </w:t>
      </w:r>
      <w:r w:rsidRPr="009E193A">
        <w:rPr>
          <w:rFonts w:eastAsia="Calibri"/>
          <w:color w:val="000000"/>
          <w:lang w:eastAsia="en-US"/>
        </w:rPr>
        <w:t>eliberarea certificatelor de origine</w:t>
      </w:r>
      <w:r w:rsidRPr="009E193A">
        <w:rPr>
          <w:rFonts w:eastAsia="Calibri"/>
          <w:i/>
          <w:color w:val="000000"/>
          <w:lang w:eastAsia="en-US"/>
        </w:rPr>
        <w:t xml:space="preserve"> </w:t>
      </w:r>
      <w:r w:rsidRPr="009E193A">
        <w:rPr>
          <w:rFonts w:eastAsia="Calibri"/>
          <w:color w:val="000000"/>
          <w:lang w:eastAsia="en-US"/>
        </w:rPr>
        <w:t xml:space="preserve">pentru biomasa provenită din deşeuri, utilizată drept combustibil sau materie primă pentru producţia de energie electrică; </w:t>
      </w:r>
      <w:r w:rsidRPr="009E193A">
        <w:rPr>
          <w:rFonts w:eastAsia="Palatino Linotype" w:cs="Palatino Linotype"/>
          <w:bCs/>
          <w:color w:val="000000"/>
          <w:lang w:bidi="ro-RO"/>
        </w:rPr>
        <w:t xml:space="preserve">dovada îndeplinirii condiţiilor privind tradiţionalitatea produsului alimentar pentru care s-a solicitat atestatul; obţinerea de venituri proprii în urma efectuării de cursuri de iniţiere. </w:t>
      </w:r>
    </w:p>
    <w:p w:rsidR="009E193A" w:rsidRPr="00663E01" w:rsidRDefault="009E193A" w:rsidP="00A77970">
      <w:pPr>
        <w:widowControl w:val="0"/>
        <w:tabs>
          <w:tab w:val="left" w:pos="0"/>
          <w:tab w:val="left" w:pos="851"/>
          <w:tab w:val="left" w:pos="1701"/>
        </w:tabs>
        <w:ind w:firstLine="709"/>
        <w:jc w:val="both"/>
        <w:rPr>
          <w:rFonts w:eastAsia="Palatino Linotype" w:cs="Palatino Linotype"/>
          <w:bCs/>
          <w:color w:val="000000"/>
          <w:lang w:bidi="ro-RO"/>
        </w:rPr>
      </w:pPr>
      <w:r w:rsidRPr="009E193A">
        <w:rPr>
          <w:rFonts w:eastAsia="Palatino Linotype" w:cs="Palatino Linotype"/>
          <w:bCs/>
          <w:color w:val="000000"/>
          <w:lang w:bidi="ro-RO"/>
        </w:rPr>
        <w:t>Gradul de îndeplinire al activitaţ</w:t>
      </w:r>
      <w:r w:rsidR="00663E01">
        <w:rPr>
          <w:rFonts w:eastAsia="Palatino Linotype" w:cs="Palatino Linotype"/>
          <w:bCs/>
          <w:color w:val="000000"/>
          <w:lang w:bidi="ro-RO"/>
        </w:rPr>
        <w:t>ilor menţionate a fost de 100%.</w:t>
      </w:r>
    </w:p>
    <w:p w:rsidR="009E193A" w:rsidRPr="009E193A" w:rsidRDefault="009E193A" w:rsidP="00A77970">
      <w:pPr>
        <w:tabs>
          <w:tab w:val="left" w:pos="0"/>
        </w:tabs>
        <w:jc w:val="both"/>
        <w:rPr>
          <w:rFonts w:eastAsia="Calibri"/>
          <w:b/>
          <w:lang w:eastAsia="en-US"/>
        </w:rPr>
      </w:pPr>
      <w:r>
        <w:rPr>
          <w:rFonts w:eastAsia="Calibri"/>
          <w:b/>
          <w:lang w:eastAsia="en-US"/>
        </w:rPr>
        <w:tab/>
      </w:r>
      <w:r w:rsidRPr="009E193A">
        <w:rPr>
          <w:rFonts w:eastAsia="Calibri"/>
          <w:b/>
          <w:lang w:eastAsia="en-US"/>
        </w:rPr>
        <w:t>Monitorizare, inspecţii tehnice, verificare şi control în domeniul agriculturii şi industriei alimentare şi statistică agricolă, monitorizare piaţă</w:t>
      </w:r>
    </w:p>
    <w:p w:rsidR="009E193A" w:rsidRPr="009E193A" w:rsidRDefault="009E193A" w:rsidP="00A77970">
      <w:pPr>
        <w:tabs>
          <w:tab w:val="left" w:pos="0"/>
        </w:tabs>
        <w:jc w:val="both"/>
        <w:rPr>
          <w:rFonts w:eastAsia="Calibri"/>
          <w:i/>
          <w:lang w:eastAsia="en-US"/>
        </w:rPr>
      </w:pPr>
      <w:r w:rsidRPr="009E193A">
        <w:rPr>
          <w:rFonts w:eastAsia="Palatino Linotype" w:cs="Palatino Linotype"/>
          <w:bCs/>
          <w:color w:val="000000"/>
          <w:lang w:bidi="ro-RO"/>
        </w:rPr>
        <w:tab/>
        <w:t xml:space="preserve">Activitatea privind </w:t>
      </w:r>
      <w:r w:rsidRPr="009E193A">
        <w:rPr>
          <w:rFonts w:eastAsia="Calibri"/>
          <w:i/>
          <w:lang w:eastAsia="en-US"/>
        </w:rPr>
        <w:t xml:space="preserve">Inspecţia de Stat pentru Controlul Tehnic Vitivinicol </w:t>
      </w:r>
      <w:r w:rsidRPr="009E193A">
        <w:rPr>
          <w:rFonts w:eastAsia="Calibri"/>
          <w:color w:val="000000"/>
          <w:lang w:eastAsia="en-US"/>
        </w:rPr>
        <w:t>s-a desfăşurat în anul 2018 în baza</w:t>
      </w:r>
      <w:r w:rsidRPr="009E193A">
        <w:rPr>
          <w:rFonts w:eastAsia="Calibri"/>
          <w:b/>
          <w:color w:val="000000"/>
          <w:lang w:eastAsia="en-US"/>
        </w:rPr>
        <w:t xml:space="preserve"> </w:t>
      </w:r>
      <w:r w:rsidRPr="009E193A">
        <w:rPr>
          <w:rFonts w:eastAsia="Calibri"/>
          <w:color w:val="000000"/>
          <w:lang w:eastAsia="en-US"/>
        </w:rPr>
        <w:t>legislaţiei specifice domeniului</w:t>
      </w:r>
      <w:r w:rsidRPr="009E193A">
        <w:rPr>
          <w:rFonts w:eastAsia="Calibri"/>
          <w:b/>
          <w:color w:val="000000"/>
          <w:lang w:eastAsia="en-US"/>
        </w:rPr>
        <w:t xml:space="preserve"> </w:t>
      </w:r>
      <w:r w:rsidRPr="009E193A">
        <w:rPr>
          <w:rFonts w:eastAsia="Calibri"/>
          <w:color w:val="000000"/>
          <w:lang w:eastAsia="en-US"/>
        </w:rPr>
        <w:t>respectiv: Legea nr. 164/2015; H.G. 512/2016; Ordinul 146/2017; Ordinul nr. 234/2004; Ordinul nr. 145/2017 şi Ordinul nr. 80/2010 după cum urmează</w:t>
      </w:r>
      <w:r w:rsidRPr="009E193A">
        <w:rPr>
          <w:rFonts w:ascii="Calibri" w:eastAsia="Calibri" w:hAnsi="Calibri"/>
          <w:color w:val="000000"/>
          <w:sz w:val="22"/>
          <w:szCs w:val="22"/>
          <w:lang w:eastAsia="en-US"/>
        </w:rPr>
        <w:t>:</w:t>
      </w:r>
    </w:p>
    <w:p w:rsidR="009E193A" w:rsidRPr="009E193A" w:rsidRDefault="009E193A" w:rsidP="00A77970">
      <w:pPr>
        <w:tabs>
          <w:tab w:val="left" w:pos="0"/>
        </w:tabs>
        <w:ind w:firstLine="709"/>
        <w:jc w:val="both"/>
        <w:rPr>
          <w:rFonts w:eastAsia="Calibri"/>
          <w:color w:val="000000"/>
          <w:lang w:eastAsia="en-US"/>
        </w:rPr>
      </w:pPr>
      <w:r w:rsidRPr="009E193A">
        <w:rPr>
          <w:rFonts w:eastAsia="Calibri"/>
          <w:color w:val="000000"/>
          <w:lang w:eastAsia="en-US"/>
        </w:rPr>
        <w:t xml:space="preserve">Au fost efectuate un număr de </w:t>
      </w:r>
      <w:r w:rsidRPr="009E193A">
        <w:rPr>
          <w:rFonts w:eastAsia="Calibri"/>
          <w:b/>
          <w:color w:val="000000"/>
          <w:lang w:eastAsia="en-US"/>
        </w:rPr>
        <w:t>94</w:t>
      </w:r>
      <w:r w:rsidRPr="009E193A">
        <w:rPr>
          <w:rFonts w:eastAsia="Calibri"/>
          <w:color w:val="000000"/>
          <w:lang w:eastAsia="en-US"/>
        </w:rPr>
        <w:t xml:space="preserve"> controale la operatorii economici care îşi desfăşoară activitatea în domeniul vitivinicol, aplicându-se </w:t>
      </w:r>
      <w:r w:rsidRPr="009E193A">
        <w:rPr>
          <w:rFonts w:eastAsia="Calibri"/>
          <w:b/>
          <w:color w:val="000000"/>
          <w:lang w:eastAsia="en-US"/>
        </w:rPr>
        <w:t>un avertisment</w:t>
      </w:r>
      <w:r w:rsidRPr="009E193A">
        <w:rPr>
          <w:rFonts w:eastAsia="Calibri"/>
          <w:color w:val="000000"/>
          <w:lang w:eastAsia="en-US"/>
        </w:rPr>
        <w:t>;</w:t>
      </w:r>
    </w:p>
    <w:p w:rsidR="009E193A" w:rsidRPr="009E193A" w:rsidRDefault="009E193A" w:rsidP="00A77970">
      <w:pPr>
        <w:tabs>
          <w:tab w:val="left" w:pos="0"/>
        </w:tabs>
        <w:ind w:firstLine="709"/>
        <w:rPr>
          <w:rFonts w:eastAsia="Calibri"/>
          <w:color w:val="000000"/>
          <w:lang w:eastAsia="en-US"/>
        </w:rPr>
      </w:pPr>
      <w:r w:rsidRPr="009E193A">
        <w:rPr>
          <w:rFonts w:eastAsia="Calibri"/>
          <w:color w:val="000000"/>
          <w:lang w:eastAsia="en-US"/>
        </w:rPr>
        <w:t xml:space="preserve">Au fost prelevate </w:t>
      </w:r>
      <w:r w:rsidRPr="009E193A">
        <w:rPr>
          <w:rFonts w:eastAsia="Calibri"/>
          <w:b/>
          <w:color w:val="000000"/>
          <w:lang w:eastAsia="en-US"/>
        </w:rPr>
        <w:t>10</w:t>
      </w:r>
      <w:r w:rsidRPr="009E193A">
        <w:rPr>
          <w:rFonts w:eastAsia="Calibri"/>
          <w:color w:val="000000"/>
          <w:lang w:eastAsia="en-US"/>
        </w:rPr>
        <w:t xml:space="preserve"> probe de vin imbuteliat si vrac;</w:t>
      </w:r>
    </w:p>
    <w:p w:rsidR="009E193A" w:rsidRPr="009E193A" w:rsidRDefault="009E193A" w:rsidP="00A77970">
      <w:pPr>
        <w:tabs>
          <w:tab w:val="left" w:pos="0"/>
        </w:tabs>
        <w:ind w:firstLine="709"/>
        <w:rPr>
          <w:rFonts w:eastAsia="Calibri"/>
          <w:color w:val="000000"/>
          <w:lang w:eastAsia="en-US"/>
        </w:rPr>
      </w:pPr>
      <w:r w:rsidRPr="009E193A">
        <w:rPr>
          <w:rFonts w:eastAsia="Calibri"/>
          <w:color w:val="000000"/>
          <w:lang w:eastAsia="en-US"/>
        </w:rPr>
        <w:t xml:space="preserve">Au fost autorizate </w:t>
      </w:r>
      <w:r w:rsidRPr="009E193A">
        <w:rPr>
          <w:rFonts w:eastAsia="Calibri"/>
          <w:b/>
          <w:color w:val="000000"/>
          <w:lang w:eastAsia="en-US"/>
        </w:rPr>
        <w:t>89</w:t>
      </w:r>
      <w:r w:rsidRPr="009E193A">
        <w:rPr>
          <w:rFonts w:eastAsia="Calibri"/>
          <w:color w:val="000000"/>
          <w:lang w:eastAsia="en-US"/>
        </w:rPr>
        <w:t xml:space="preserve"> de spaţii pentru comercializarea vinului vrac;</w:t>
      </w:r>
    </w:p>
    <w:p w:rsidR="009E193A" w:rsidRPr="009E193A" w:rsidRDefault="009E193A" w:rsidP="00A77970">
      <w:pPr>
        <w:tabs>
          <w:tab w:val="left" w:pos="0"/>
        </w:tabs>
        <w:ind w:firstLine="709"/>
        <w:jc w:val="both"/>
        <w:rPr>
          <w:rFonts w:eastAsia="Calibri"/>
          <w:color w:val="000000"/>
          <w:lang w:eastAsia="en-US"/>
        </w:rPr>
      </w:pPr>
      <w:r w:rsidRPr="009E193A">
        <w:rPr>
          <w:rFonts w:eastAsia="Calibri"/>
          <w:color w:val="000000"/>
          <w:lang w:eastAsia="en-US"/>
        </w:rPr>
        <w:t xml:space="preserve">Au fost vizate </w:t>
      </w:r>
      <w:r w:rsidRPr="009E193A">
        <w:rPr>
          <w:rFonts w:eastAsia="Calibri"/>
          <w:b/>
          <w:color w:val="000000"/>
          <w:lang w:eastAsia="en-US"/>
        </w:rPr>
        <w:t xml:space="preserve">1529 </w:t>
      </w:r>
      <w:r w:rsidRPr="009E193A">
        <w:rPr>
          <w:rFonts w:eastAsia="Calibri"/>
          <w:color w:val="000000"/>
          <w:lang w:eastAsia="en-US"/>
        </w:rPr>
        <w:t>documente de însoţire a produselor vitivinicole;</w:t>
      </w:r>
    </w:p>
    <w:p w:rsidR="009E193A" w:rsidRPr="009E193A" w:rsidRDefault="009E193A" w:rsidP="00A77970">
      <w:pPr>
        <w:tabs>
          <w:tab w:val="left" w:pos="0"/>
        </w:tabs>
        <w:ind w:firstLine="709"/>
        <w:jc w:val="both"/>
        <w:rPr>
          <w:rFonts w:eastAsia="Calibri"/>
          <w:color w:val="000000"/>
          <w:lang w:eastAsia="en-US"/>
        </w:rPr>
      </w:pPr>
      <w:r w:rsidRPr="009E193A">
        <w:rPr>
          <w:rFonts w:eastAsia="Calibri"/>
          <w:color w:val="000000"/>
          <w:lang w:eastAsia="en-US"/>
        </w:rPr>
        <w:t xml:space="preserve">Au fost reautorizate </w:t>
      </w:r>
      <w:r w:rsidRPr="009E193A">
        <w:rPr>
          <w:rFonts w:eastAsia="Calibri"/>
          <w:b/>
          <w:color w:val="000000"/>
          <w:lang w:eastAsia="en-US"/>
        </w:rPr>
        <w:t xml:space="preserve">2 </w:t>
      </w:r>
      <w:r w:rsidRPr="009E193A">
        <w:rPr>
          <w:rFonts w:eastAsia="Calibri"/>
          <w:color w:val="000000"/>
          <w:lang w:eastAsia="en-US"/>
        </w:rPr>
        <w:t>laboratore din care: un laborator privat şi un laborator al A.N.P.C. pentru efectuarea analizelor la vin şi la celelalte produse pe baza de must şi vin ce urmează a fi expediate în scopul comercializării pe piaţa internă.</w:t>
      </w:r>
    </w:p>
    <w:p w:rsidR="009E193A" w:rsidRPr="00663E01" w:rsidRDefault="009E193A" w:rsidP="00663E01">
      <w:pPr>
        <w:tabs>
          <w:tab w:val="left" w:pos="0"/>
        </w:tabs>
        <w:ind w:firstLine="709"/>
        <w:jc w:val="both"/>
        <w:rPr>
          <w:rFonts w:eastAsia="Calibri"/>
          <w:color w:val="000000"/>
          <w:lang w:eastAsia="en-US"/>
        </w:rPr>
      </w:pPr>
      <w:r w:rsidRPr="009E193A">
        <w:rPr>
          <w:rFonts w:eastAsia="Calibri"/>
          <w:color w:val="000000"/>
          <w:lang w:eastAsia="en-US"/>
        </w:rPr>
        <w:t xml:space="preserve">Pe baza tematicii de control 225154/18.01.2018, inspectorii din cadrul D.A.M.Bucuresti si I.P.J. Vrancea- Serviciul de Investigare a Criminalităţii Economice, au participat la verificarea conformitaţii vinurilor vrac aflate la comercializare, actiune care s-a soldat cu prelevarea a </w:t>
      </w:r>
      <w:r w:rsidRPr="009E193A">
        <w:rPr>
          <w:rFonts w:eastAsia="Calibri"/>
          <w:b/>
          <w:color w:val="000000"/>
          <w:lang w:eastAsia="en-US"/>
        </w:rPr>
        <w:t xml:space="preserve">3 </w:t>
      </w:r>
      <w:r w:rsidRPr="009E193A">
        <w:rPr>
          <w:rFonts w:eastAsia="Calibri"/>
          <w:color w:val="000000"/>
          <w:lang w:eastAsia="en-US"/>
        </w:rPr>
        <w:t xml:space="preserve">probe de vin a câte </w:t>
      </w:r>
      <w:r w:rsidRPr="009E193A">
        <w:rPr>
          <w:rFonts w:eastAsia="Calibri"/>
          <w:b/>
          <w:color w:val="000000"/>
          <w:lang w:eastAsia="en-US"/>
        </w:rPr>
        <w:t>5</w:t>
      </w:r>
      <w:r w:rsidRPr="009E193A">
        <w:rPr>
          <w:rFonts w:eastAsia="Calibri"/>
          <w:color w:val="000000"/>
          <w:lang w:eastAsia="en-US"/>
        </w:rPr>
        <w:t xml:space="preserve"> eşantioane fiecare, în vederea efectuării de analize complete la un laborat</w:t>
      </w:r>
      <w:r w:rsidR="00663E01">
        <w:rPr>
          <w:rFonts w:eastAsia="Calibri"/>
          <w:color w:val="000000"/>
          <w:lang w:eastAsia="en-US"/>
        </w:rPr>
        <w:t>or aflat în subordinea M.A.D.R.</w:t>
      </w:r>
    </w:p>
    <w:p w:rsidR="009E193A" w:rsidRPr="009E193A" w:rsidRDefault="009E193A" w:rsidP="00A77970">
      <w:pPr>
        <w:tabs>
          <w:tab w:val="left" w:pos="0"/>
        </w:tabs>
        <w:ind w:firstLine="709"/>
        <w:jc w:val="both"/>
        <w:rPr>
          <w:rFonts w:eastAsia="Calibri"/>
          <w:i/>
          <w:lang w:eastAsia="en-US"/>
        </w:rPr>
      </w:pPr>
      <w:r w:rsidRPr="009E193A">
        <w:rPr>
          <w:rFonts w:eastAsia="Palatino Linotype" w:cs="Palatino Linotype"/>
          <w:bCs/>
          <w:color w:val="000000"/>
          <w:lang w:bidi="ro-RO"/>
        </w:rPr>
        <w:t xml:space="preserve">Activitatea privind </w:t>
      </w:r>
      <w:r w:rsidRPr="009E193A">
        <w:rPr>
          <w:rFonts w:eastAsia="Calibri"/>
          <w:i/>
          <w:lang w:eastAsia="en-US"/>
        </w:rPr>
        <w:t>Inspecţia de Stat pentru Controlul Tehnic în Producerea şi Valorificarea Legumelor şi Fructelor s</w:t>
      </w:r>
      <w:r w:rsidRPr="009E193A">
        <w:rPr>
          <w:rFonts w:eastAsia="Calibri"/>
          <w:lang w:eastAsia="en-US"/>
        </w:rPr>
        <w:t xml:space="preserve">-a desfăşurat în anul 2018 în baza legislaţiei specifice domeniului, respectiv Legea nr. 312/2003 rep.; Lg. 348/2003 rep.; O.M.A.D.R. nr. 420/2008; Reg. (CE) 543/2011 şi Legea nr. 145/2014, </w:t>
      </w:r>
      <w:r w:rsidRPr="009E193A">
        <w:rPr>
          <w:rFonts w:eastAsia="Calibri"/>
          <w:color w:val="000000"/>
          <w:lang w:val="es-BO" w:eastAsia="en-US"/>
        </w:rPr>
        <w:t>Legea 270/2017 a prevenirii şi a HG. 33/2018 privind stabilirea contravenţiilor.</w:t>
      </w:r>
    </w:p>
    <w:p w:rsidR="009E193A" w:rsidRPr="009E193A" w:rsidRDefault="009E193A" w:rsidP="00A77970">
      <w:pPr>
        <w:tabs>
          <w:tab w:val="left" w:pos="0"/>
        </w:tabs>
        <w:ind w:firstLine="709"/>
        <w:jc w:val="both"/>
        <w:rPr>
          <w:rFonts w:eastAsia="Calibri"/>
          <w:color w:val="000000"/>
          <w:lang w:eastAsia="en-US"/>
        </w:rPr>
      </w:pPr>
      <w:r w:rsidRPr="009E193A">
        <w:rPr>
          <w:rFonts w:eastAsia="Calibri"/>
          <w:lang w:eastAsia="en-US"/>
        </w:rPr>
        <w:t xml:space="preserve">Verificările au vizat urmatoarele aspecte: existenţa unui </w:t>
      </w:r>
      <w:r w:rsidRPr="009E193A">
        <w:rPr>
          <w:rFonts w:eastAsia="Calibri"/>
          <w:i/>
          <w:lang w:eastAsia="en-US"/>
        </w:rPr>
        <w:t>spaţiu distinct</w:t>
      </w:r>
      <w:r w:rsidRPr="009E193A">
        <w:rPr>
          <w:rFonts w:eastAsia="Calibri"/>
          <w:lang w:eastAsia="en-US"/>
        </w:rPr>
        <w:t xml:space="preserve"> destinat comercializării legumelor şi fructelor pentru producătorii agricoli, conform legii 145/2014; </w:t>
      </w:r>
      <w:r w:rsidRPr="009E193A">
        <w:rPr>
          <w:rFonts w:eastAsia="Calibri"/>
          <w:i/>
          <w:lang w:eastAsia="en-US"/>
        </w:rPr>
        <w:t>identificarea meselor/tarabelor</w:t>
      </w:r>
      <w:r w:rsidRPr="009E193A">
        <w:rPr>
          <w:rFonts w:eastAsia="Calibri"/>
          <w:lang w:eastAsia="en-US"/>
        </w:rPr>
        <w:t xml:space="preserve"> prin afişarea la un loc vizibil a unei copii a atestatului de producător şi a primei file din carnetul de comercializare sau a certificatului de atestare fiscală pentru societăţile comerciale; </w:t>
      </w:r>
      <w:r w:rsidRPr="009E193A">
        <w:rPr>
          <w:rFonts w:eastAsia="Calibri"/>
          <w:i/>
          <w:lang w:eastAsia="en-US"/>
        </w:rPr>
        <w:t>etichetarea produselor</w:t>
      </w:r>
      <w:r w:rsidRPr="009E193A">
        <w:rPr>
          <w:rFonts w:eastAsia="Calibri"/>
          <w:lang w:eastAsia="en-US"/>
        </w:rPr>
        <w:t xml:space="preserve"> agricole supuse comercializării conform legislaţiei în vigoare. </w:t>
      </w:r>
    </w:p>
    <w:p w:rsidR="009E193A" w:rsidRPr="009E193A" w:rsidRDefault="009E193A" w:rsidP="00A77970">
      <w:pPr>
        <w:tabs>
          <w:tab w:val="left" w:pos="0"/>
          <w:tab w:val="left" w:pos="540"/>
          <w:tab w:val="left" w:pos="720"/>
        </w:tabs>
        <w:ind w:firstLine="709"/>
        <w:jc w:val="both"/>
        <w:rPr>
          <w:rFonts w:eastAsia="Calibri"/>
          <w:lang w:eastAsia="en-US"/>
        </w:rPr>
      </w:pPr>
      <w:r w:rsidRPr="009E193A">
        <w:rPr>
          <w:rFonts w:eastAsia="Calibri"/>
          <w:lang w:eastAsia="en-US"/>
        </w:rPr>
        <w:t xml:space="preserve">Au fost efectuate un număr de </w:t>
      </w:r>
      <w:r w:rsidRPr="009E193A">
        <w:rPr>
          <w:rFonts w:eastAsia="Calibri"/>
          <w:b/>
          <w:lang w:eastAsia="en-US"/>
        </w:rPr>
        <w:t xml:space="preserve">578 </w:t>
      </w:r>
      <w:r w:rsidRPr="009E193A">
        <w:rPr>
          <w:rFonts w:eastAsia="Calibri"/>
          <w:lang w:eastAsia="en-US"/>
        </w:rPr>
        <w:t xml:space="preserve">controale la operatorii economici care îşi desfăşoară activitatea în domeniul comercializării legumelor şi fructelor în stare proaspătă, aplicându-se un număr </w:t>
      </w:r>
      <w:r w:rsidRPr="009E193A">
        <w:rPr>
          <w:rFonts w:eastAsia="Calibri"/>
          <w:lang w:eastAsia="en-US"/>
        </w:rPr>
        <w:lastRenderedPageBreak/>
        <w:t xml:space="preserve">de </w:t>
      </w:r>
      <w:r w:rsidRPr="009E193A">
        <w:rPr>
          <w:rFonts w:eastAsia="Calibri"/>
          <w:b/>
          <w:lang w:eastAsia="en-US"/>
        </w:rPr>
        <w:t>367</w:t>
      </w:r>
      <w:r w:rsidRPr="009E193A">
        <w:rPr>
          <w:rFonts w:eastAsia="Calibri"/>
          <w:lang w:eastAsia="en-US"/>
        </w:rPr>
        <w:t xml:space="preserve"> sancţiuni contrventionale din care </w:t>
      </w:r>
      <w:r w:rsidRPr="009E193A">
        <w:rPr>
          <w:rFonts w:eastAsia="Calibri"/>
          <w:b/>
          <w:lang w:eastAsia="en-US"/>
        </w:rPr>
        <w:t xml:space="preserve">309 </w:t>
      </w:r>
      <w:r w:rsidRPr="009E193A">
        <w:rPr>
          <w:rFonts w:eastAsia="Calibri"/>
          <w:lang w:eastAsia="en-US"/>
        </w:rPr>
        <w:t xml:space="preserve">avertismente şi </w:t>
      </w:r>
      <w:r w:rsidRPr="009E193A">
        <w:rPr>
          <w:rFonts w:eastAsia="Calibri"/>
          <w:b/>
          <w:lang w:eastAsia="en-US"/>
        </w:rPr>
        <w:t>58</w:t>
      </w:r>
      <w:r w:rsidRPr="009E193A">
        <w:rPr>
          <w:rFonts w:eastAsia="Calibri"/>
          <w:lang w:eastAsia="en-US"/>
        </w:rPr>
        <w:t xml:space="preserve"> amenzi în valoare de </w:t>
      </w:r>
      <w:r w:rsidRPr="009E193A">
        <w:rPr>
          <w:rFonts w:eastAsia="Calibri"/>
          <w:b/>
          <w:lang w:eastAsia="en-US"/>
        </w:rPr>
        <w:t xml:space="preserve">45900 </w:t>
      </w:r>
      <w:r w:rsidRPr="009E193A">
        <w:rPr>
          <w:rFonts w:eastAsia="Calibri"/>
          <w:lang w:eastAsia="en-US"/>
        </w:rPr>
        <w:t>lei pentru următoarele deficienţe:</w:t>
      </w:r>
    </w:p>
    <w:p w:rsidR="009E193A" w:rsidRPr="009E193A" w:rsidRDefault="009E193A" w:rsidP="00A77970">
      <w:pPr>
        <w:tabs>
          <w:tab w:val="left" w:pos="0"/>
        </w:tabs>
        <w:ind w:firstLine="709"/>
        <w:jc w:val="both"/>
        <w:rPr>
          <w:rFonts w:eastAsia="Calibri"/>
          <w:lang w:eastAsia="en-US"/>
        </w:rPr>
      </w:pPr>
      <w:r w:rsidRPr="009E193A">
        <w:rPr>
          <w:rFonts w:eastAsia="Calibri"/>
          <w:lang w:eastAsia="en-US"/>
        </w:rPr>
        <w:t xml:space="preserve">-  lipsa facturilor fiscale de achiziţie a produselor supuse comercializării conform art. 10, alin.(1) din Legea nr. 312/2003 rep. şi art. 23, alin.(1) din Legea nr. 348/2003 rep.;    </w:t>
      </w:r>
    </w:p>
    <w:p w:rsidR="009E193A" w:rsidRPr="009E193A" w:rsidRDefault="009E193A" w:rsidP="00A77970">
      <w:pPr>
        <w:tabs>
          <w:tab w:val="left" w:pos="0"/>
        </w:tabs>
        <w:ind w:firstLine="709"/>
        <w:jc w:val="both"/>
        <w:rPr>
          <w:rFonts w:eastAsia="Calibri"/>
          <w:lang w:eastAsia="en-US"/>
        </w:rPr>
      </w:pPr>
      <w:r w:rsidRPr="009E193A">
        <w:rPr>
          <w:rFonts w:eastAsia="Calibri"/>
          <w:lang w:eastAsia="en-US"/>
        </w:rPr>
        <w:t>-   lipsa informării corecte a consumatorului prin afişarea la raft a etichetelor de produs cu inscripţionarea obligatorie a categoriei de calitate şi a ţării de origine conform art. 9, alin.(1) din Legea nr. 312/2003 rep.;</w:t>
      </w:r>
    </w:p>
    <w:p w:rsidR="009E193A" w:rsidRPr="009E193A" w:rsidRDefault="009E193A" w:rsidP="00A77970">
      <w:pPr>
        <w:tabs>
          <w:tab w:val="left" w:pos="0"/>
        </w:tabs>
        <w:ind w:firstLine="709"/>
        <w:jc w:val="both"/>
        <w:rPr>
          <w:rFonts w:eastAsia="Calibri"/>
          <w:lang w:eastAsia="en-US"/>
        </w:rPr>
      </w:pPr>
      <w:r w:rsidRPr="009E193A">
        <w:rPr>
          <w:rFonts w:eastAsia="Calibri"/>
          <w:lang w:eastAsia="en-US"/>
        </w:rPr>
        <w:t>-   lipsa afişării la locul de vânzare de către producătorii agricoli a etichetei de produs, cu informaţii obligatorii conform art. 14, alin(3) din Legea nr. 145/2014;</w:t>
      </w:r>
    </w:p>
    <w:p w:rsidR="009E193A" w:rsidRPr="009E193A" w:rsidRDefault="009E193A" w:rsidP="00A77970">
      <w:pPr>
        <w:tabs>
          <w:tab w:val="left" w:pos="0"/>
        </w:tabs>
        <w:ind w:firstLine="709"/>
        <w:jc w:val="both"/>
        <w:rPr>
          <w:rFonts w:eastAsia="Calibri"/>
          <w:lang w:eastAsia="en-US"/>
        </w:rPr>
      </w:pPr>
      <w:r w:rsidRPr="009E193A">
        <w:rPr>
          <w:rFonts w:eastAsia="Calibri"/>
          <w:lang w:eastAsia="en-US"/>
        </w:rPr>
        <w:t xml:space="preserve">Au fost efectuate un număr de </w:t>
      </w:r>
      <w:r w:rsidRPr="009E193A">
        <w:rPr>
          <w:rFonts w:eastAsia="Calibri"/>
          <w:b/>
          <w:lang w:eastAsia="en-US"/>
        </w:rPr>
        <w:t xml:space="preserve">60 </w:t>
      </w:r>
      <w:r w:rsidRPr="009E193A">
        <w:rPr>
          <w:rFonts w:eastAsia="Calibri"/>
          <w:lang w:eastAsia="en-US"/>
        </w:rPr>
        <w:t xml:space="preserve">controale de conformitate cu standardele de comercializare la fructele şi legumele în stare proaspata din care </w:t>
      </w:r>
      <w:r w:rsidRPr="009E193A">
        <w:rPr>
          <w:rFonts w:eastAsia="Calibri"/>
          <w:b/>
          <w:lang w:eastAsia="en-US"/>
        </w:rPr>
        <w:t xml:space="preserve">42 </w:t>
      </w:r>
      <w:r w:rsidRPr="009E193A">
        <w:rPr>
          <w:rFonts w:eastAsia="Calibri"/>
          <w:lang w:eastAsia="en-US"/>
        </w:rPr>
        <w:t xml:space="preserve">controale pentru stadiul de import şi </w:t>
      </w:r>
      <w:r w:rsidRPr="009E193A">
        <w:rPr>
          <w:rFonts w:eastAsia="Calibri"/>
          <w:b/>
          <w:lang w:eastAsia="en-US"/>
        </w:rPr>
        <w:t xml:space="preserve">18 </w:t>
      </w:r>
      <w:r w:rsidRPr="009E193A">
        <w:rPr>
          <w:rFonts w:eastAsia="Calibri"/>
          <w:lang w:eastAsia="en-US"/>
        </w:rPr>
        <w:t>controale pentru piata interna, urmate de eliberarea certificatelor de conformitate;</w:t>
      </w:r>
    </w:p>
    <w:p w:rsidR="009E193A" w:rsidRPr="00663E01" w:rsidRDefault="009E193A" w:rsidP="00663E01">
      <w:pPr>
        <w:tabs>
          <w:tab w:val="left" w:pos="0"/>
          <w:tab w:val="left" w:pos="1080"/>
        </w:tabs>
        <w:ind w:firstLine="709"/>
        <w:jc w:val="both"/>
        <w:rPr>
          <w:rFonts w:eastAsia="Calibri"/>
          <w:lang w:eastAsia="en-US"/>
        </w:rPr>
      </w:pPr>
      <w:r w:rsidRPr="009E193A">
        <w:rPr>
          <w:rFonts w:eastAsia="Calibri"/>
          <w:lang w:eastAsia="en-US"/>
        </w:rPr>
        <w:t>În baza tematicii de control nr. 225154 din 18.01.2018 a M.A.D.R, inspectori din cadrul D.A.M. Bucuresti si reprezentanţi ai S.I.C.E. sector 4 si 5 au efectuat, în comisie mixtă, verificări  la operatorii economici care comercializează legume şi fructe în stare proaspată în conformitate cu standardele de calitate, în pieţele agroalimentare de pe raza municipiului Bucureşti, conform Legii 145/2014. Controalele au fost efectuate în perma</w:t>
      </w:r>
      <w:r w:rsidR="00663E01">
        <w:rPr>
          <w:rFonts w:eastAsia="Calibri"/>
          <w:lang w:eastAsia="en-US"/>
        </w:rPr>
        <w:t>nenţa pe parcursul anului 2018.</w:t>
      </w:r>
    </w:p>
    <w:p w:rsidR="009E193A" w:rsidRPr="009E193A" w:rsidRDefault="009E193A" w:rsidP="00A77970">
      <w:pPr>
        <w:tabs>
          <w:tab w:val="left" w:pos="0"/>
        </w:tabs>
        <w:ind w:firstLine="709"/>
        <w:jc w:val="both"/>
        <w:rPr>
          <w:rFonts w:eastAsia="Calibri"/>
          <w:i/>
          <w:lang w:eastAsia="en-US"/>
        </w:rPr>
      </w:pPr>
      <w:r w:rsidRPr="009E193A">
        <w:rPr>
          <w:rFonts w:eastAsia="Palatino Linotype" w:cs="Palatino Linotype"/>
          <w:bCs/>
          <w:color w:val="000000"/>
          <w:lang w:bidi="ro-RO"/>
        </w:rPr>
        <w:t xml:space="preserve">Activitatea privind </w:t>
      </w:r>
      <w:r w:rsidRPr="009E193A">
        <w:rPr>
          <w:rFonts w:eastAsia="Calibri"/>
          <w:i/>
          <w:lang w:eastAsia="en-US"/>
        </w:rPr>
        <w:t xml:space="preserve">Inspecţia Tehnică în Industria Alimentară </w:t>
      </w:r>
      <w:r w:rsidRPr="009E193A">
        <w:rPr>
          <w:rFonts w:eastAsia="Calibri"/>
          <w:lang w:eastAsia="en-US"/>
        </w:rPr>
        <w:t>s-a desfaşurat în anul 2018 în bazaţlegislaţiei specifice domeniului respectiv: O.U.G. nr. 12/2006; Legea nr. 225/2006; H.G. nr. 415/2004; Ordin nr. 461/2004; H.G. nr. 568/2002; O.M. nr. 724/2013,  O.M. nr. 394/2014; Regulamentul (CE) nr. 1169/2011.</w:t>
      </w:r>
    </w:p>
    <w:p w:rsidR="009E193A" w:rsidRPr="009E193A" w:rsidRDefault="009E193A" w:rsidP="00A77970">
      <w:pPr>
        <w:tabs>
          <w:tab w:val="left" w:pos="0"/>
        </w:tabs>
        <w:ind w:firstLine="709"/>
        <w:jc w:val="both"/>
        <w:rPr>
          <w:rFonts w:eastAsia="Calibri"/>
          <w:lang w:eastAsia="en-US"/>
        </w:rPr>
      </w:pPr>
      <w:r w:rsidRPr="009E193A">
        <w:rPr>
          <w:rFonts w:eastAsia="Calibri"/>
          <w:lang w:eastAsia="en-US"/>
        </w:rPr>
        <w:t xml:space="preserve">În perioada 01.01.-31.12. 2018, au fost verificaţi un nr. de </w:t>
      </w:r>
      <w:r w:rsidRPr="009E193A">
        <w:rPr>
          <w:rFonts w:eastAsia="Calibri"/>
          <w:b/>
          <w:lang w:eastAsia="en-US"/>
        </w:rPr>
        <w:t>94</w:t>
      </w:r>
      <w:r w:rsidRPr="009E193A">
        <w:rPr>
          <w:rFonts w:eastAsia="Calibri"/>
          <w:lang w:eastAsia="en-US"/>
        </w:rPr>
        <w:t xml:space="preserve"> operatori economici şi au fost aplicate un număr de </w:t>
      </w:r>
      <w:r w:rsidRPr="009E193A">
        <w:rPr>
          <w:rFonts w:eastAsia="Calibri"/>
          <w:b/>
          <w:lang w:eastAsia="en-US"/>
        </w:rPr>
        <w:t>17</w:t>
      </w:r>
      <w:r w:rsidRPr="009E193A">
        <w:rPr>
          <w:rFonts w:eastAsia="Calibri"/>
          <w:lang w:eastAsia="en-US"/>
        </w:rPr>
        <w:t xml:space="preserve"> sancţiuni contravenţionale, respectiv </w:t>
      </w:r>
      <w:r w:rsidRPr="009E193A">
        <w:rPr>
          <w:rFonts w:eastAsia="Calibri"/>
          <w:b/>
          <w:lang w:eastAsia="en-US"/>
        </w:rPr>
        <w:t>15</w:t>
      </w:r>
      <w:r w:rsidRPr="009E193A">
        <w:rPr>
          <w:rFonts w:eastAsia="Calibri"/>
          <w:lang w:eastAsia="en-US"/>
        </w:rPr>
        <w:t xml:space="preserve"> avertismente şi </w:t>
      </w:r>
      <w:r w:rsidRPr="009E193A">
        <w:rPr>
          <w:rFonts w:eastAsia="Calibri"/>
          <w:b/>
          <w:lang w:eastAsia="en-US"/>
        </w:rPr>
        <w:t xml:space="preserve">2 </w:t>
      </w:r>
      <w:r w:rsidRPr="009E193A">
        <w:rPr>
          <w:rFonts w:eastAsia="Calibri"/>
          <w:lang w:eastAsia="en-US"/>
        </w:rPr>
        <w:t xml:space="preserve">amenzi în valoare de </w:t>
      </w:r>
      <w:r w:rsidRPr="009E193A">
        <w:rPr>
          <w:rFonts w:eastAsia="Calibri"/>
          <w:b/>
          <w:lang w:eastAsia="en-US"/>
        </w:rPr>
        <w:t>8000 lei.</w:t>
      </w:r>
    </w:p>
    <w:p w:rsidR="009E193A" w:rsidRPr="00663E01" w:rsidRDefault="009E193A" w:rsidP="00A77970">
      <w:pPr>
        <w:tabs>
          <w:tab w:val="left" w:pos="0"/>
        </w:tabs>
        <w:ind w:firstLine="709"/>
        <w:jc w:val="both"/>
        <w:rPr>
          <w:rFonts w:eastAsia="Calibri"/>
          <w:lang w:eastAsia="en-US"/>
        </w:rPr>
      </w:pPr>
      <w:r w:rsidRPr="009E193A">
        <w:rPr>
          <w:rFonts w:eastAsia="Calibri"/>
          <w:lang w:eastAsia="en-US"/>
        </w:rPr>
        <w:t xml:space="preserve">În urma controalelor efectuate la operatorii economici au fost identificate o serie de neconformităţi, precum: </w:t>
      </w:r>
      <w:r w:rsidRPr="009E193A">
        <w:rPr>
          <w:rFonts w:eastAsia="Calibri"/>
          <w:lang w:val="it-IT" w:eastAsia="en-US"/>
        </w:rPr>
        <w:t>ventilatie necorespunzătoare în spaţiile de depozitare materii prime (făină, sare iodată), care să asigure menţinerea parametrilor calitativi ai produselor conform standardelor;</w:t>
      </w:r>
      <w:r w:rsidRPr="009E193A">
        <w:rPr>
          <w:rFonts w:eastAsia="Calibri"/>
          <w:lang w:eastAsia="en-US"/>
        </w:rPr>
        <w:t xml:space="preserve"> </w:t>
      </w:r>
      <w:r w:rsidRPr="009E193A">
        <w:rPr>
          <w:rFonts w:eastAsia="Calibri"/>
          <w:lang w:val="it-IT" w:eastAsia="en-US"/>
        </w:rPr>
        <w:t>depozitarea necorespunzătoare a făinii, direct pe paviment şi fără a fi asigurate spaţii tehnologice;</w:t>
      </w:r>
      <w:r w:rsidRPr="009E193A">
        <w:rPr>
          <w:rFonts w:eastAsia="Calibri"/>
          <w:lang w:eastAsia="en-US"/>
        </w:rPr>
        <w:t xml:space="preserve"> </w:t>
      </w:r>
      <w:r w:rsidRPr="009E193A">
        <w:rPr>
          <w:rFonts w:eastAsia="Calibri"/>
          <w:lang w:val="it-IT" w:eastAsia="en-US"/>
        </w:rPr>
        <w:t>neîncheierea de contracte de vânzare-cumpărare cu societăţile furnizore de făină sau cu beneficiari pentru produse finite;</w:t>
      </w:r>
      <w:r w:rsidRPr="009E193A">
        <w:rPr>
          <w:rFonts w:eastAsia="Calibri"/>
          <w:lang w:eastAsia="en-US"/>
        </w:rPr>
        <w:t xml:space="preserve"> </w:t>
      </w:r>
      <w:r w:rsidRPr="009E193A">
        <w:rPr>
          <w:rFonts w:eastAsia="Calibri"/>
          <w:lang w:val="it-IT" w:eastAsia="en-US"/>
        </w:rPr>
        <w:t>sacii cu făină existenţi in spaţiile de depozitare nu au etichete cu elementele de identificare prevăzute în legislaţia în vigoare; in spaţiile de depozitare materii prime nu sunt montate termohigrometre pentu monitorizarea temperaturii şi a umidităţii;</w:t>
      </w:r>
      <w:r w:rsidRPr="009E193A">
        <w:rPr>
          <w:rFonts w:eastAsia="Calibri"/>
          <w:lang w:eastAsia="en-US"/>
        </w:rPr>
        <w:t xml:space="preserve"> </w:t>
      </w:r>
      <w:r w:rsidRPr="009E193A">
        <w:rPr>
          <w:rFonts w:eastAsia="Calibri"/>
          <w:lang w:val="it-IT" w:eastAsia="en-US"/>
        </w:rPr>
        <w:t>n</w:t>
      </w:r>
      <w:r w:rsidRPr="009E193A">
        <w:rPr>
          <w:rFonts w:eastAsia="Calibri"/>
          <w:lang w:eastAsia="en-US"/>
        </w:rPr>
        <w:t>erespectarea modului de afişare obligatoriu in structurile de vânzare cu amănuntul a pâinii şi produselor de panificaţie, conf. art</w:t>
      </w:r>
      <w:r w:rsidR="00663E01">
        <w:rPr>
          <w:rFonts w:eastAsia="Calibri"/>
          <w:lang w:eastAsia="en-US"/>
        </w:rPr>
        <w:t>.11, alin. (3) din OUG 12/2006.</w:t>
      </w:r>
    </w:p>
    <w:p w:rsidR="009E193A" w:rsidRPr="009E193A" w:rsidRDefault="009E193A" w:rsidP="00A77970">
      <w:pPr>
        <w:tabs>
          <w:tab w:val="left" w:pos="0"/>
        </w:tabs>
        <w:ind w:firstLine="709"/>
        <w:jc w:val="both"/>
        <w:rPr>
          <w:rFonts w:eastAsia="Calibri"/>
          <w:i/>
          <w:lang w:eastAsia="en-US"/>
        </w:rPr>
      </w:pPr>
      <w:r w:rsidRPr="009E193A">
        <w:rPr>
          <w:rFonts w:eastAsia="Palatino Linotype" w:cs="Palatino Linotype"/>
          <w:bCs/>
          <w:color w:val="000000"/>
          <w:lang w:bidi="ro-RO"/>
        </w:rPr>
        <w:t xml:space="preserve">Activitatea privind </w:t>
      </w:r>
      <w:r w:rsidRPr="009E193A">
        <w:rPr>
          <w:rFonts w:eastAsia="Calibri"/>
          <w:i/>
          <w:lang w:eastAsia="en-US"/>
        </w:rPr>
        <w:t xml:space="preserve">Inspecţia Tehnică în Domeniul Agriculturii Ecologice </w:t>
      </w:r>
      <w:r w:rsidRPr="009E193A">
        <w:rPr>
          <w:rFonts w:eastAsia="Calibri"/>
          <w:lang w:eastAsia="en-US"/>
        </w:rPr>
        <w:t>s-a desfaşurat în anul 2018 în baza legislaţiei specifice domeniului respectiv Regulamentul (CE) nr.834/2007; Regulamentul(CE) nr. 889/2008; O.M. nr. 895/2016; Ordonanţa nr. 29/ 2014; HG nr. 131/2013; OG nr. 34/2000.</w:t>
      </w:r>
    </w:p>
    <w:p w:rsidR="009E193A" w:rsidRPr="009E193A" w:rsidRDefault="009E193A" w:rsidP="00A77970">
      <w:pPr>
        <w:tabs>
          <w:tab w:val="left" w:pos="0"/>
          <w:tab w:val="left" w:pos="720"/>
        </w:tabs>
        <w:ind w:firstLine="709"/>
        <w:jc w:val="both"/>
        <w:rPr>
          <w:rFonts w:eastAsia="Calibri"/>
          <w:lang w:eastAsia="en-US"/>
        </w:rPr>
      </w:pPr>
      <w:r w:rsidRPr="009E193A">
        <w:rPr>
          <w:rFonts w:eastAsia="Calibri"/>
          <w:lang w:eastAsia="en-US"/>
        </w:rPr>
        <w:t xml:space="preserve">În perioada 01.01.-31.12.2018, au fost verificaţi un numar de </w:t>
      </w:r>
      <w:r w:rsidRPr="009E193A">
        <w:rPr>
          <w:rFonts w:eastAsia="Calibri"/>
          <w:b/>
          <w:lang w:eastAsia="en-US"/>
        </w:rPr>
        <w:t xml:space="preserve">9 </w:t>
      </w:r>
      <w:r w:rsidRPr="009E193A">
        <w:rPr>
          <w:rFonts w:eastAsia="Calibri"/>
          <w:lang w:eastAsia="en-US"/>
        </w:rPr>
        <w:t xml:space="preserve">operatori economici şi a fost aplicata </w:t>
      </w:r>
      <w:r w:rsidRPr="009E193A">
        <w:rPr>
          <w:rFonts w:eastAsia="Calibri"/>
          <w:b/>
          <w:lang w:eastAsia="en-US"/>
        </w:rPr>
        <w:t>o sancţiune</w:t>
      </w:r>
      <w:r w:rsidRPr="009E193A">
        <w:rPr>
          <w:rFonts w:eastAsia="Calibri"/>
          <w:lang w:eastAsia="en-US"/>
        </w:rPr>
        <w:t xml:space="preserve"> contravenţionala, in valoare de </w:t>
      </w:r>
      <w:r w:rsidRPr="009E193A">
        <w:rPr>
          <w:rFonts w:eastAsia="Calibri"/>
          <w:b/>
          <w:lang w:eastAsia="en-US"/>
        </w:rPr>
        <w:t>25.000 lei</w:t>
      </w:r>
      <w:r w:rsidRPr="009E193A">
        <w:rPr>
          <w:rFonts w:eastAsia="Calibri"/>
          <w:lang w:eastAsia="en-US"/>
        </w:rPr>
        <w:t>, conform art.II, alin. (2), lit.a), din Ordonanţa nr.29/2014, pentru nerespectarea prevederilor art.II, alin.(1), li</w:t>
      </w:r>
      <w:r w:rsidR="00663E01">
        <w:rPr>
          <w:rFonts w:eastAsia="Calibri"/>
          <w:lang w:eastAsia="en-US"/>
        </w:rPr>
        <w:t xml:space="preserve">t.a) din Ordonanţa nr.29/2014. </w:t>
      </w:r>
    </w:p>
    <w:p w:rsidR="009E193A" w:rsidRPr="009E193A" w:rsidRDefault="009E193A" w:rsidP="00A77970">
      <w:pPr>
        <w:tabs>
          <w:tab w:val="left" w:pos="0"/>
        </w:tabs>
        <w:ind w:firstLine="709"/>
        <w:jc w:val="both"/>
        <w:rPr>
          <w:rFonts w:eastAsia="Calibri"/>
          <w:i/>
          <w:lang w:eastAsia="en-US"/>
        </w:rPr>
      </w:pPr>
      <w:r w:rsidRPr="009E193A">
        <w:rPr>
          <w:rFonts w:eastAsia="Palatino Linotype" w:cs="Palatino Linotype"/>
          <w:bCs/>
          <w:color w:val="000000"/>
          <w:lang w:bidi="ro-RO"/>
        </w:rPr>
        <w:t xml:space="preserve">Activitatea privind </w:t>
      </w:r>
      <w:r w:rsidRPr="009E193A">
        <w:rPr>
          <w:rFonts w:eastAsia="Calibri"/>
          <w:i/>
          <w:lang w:eastAsia="en-US"/>
        </w:rPr>
        <w:t xml:space="preserve">Inspecţia Tehnică pentru Controlul Fertilizanţilor </w:t>
      </w:r>
      <w:r w:rsidRPr="009E193A">
        <w:rPr>
          <w:rFonts w:eastAsia="Calibri"/>
          <w:lang w:eastAsia="en-US"/>
        </w:rPr>
        <w:t>s-a desfăsurat în anul 2018 în baza legislaţiei specifice domeniului respectiv  Regulamentul (CE) nr. 2003/2003; H.G. nr. 1261/2007; Ordinul 6/22/2004.</w:t>
      </w:r>
    </w:p>
    <w:p w:rsidR="009E193A" w:rsidRPr="009E193A" w:rsidRDefault="009E193A" w:rsidP="00A77970">
      <w:pPr>
        <w:tabs>
          <w:tab w:val="left" w:pos="0"/>
        </w:tabs>
        <w:ind w:left="360" w:firstLine="349"/>
        <w:jc w:val="both"/>
        <w:rPr>
          <w:rFonts w:eastAsia="Calibri"/>
          <w:lang w:eastAsia="en-US"/>
        </w:rPr>
      </w:pPr>
      <w:r w:rsidRPr="009E193A">
        <w:rPr>
          <w:rFonts w:eastAsia="Calibri"/>
          <w:lang w:eastAsia="en-US"/>
        </w:rPr>
        <w:t xml:space="preserve">În perioada 01.01-31.12. 2018, au fost verificati un numar de </w:t>
      </w:r>
      <w:r w:rsidRPr="009E193A">
        <w:rPr>
          <w:rFonts w:eastAsia="Calibri"/>
          <w:b/>
          <w:lang w:eastAsia="en-US"/>
        </w:rPr>
        <w:t xml:space="preserve">4 </w:t>
      </w:r>
      <w:r w:rsidRPr="009E193A">
        <w:rPr>
          <w:rFonts w:eastAsia="Calibri"/>
          <w:lang w:eastAsia="en-US"/>
        </w:rPr>
        <w:t xml:space="preserve">operatori economici, </w:t>
      </w:r>
    </w:p>
    <w:p w:rsidR="009E193A" w:rsidRPr="009E193A" w:rsidRDefault="009E193A" w:rsidP="00A77970">
      <w:pPr>
        <w:tabs>
          <w:tab w:val="left" w:pos="0"/>
        </w:tabs>
        <w:ind w:firstLine="709"/>
        <w:jc w:val="both"/>
        <w:rPr>
          <w:rFonts w:eastAsia="Calibri"/>
          <w:lang w:eastAsia="en-US"/>
        </w:rPr>
      </w:pPr>
      <w:r w:rsidRPr="009E193A">
        <w:rPr>
          <w:rFonts w:eastAsia="Calibri"/>
          <w:lang w:eastAsia="en-US"/>
        </w:rPr>
        <w:t xml:space="preserve">Au fost prelevate </w:t>
      </w:r>
      <w:r w:rsidRPr="009E193A">
        <w:rPr>
          <w:rFonts w:eastAsia="Calibri"/>
          <w:b/>
          <w:lang w:eastAsia="en-US"/>
        </w:rPr>
        <w:t>3</w:t>
      </w:r>
      <w:r w:rsidRPr="009E193A">
        <w:rPr>
          <w:rFonts w:eastAsia="Calibri"/>
          <w:lang w:eastAsia="en-US"/>
        </w:rPr>
        <w:t xml:space="preserve"> probe din loturile  de îngrăşăminte chimice ambalate şi au fost trimise la  laboratoare acreditate, pentru efectuarea de analize specifice. În urma verificărilor s-a constatat ca produsele analizate s-au încadrat în parametrii prevăzuţi în Regulamentul (CE) nr.2003/2003. </w:t>
      </w:r>
    </w:p>
    <w:p w:rsidR="009E193A" w:rsidRPr="009E193A" w:rsidRDefault="009E193A" w:rsidP="00A77970">
      <w:pPr>
        <w:tabs>
          <w:tab w:val="left" w:pos="0"/>
        </w:tabs>
        <w:ind w:left="360" w:firstLine="709"/>
        <w:jc w:val="both"/>
        <w:rPr>
          <w:rFonts w:eastAsia="Calibri"/>
          <w:lang w:eastAsia="en-US"/>
        </w:rPr>
      </w:pPr>
    </w:p>
    <w:p w:rsidR="009E193A" w:rsidRPr="009E193A" w:rsidRDefault="009E193A" w:rsidP="00A77970">
      <w:pPr>
        <w:tabs>
          <w:tab w:val="left" w:pos="0"/>
        </w:tabs>
        <w:ind w:firstLine="709"/>
        <w:jc w:val="both"/>
        <w:rPr>
          <w:rFonts w:eastAsia="Calibri"/>
          <w:i/>
          <w:lang w:eastAsia="en-US"/>
        </w:rPr>
      </w:pPr>
      <w:r w:rsidRPr="009E193A">
        <w:rPr>
          <w:rFonts w:eastAsia="Palatino Linotype" w:cs="Palatino Linotype"/>
          <w:bCs/>
          <w:color w:val="000000"/>
          <w:lang w:bidi="ro-RO"/>
        </w:rPr>
        <w:lastRenderedPageBreak/>
        <w:t xml:space="preserve">Activitatea privind </w:t>
      </w:r>
      <w:r w:rsidRPr="009E193A">
        <w:rPr>
          <w:rFonts w:eastAsia="Calibri"/>
          <w:i/>
          <w:lang w:eastAsia="en-US"/>
        </w:rPr>
        <w:t xml:space="preserve">Inspecţia Tehnică în domeniul Depozitelor de Cereale </w:t>
      </w:r>
      <w:r w:rsidRPr="009E193A">
        <w:rPr>
          <w:rFonts w:eastAsia="Calibri"/>
          <w:lang w:eastAsia="en-US"/>
        </w:rPr>
        <w:t>s-a desfăşurat în anul 2018 în baza legislaţiei specifice domeniului respectiv O.U.G. nr. 12/2006; Legea nr. 225/2006; Ordinul M.A.P.D.R nr. 222/2006, după cum urmează :</w:t>
      </w:r>
    </w:p>
    <w:p w:rsidR="009E193A" w:rsidRPr="009E193A" w:rsidRDefault="009E193A" w:rsidP="00663E01">
      <w:pPr>
        <w:tabs>
          <w:tab w:val="left" w:pos="0"/>
        </w:tabs>
        <w:ind w:firstLine="709"/>
        <w:jc w:val="both"/>
        <w:rPr>
          <w:rFonts w:eastAsia="Calibri"/>
          <w:lang w:eastAsia="en-US"/>
        </w:rPr>
      </w:pPr>
      <w:r w:rsidRPr="009E193A">
        <w:rPr>
          <w:rFonts w:eastAsia="Calibri"/>
          <w:lang w:eastAsia="en-US"/>
        </w:rPr>
        <w:t xml:space="preserve">În perioada 01.01 - 31.12.2018 au fost verificaţi un numar de </w:t>
      </w:r>
      <w:r w:rsidRPr="009E193A">
        <w:rPr>
          <w:rFonts w:eastAsia="Calibri"/>
          <w:b/>
          <w:lang w:eastAsia="en-US"/>
        </w:rPr>
        <w:t xml:space="preserve">3 </w:t>
      </w:r>
      <w:r w:rsidRPr="009E193A">
        <w:rPr>
          <w:rFonts w:eastAsia="Calibri"/>
          <w:lang w:eastAsia="en-US"/>
        </w:rPr>
        <w:t>operatori economici;  neconstatându-se neconformităţi şi neaplicându</w:t>
      </w:r>
      <w:r w:rsidR="00663E01">
        <w:rPr>
          <w:rFonts w:eastAsia="Calibri"/>
          <w:lang w:eastAsia="en-US"/>
        </w:rPr>
        <w:t>-se sancţiuni contravenţionale.</w:t>
      </w:r>
    </w:p>
    <w:p w:rsidR="009E193A" w:rsidRPr="009E193A" w:rsidRDefault="009E193A" w:rsidP="00A77970">
      <w:pPr>
        <w:tabs>
          <w:tab w:val="left" w:pos="0"/>
        </w:tabs>
        <w:ind w:firstLine="709"/>
        <w:jc w:val="both"/>
        <w:rPr>
          <w:rFonts w:eastAsia="Calibri"/>
          <w:i/>
          <w:lang w:eastAsia="en-US"/>
        </w:rPr>
      </w:pPr>
      <w:r w:rsidRPr="009E193A">
        <w:rPr>
          <w:rFonts w:eastAsia="Palatino Linotype" w:cs="Palatino Linotype"/>
          <w:bCs/>
          <w:color w:val="000000"/>
          <w:lang w:bidi="ro-RO"/>
        </w:rPr>
        <w:t xml:space="preserve">Activitatea privind </w:t>
      </w:r>
      <w:r w:rsidRPr="009E193A">
        <w:rPr>
          <w:rFonts w:eastAsia="Calibri"/>
          <w:i/>
          <w:lang w:eastAsia="en-US"/>
        </w:rPr>
        <w:t xml:space="preserve">Statistica agricolă </w:t>
      </w:r>
      <w:r w:rsidRPr="009E193A">
        <w:rPr>
          <w:rFonts w:eastAsia="Calibri"/>
          <w:lang w:eastAsia="en-US"/>
        </w:rPr>
        <w:t>s-a desfăşurat in anul 2018 în baza legislaţiei specifice domeniului, după cum urmează:</w:t>
      </w:r>
    </w:p>
    <w:p w:rsidR="009E193A" w:rsidRPr="009E193A" w:rsidRDefault="009E193A" w:rsidP="00A77970">
      <w:pPr>
        <w:tabs>
          <w:tab w:val="left" w:pos="0"/>
        </w:tabs>
        <w:ind w:firstLine="709"/>
        <w:jc w:val="both"/>
        <w:rPr>
          <w:rFonts w:eastAsia="Calibri"/>
          <w:lang w:eastAsia="en-US"/>
        </w:rPr>
      </w:pPr>
      <w:r w:rsidRPr="009E193A">
        <w:rPr>
          <w:rFonts w:eastAsia="Calibri"/>
          <w:lang w:eastAsia="en-US"/>
        </w:rPr>
        <w:t xml:space="preserve">S-a asigurat colectarea şi transmiterea zilnică a preţurilor la legume - fructe din punctul de referinţă de pe raza Municipiului Bucureşti, respectiv Piaţă de Gros. Datele au fost transmise către M.A.D.R pentru consolidarea Sistemului Informaţional pentru Piaţă Produselor Agricole şi Alimentare-S.I.P.P.A.A, conform O.M.A.D.R nr. 445/2008, intocmindu-se </w:t>
      </w:r>
      <w:r w:rsidRPr="009E193A">
        <w:rPr>
          <w:rFonts w:eastAsia="Calibri"/>
          <w:b/>
          <w:lang w:eastAsia="en-US"/>
        </w:rPr>
        <w:t xml:space="preserve">90 </w:t>
      </w:r>
      <w:r w:rsidRPr="009E193A">
        <w:rPr>
          <w:rFonts w:eastAsia="Calibri"/>
          <w:lang w:eastAsia="en-US"/>
        </w:rPr>
        <w:t>fişe de transmisie.</w:t>
      </w:r>
    </w:p>
    <w:p w:rsidR="009E193A" w:rsidRPr="009E193A" w:rsidRDefault="009E193A" w:rsidP="00A77970">
      <w:pPr>
        <w:tabs>
          <w:tab w:val="left" w:pos="0"/>
        </w:tabs>
        <w:ind w:firstLine="709"/>
        <w:jc w:val="both"/>
        <w:rPr>
          <w:rFonts w:eastAsia="Calibri"/>
          <w:lang w:eastAsia="en-US"/>
        </w:rPr>
      </w:pPr>
      <w:r w:rsidRPr="009E193A">
        <w:rPr>
          <w:rFonts w:eastAsia="Calibri"/>
          <w:lang w:eastAsia="en-US"/>
        </w:rPr>
        <w:t>S-a asigurat colectarea şi transmiterea la M.A.D.R a situaţiilor operative şi statistice privind producţia vegetală realizată pe trimestre,  suprafeţele însămânţate şi producţiile obţinute în anul 2018, estimarea producţiei agricole la principalele culturi.</w:t>
      </w:r>
    </w:p>
    <w:p w:rsidR="009E193A" w:rsidRPr="009E193A" w:rsidRDefault="009E193A" w:rsidP="00A77970">
      <w:pPr>
        <w:tabs>
          <w:tab w:val="left" w:pos="0"/>
        </w:tabs>
        <w:ind w:firstLine="709"/>
        <w:jc w:val="both"/>
        <w:rPr>
          <w:rFonts w:eastAsia="Calibri"/>
          <w:lang w:eastAsia="en-US"/>
        </w:rPr>
      </w:pPr>
      <w:r w:rsidRPr="009E193A">
        <w:rPr>
          <w:rFonts w:eastAsia="Calibri"/>
          <w:lang w:eastAsia="en-US"/>
        </w:rPr>
        <w:t>S-a efectuat centralizarea şi transmiterea la M.A.D.R a formularelor statistice AGR 2A privind suprafaţă însămânţată în anul 2018, a formularelor statistice AGR 2B privind suprafaţă recoltată şi producţia obţinută în anul 2018, programul producţiei vegetale pentru anul 2019 şi balanţa suprafeţelor agricole.</w:t>
      </w:r>
    </w:p>
    <w:p w:rsidR="00592994" w:rsidRPr="00663E01" w:rsidRDefault="009E193A" w:rsidP="00663E01">
      <w:pPr>
        <w:tabs>
          <w:tab w:val="left" w:pos="0"/>
        </w:tabs>
        <w:ind w:firstLine="709"/>
        <w:jc w:val="both"/>
        <w:rPr>
          <w:rFonts w:eastAsia="Calibri"/>
          <w:lang w:eastAsia="en-US"/>
        </w:rPr>
      </w:pPr>
      <w:r w:rsidRPr="009E193A">
        <w:rPr>
          <w:rFonts w:eastAsia="Calibri"/>
          <w:lang w:eastAsia="en-US"/>
        </w:rPr>
        <w:t>În perioada 02.10.2018-06.11.2018, urmare a solicitării MADR, a fost efectuată verificarea îndeplinirii condiţiilor iniţiale de recunoaştere a grupului de producători SC Agrounion SRL, recunoscut în anul 2015, în conformitate cu Ordonanţa Guvernului nr.  37</w:t>
      </w:r>
      <w:r w:rsidR="00663E01">
        <w:rPr>
          <w:rFonts w:eastAsia="Calibri"/>
          <w:lang w:eastAsia="en-US"/>
        </w:rPr>
        <w:t>/2005 şi  Ordinul nr. 171/2006.</w:t>
      </w:r>
    </w:p>
    <w:p w:rsidR="0067545C" w:rsidRDefault="0067545C" w:rsidP="00A77970">
      <w:pPr>
        <w:jc w:val="both"/>
        <w:rPr>
          <w:rFonts w:eastAsia="Palatino Linotype"/>
          <w:bCs/>
          <w:lang w:bidi="ro-RO"/>
        </w:rPr>
      </w:pPr>
    </w:p>
    <w:p w:rsidR="0067545C" w:rsidRPr="00C95B18" w:rsidRDefault="0067545C" w:rsidP="00A77970">
      <w:pPr>
        <w:autoSpaceDE w:val="0"/>
        <w:autoSpaceDN w:val="0"/>
        <w:adjustRightInd w:val="0"/>
        <w:jc w:val="both"/>
        <w:rPr>
          <w:b/>
          <w:bCs/>
          <w:lang w:val="en-US"/>
        </w:rPr>
      </w:pPr>
      <w:r>
        <w:rPr>
          <w:b/>
          <w:kern w:val="28"/>
          <w:lang w:val="en-US" w:eastAsia="en-US"/>
        </w:rPr>
        <w:t>P</w:t>
      </w:r>
      <w:r w:rsidRPr="001A0ECE">
        <w:rPr>
          <w:b/>
          <w:kern w:val="28"/>
          <w:lang w:val="en-US" w:eastAsia="en-US"/>
        </w:rPr>
        <w:t xml:space="preserve">rincipalele realizări </w:t>
      </w:r>
      <w:r>
        <w:rPr>
          <w:b/>
          <w:kern w:val="28"/>
          <w:lang w:val="en-US" w:eastAsia="en-US"/>
        </w:rPr>
        <w:t xml:space="preserve">ale </w:t>
      </w:r>
      <w:r w:rsidRPr="003D717E">
        <w:rPr>
          <w:b/>
          <w:bCs/>
        </w:rPr>
        <w:t>Direcţi</w:t>
      </w:r>
      <w:r w:rsidR="00C95B18">
        <w:rPr>
          <w:b/>
          <w:bCs/>
        </w:rPr>
        <w:t>ei</w:t>
      </w:r>
      <w:r w:rsidRPr="003D717E">
        <w:rPr>
          <w:b/>
          <w:bCs/>
        </w:rPr>
        <w:t xml:space="preserve"> Sanitar</w:t>
      </w:r>
      <w:r>
        <w:rPr>
          <w:b/>
          <w:bCs/>
          <w:lang w:val="en-US"/>
        </w:rPr>
        <w:t>e</w:t>
      </w:r>
      <w:r w:rsidRPr="003D717E">
        <w:rPr>
          <w:b/>
          <w:bCs/>
        </w:rPr>
        <w:t xml:space="preserve"> Veterinar</w:t>
      </w:r>
      <w:r>
        <w:rPr>
          <w:b/>
          <w:bCs/>
          <w:lang w:val="en-US"/>
        </w:rPr>
        <w:t>e</w:t>
      </w:r>
      <w:r w:rsidRPr="003D717E">
        <w:rPr>
          <w:b/>
          <w:bCs/>
        </w:rPr>
        <w:t xml:space="preserve"> şi pentru Siguranţa Alimentelor Bucureşti</w:t>
      </w:r>
      <w:r>
        <w:rPr>
          <w:b/>
          <w:bCs/>
          <w:lang w:val="en-US"/>
        </w:rPr>
        <w:t xml:space="preserve"> </w:t>
      </w:r>
      <w:r w:rsidRPr="00C95B18">
        <w:rPr>
          <w:b/>
          <w:bCs/>
          <w:lang w:val="en-US"/>
        </w:rPr>
        <w:t>(</w:t>
      </w:r>
      <w:r w:rsidR="00F63B10" w:rsidRPr="00C95B18">
        <w:rPr>
          <w:b/>
        </w:rPr>
        <w:t>D.S.V.S.A.B</w:t>
      </w:r>
      <w:r w:rsidRPr="00C95B18">
        <w:rPr>
          <w:b/>
          <w:bCs/>
          <w:lang w:val="en-US"/>
        </w:rPr>
        <w:t>)</w:t>
      </w:r>
    </w:p>
    <w:p w:rsidR="003B4CD3" w:rsidRDefault="003B4CD3" w:rsidP="00A77970">
      <w:pPr>
        <w:autoSpaceDE w:val="0"/>
        <w:autoSpaceDN w:val="0"/>
        <w:adjustRightInd w:val="0"/>
        <w:jc w:val="center"/>
        <w:rPr>
          <w:rFonts w:eastAsia="Palatino Linotype"/>
          <w:bCs/>
          <w:lang w:val="en-US" w:bidi="ro-RO"/>
        </w:rPr>
      </w:pPr>
    </w:p>
    <w:p w:rsidR="003B4CD3" w:rsidRPr="003B4CD3" w:rsidRDefault="003B4CD3" w:rsidP="00A77970">
      <w:pPr>
        <w:tabs>
          <w:tab w:val="left" w:pos="0"/>
        </w:tabs>
        <w:autoSpaceDE w:val="0"/>
        <w:autoSpaceDN w:val="0"/>
        <w:adjustRightInd w:val="0"/>
        <w:jc w:val="both"/>
        <w:rPr>
          <w:rFonts w:eastAsia="SimSun"/>
          <w:b/>
          <w:lang w:eastAsia="zh-CN"/>
        </w:rPr>
      </w:pPr>
      <w:r>
        <w:rPr>
          <w:rFonts w:eastAsia="SimSun"/>
          <w:b/>
          <w:lang w:eastAsia="zh-CN"/>
        </w:rPr>
        <w:tab/>
      </w:r>
      <w:r w:rsidRPr="003B4CD3">
        <w:rPr>
          <w:rFonts w:eastAsia="SimSun"/>
          <w:b/>
          <w:lang w:eastAsia="zh-CN"/>
        </w:rPr>
        <w:t xml:space="preserve">Serviciul Control Oficial Sănătate și Bunăstare Animală </w:t>
      </w:r>
    </w:p>
    <w:p w:rsidR="00E377DA" w:rsidRDefault="003B4CD3" w:rsidP="00A77970">
      <w:pPr>
        <w:tabs>
          <w:tab w:val="left" w:pos="0"/>
        </w:tabs>
        <w:autoSpaceDE w:val="0"/>
        <w:autoSpaceDN w:val="0"/>
        <w:adjustRightInd w:val="0"/>
        <w:jc w:val="both"/>
        <w:rPr>
          <w:rFonts w:eastAsia="SimSun"/>
          <w:lang w:eastAsia="zh-CN"/>
        </w:rPr>
      </w:pPr>
      <w:r>
        <w:rPr>
          <w:rFonts w:eastAsia="SimSun"/>
          <w:lang w:eastAsia="zh-CN"/>
        </w:rPr>
        <w:tab/>
      </w:r>
      <w:r w:rsidRPr="003B4CD3">
        <w:rPr>
          <w:rFonts w:eastAsia="SimSun"/>
          <w:lang w:eastAsia="zh-CN"/>
        </w:rPr>
        <w:t>Numărul verificărilor planificate/numărul verificărilor realizate</w:t>
      </w:r>
      <w:r w:rsidR="00E377DA">
        <w:rPr>
          <w:rFonts w:eastAsia="SimSun"/>
          <w:lang w:eastAsia="zh-CN"/>
        </w:rPr>
        <w:t xml:space="preserve"> în:</w:t>
      </w:r>
      <w:r w:rsidRPr="003B4CD3">
        <w:rPr>
          <w:rFonts w:eastAsia="SimSun"/>
          <w:lang w:eastAsia="zh-CN"/>
        </w:rPr>
        <w:t xml:space="preserve"> </w:t>
      </w:r>
    </w:p>
    <w:p w:rsidR="00E377DA" w:rsidRDefault="003B4CD3" w:rsidP="00980D72">
      <w:pPr>
        <w:pStyle w:val="ListParagraph"/>
        <w:numPr>
          <w:ilvl w:val="0"/>
          <w:numId w:val="27"/>
        </w:numPr>
        <w:tabs>
          <w:tab w:val="left" w:pos="0"/>
        </w:tabs>
        <w:autoSpaceDE w:val="0"/>
        <w:autoSpaceDN w:val="0"/>
        <w:adjustRightInd w:val="0"/>
        <w:ind w:left="0" w:firstLine="0"/>
        <w:jc w:val="both"/>
        <w:rPr>
          <w:rFonts w:eastAsia="SimSun"/>
          <w:lang w:val="en-US" w:eastAsia="zh-CN"/>
        </w:rPr>
      </w:pPr>
      <w:r w:rsidRPr="00E377DA">
        <w:rPr>
          <w:rFonts w:eastAsia="SimSun"/>
          <w:lang w:eastAsia="zh-CN"/>
        </w:rPr>
        <w:t>unitățil</w:t>
      </w:r>
      <w:r w:rsidR="00E377DA">
        <w:rPr>
          <w:rFonts w:eastAsia="SimSun"/>
          <w:lang w:eastAsia="zh-CN"/>
        </w:rPr>
        <w:t>e</w:t>
      </w:r>
      <w:r w:rsidRPr="00E377DA">
        <w:rPr>
          <w:rFonts w:eastAsia="SimSun"/>
          <w:lang w:eastAsia="zh-CN"/>
        </w:rPr>
        <w:t xml:space="preserve"> farmaceutice veterinare și unităţilor de asistenţă medicală veterinară</w:t>
      </w:r>
      <w:r w:rsidRPr="00E377DA">
        <w:rPr>
          <w:rFonts w:eastAsia="SimSun"/>
          <w:lang w:val="en-US" w:eastAsia="zh-CN"/>
        </w:rPr>
        <w:t>: 264 planificate, 271 realizate - grad de realizare 100%</w:t>
      </w:r>
      <w:r w:rsidR="00E377DA">
        <w:rPr>
          <w:rFonts w:eastAsia="SimSun"/>
          <w:lang w:val="en-US" w:eastAsia="zh-CN"/>
        </w:rPr>
        <w:t>;</w:t>
      </w:r>
    </w:p>
    <w:p w:rsidR="00E377DA" w:rsidRDefault="003B4CD3" w:rsidP="00980D72">
      <w:pPr>
        <w:pStyle w:val="ListParagraph"/>
        <w:numPr>
          <w:ilvl w:val="0"/>
          <w:numId w:val="27"/>
        </w:numPr>
        <w:tabs>
          <w:tab w:val="left" w:pos="0"/>
        </w:tabs>
        <w:autoSpaceDE w:val="0"/>
        <w:autoSpaceDN w:val="0"/>
        <w:adjustRightInd w:val="0"/>
        <w:ind w:left="0" w:firstLine="0"/>
        <w:jc w:val="both"/>
        <w:rPr>
          <w:rFonts w:eastAsia="SimSun"/>
          <w:lang w:val="en-US" w:eastAsia="zh-CN"/>
        </w:rPr>
      </w:pPr>
      <w:r w:rsidRPr="00E377DA">
        <w:rPr>
          <w:rFonts w:eastAsia="SimSun"/>
          <w:lang w:eastAsia="zh-CN"/>
        </w:rPr>
        <w:t>unități</w:t>
      </w:r>
      <w:r w:rsidR="00E377DA">
        <w:rPr>
          <w:rFonts w:eastAsia="SimSun"/>
          <w:lang w:eastAsia="zh-CN"/>
        </w:rPr>
        <w:t>le</w:t>
      </w:r>
      <w:r w:rsidRPr="00E377DA">
        <w:rPr>
          <w:rFonts w:eastAsia="SimSun"/>
          <w:lang w:eastAsia="zh-CN"/>
        </w:rPr>
        <w:t xml:space="preserve"> care utilizează/importă/distribuie produse biocide - 46</w:t>
      </w:r>
      <w:r w:rsidRPr="00E377DA">
        <w:rPr>
          <w:rFonts w:eastAsia="SimSun"/>
          <w:lang w:val="en-US" w:eastAsia="zh-CN"/>
        </w:rPr>
        <w:t xml:space="preserve"> planificate, 46 realizate - grad de realizare 100%</w:t>
      </w:r>
      <w:r w:rsidR="00E377DA">
        <w:rPr>
          <w:rFonts w:eastAsia="SimSun"/>
          <w:lang w:val="en-US" w:eastAsia="zh-CN"/>
        </w:rPr>
        <w:t>;</w:t>
      </w:r>
    </w:p>
    <w:p w:rsidR="00E377DA" w:rsidRDefault="003B4CD3" w:rsidP="00980D72">
      <w:pPr>
        <w:pStyle w:val="ListParagraph"/>
        <w:numPr>
          <w:ilvl w:val="0"/>
          <w:numId w:val="27"/>
        </w:numPr>
        <w:tabs>
          <w:tab w:val="left" w:pos="0"/>
        </w:tabs>
        <w:autoSpaceDE w:val="0"/>
        <w:autoSpaceDN w:val="0"/>
        <w:adjustRightInd w:val="0"/>
        <w:ind w:left="0" w:firstLine="0"/>
        <w:jc w:val="both"/>
        <w:rPr>
          <w:rFonts w:eastAsia="SimSun"/>
          <w:lang w:val="en-US" w:eastAsia="zh-CN"/>
        </w:rPr>
      </w:pPr>
      <w:r w:rsidRPr="00E377DA">
        <w:rPr>
          <w:rFonts w:eastAsia="SimSun"/>
          <w:lang w:eastAsia="zh-CN"/>
        </w:rPr>
        <w:t>unitățile din domeniul nutriţiei animale - 137</w:t>
      </w:r>
      <w:r w:rsidRPr="00E377DA">
        <w:rPr>
          <w:rFonts w:eastAsia="SimSun"/>
          <w:lang w:val="en-US" w:eastAsia="zh-CN"/>
        </w:rPr>
        <w:t xml:space="preserve"> planificate, 46 realizate - grad de realizare 100%</w:t>
      </w:r>
      <w:r w:rsidR="00E377DA">
        <w:rPr>
          <w:rFonts w:eastAsia="SimSun"/>
          <w:lang w:val="en-US" w:eastAsia="zh-CN"/>
        </w:rPr>
        <w:t>;</w:t>
      </w:r>
    </w:p>
    <w:p w:rsidR="00E377DA" w:rsidRDefault="003B4CD3" w:rsidP="00980D72">
      <w:pPr>
        <w:pStyle w:val="ListParagraph"/>
        <w:numPr>
          <w:ilvl w:val="0"/>
          <w:numId w:val="27"/>
        </w:numPr>
        <w:tabs>
          <w:tab w:val="left" w:pos="0"/>
        </w:tabs>
        <w:autoSpaceDE w:val="0"/>
        <w:autoSpaceDN w:val="0"/>
        <w:adjustRightInd w:val="0"/>
        <w:ind w:left="0" w:firstLine="0"/>
        <w:jc w:val="both"/>
        <w:rPr>
          <w:rFonts w:eastAsia="SimSun"/>
          <w:lang w:val="en-US" w:eastAsia="zh-CN"/>
        </w:rPr>
      </w:pPr>
      <w:r w:rsidRPr="00E377DA">
        <w:rPr>
          <w:rFonts w:eastAsia="SimSun"/>
          <w:lang w:eastAsia="zh-CN"/>
        </w:rPr>
        <w:t>unitățile din domeniul subproduselor de origine animală care nu sunt destinate consumului uman - 34</w:t>
      </w:r>
      <w:r w:rsidRPr="00E377DA">
        <w:rPr>
          <w:rFonts w:eastAsia="SimSun"/>
          <w:lang w:val="en-US" w:eastAsia="zh-CN"/>
        </w:rPr>
        <w:t xml:space="preserve"> planificate, 36 realizate - grad de realizare 100%</w:t>
      </w:r>
      <w:r w:rsidR="00E377DA">
        <w:rPr>
          <w:rFonts w:eastAsia="SimSun"/>
          <w:lang w:val="en-US" w:eastAsia="zh-CN"/>
        </w:rPr>
        <w:t>;</w:t>
      </w:r>
    </w:p>
    <w:p w:rsidR="003B4CD3" w:rsidRPr="00E377DA" w:rsidRDefault="003B4CD3" w:rsidP="00980D72">
      <w:pPr>
        <w:pStyle w:val="ListParagraph"/>
        <w:numPr>
          <w:ilvl w:val="0"/>
          <w:numId w:val="27"/>
        </w:numPr>
        <w:tabs>
          <w:tab w:val="left" w:pos="0"/>
        </w:tabs>
        <w:autoSpaceDE w:val="0"/>
        <w:autoSpaceDN w:val="0"/>
        <w:adjustRightInd w:val="0"/>
        <w:ind w:left="0" w:firstLine="0"/>
        <w:jc w:val="both"/>
        <w:rPr>
          <w:rFonts w:eastAsia="SimSun"/>
          <w:lang w:val="en-US" w:eastAsia="zh-CN"/>
        </w:rPr>
      </w:pPr>
      <w:r w:rsidRPr="00E377DA">
        <w:rPr>
          <w:rFonts w:eastAsia="SimSun"/>
          <w:lang w:eastAsia="zh-CN"/>
        </w:rPr>
        <w:t>unitățile din domeniul sănătății și bunăstării animalelor la deținători de animale domestice sau de companie: 210</w:t>
      </w:r>
      <w:r w:rsidRPr="00E377DA">
        <w:rPr>
          <w:rFonts w:eastAsia="SimSun"/>
          <w:lang w:val="en-US" w:eastAsia="zh-CN"/>
        </w:rPr>
        <w:t xml:space="preserve"> planificate, 278 realizate - grad de realizare 100%.</w:t>
      </w:r>
    </w:p>
    <w:p w:rsidR="003B4CD3" w:rsidRPr="003B4CD3" w:rsidRDefault="003B4CD3" w:rsidP="00A77970">
      <w:pPr>
        <w:tabs>
          <w:tab w:val="left" w:pos="0"/>
        </w:tabs>
        <w:autoSpaceDE w:val="0"/>
        <w:autoSpaceDN w:val="0"/>
        <w:adjustRightInd w:val="0"/>
        <w:jc w:val="both"/>
        <w:rPr>
          <w:lang w:val="en-US" w:eastAsia="en-GB"/>
        </w:rPr>
      </w:pPr>
      <w:r>
        <w:rPr>
          <w:rFonts w:eastAsia="SimSun"/>
          <w:lang w:eastAsia="zh-CN"/>
        </w:rPr>
        <w:tab/>
      </w:r>
      <w:r w:rsidRPr="003B4CD3">
        <w:rPr>
          <w:rFonts w:eastAsia="SimSun"/>
          <w:lang w:eastAsia="zh-CN"/>
        </w:rPr>
        <w:t>Numărul de recoltări probe planificate/realizate produse medicinale veterinare: 21 planificate, 18 realizate - grad de realizare 85,7% (</w:t>
      </w:r>
      <w:r w:rsidRPr="003B4CD3">
        <w:rPr>
          <w:rFonts w:eastAsia="SimSun"/>
          <w:lang w:val="en-US" w:eastAsia="zh-CN"/>
        </w:rPr>
        <w:t>3 probe nu s-au găsit în rețeaua de distribuție a municipiului București).</w:t>
      </w:r>
    </w:p>
    <w:p w:rsidR="003B4CD3" w:rsidRPr="00E377DA" w:rsidRDefault="003B4CD3" w:rsidP="00A77970">
      <w:pPr>
        <w:tabs>
          <w:tab w:val="left" w:pos="0"/>
        </w:tabs>
        <w:autoSpaceDE w:val="0"/>
        <w:autoSpaceDN w:val="0"/>
        <w:adjustRightInd w:val="0"/>
        <w:jc w:val="both"/>
        <w:rPr>
          <w:rFonts w:eastAsia="SimSun"/>
          <w:lang w:eastAsia="zh-CN"/>
        </w:rPr>
      </w:pPr>
      <w:r>
        <w:rPr>
          <w:rFonts w:eastAsia="SimSun"/>
          <w:lang w:eastAsia="zh-CN"/>
        </w:rPr>
        <w:tab/>
      </w:r>
      <w:r w:rsidRPr="003B4CD3">
        <w:rPr>
          <w:rFonts w:eastAsia="SimSun"/>
          <w:lang w:eastAsia="zh-CN"/>
        </w:rPr>
        <w:t>Numărul de recoltări probe planificate/realizate conform Planului cifric control furaje/2018</w:t>
      </w:r>
      <w:r w:rsidRPr="003B4CD3">
        <w:rPr>
          <w:rFonts w:eastAsia="SimSun"/>
          <w:lang w:val="pt-BR" w:eastAsia="zh-CN"/>
        </w:rPr>
        <w:t>:</w:t>
      </w:r>
      <w:r w:rsidRPr="003B4CD3">
        <w:rPr>
          <w:rFonts w:eastAsia="SimSun"/>
          <w:lang w:eastAsia="zh-CN"/>
        </w:rPr>
        <w:t xml:space="preserve"> recoltări probe furaje: 43 planificate, 42 realizate - grad de realizare – 97,7% (1 probă furaje nu a putut fi recoltată întrucât nu s-a găsit).</w:t>
      </w:r>
    </w:p>
    <w:p w:rsidR="003B4CD3" w:rsidRPr="003B4CD3" w:rsidRDefault="003B4CD3" w:rsidP="00A77970">
      <w:pPr>
        <w:tabs>
          <w:tab w:val="left" w:pos="0"/>
        </w:tabs>
        <w:autoSpaceDE w:val="0"/>
        <w:autoSpaceDN w:val="0"/>
        <w:adjustRightInd w:val="0"/>
        <w:jc w:val="both"/>
        <w:rPr>
          <w:rFonts w:eastAsia="SimSun"/>
          <w:lang w:eastAsia="zh-CN"/>
        </w:rPr>
      </w:pPr>
      <w:r>
        <w:rPr>
          <w:rFonts w:eastAsia="SimSun"/>
          <w:lang w:eastAsia="zh-CN"/>
        </w:rPr>
        <w:tab/>
      </w:r>
      <w:r w:rsidRPr="003B4CD3">
        <w:rPr>
          <w:rFonts w:eastAsia="SimSun"/>
          <w:lang w:eastAsia="zh-CN"/>
        </w:rPr>
        <w:t>În anul 2018, pe teritoriul municipiului Bucureşti, în conformitate cu prevederile Ordinului ANSVSA nr. 35/2016, au fost realizate următoarele acţiuni sanitare veterinare:</w:t>
      </w:r>
    </w:p>
    <w:p w:rsidR="003B4CD3" w:rsidRPr="003B4CD3" w:rsidRDefault="003B4CD3" w:rsidP="00A77970">
      <w:pPr>
        <w:tabs>
          <w:tab w:val="left" w:pos="720"/>
          <w:tab w:val="left" w:pos="1260"/>
        </w:tabs>
        <w:autoSpaceDE w:val="0"/>
        <w:autoSpaceDN w:val="0"/>
        <w:adjustRightInd w:val="0"/>
        <w:ind w:firstLine="540"/>
        <w:jc w:val="both"/>
        <w:rPr>
          <w:rFonts w:eastAsia="SimSun"/>
          <w:lang w:eastAsia="zh-CN"/>
        </w:rPr>
      </w:pPr>
    </w:p>
    <w:tbl>
      <w:tblPr>
        <w:tblW w:w="10490" w:type="dxa"/>
        <w:jc w:val="center"/>
        <w:tblInd w:w="-176" w:type="dxa"/>
        <w:tblLayout w:type="fixed"/>
        <w:tblLook w:val="0000"/>
      </w:tblPr>
      <w:tblGrid>
        <w:gridCol w:w="568"/>
        <w:gridCol w:w="6705"/>
        <w:gridCol w:w="1276"/>
        <w:gridCol w:w="992"/>
        <w:gridCol w:w="949"/>
      </w:tblGrid>
      <w:tr w:rsidR="003B4CD3" w:rsidRPr="003B4CD3" w:rsidTr="003B4CD3">
        <w:trPr>
          <w:trHeight w:val="315"/>
          <w:jc w:val="center"/>
        </w:trPr>
        <w:tc>
          <w:tcPr>
            <w:tcW w:w="56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B4CD3" w:rsidRPr="003B4CD3" w:rsidRDefault="003B4CD3" w:rsidP="00A77970">
            <w:pPr>
              <w:ind w:hanging="46"/>
              <w:jc w:val="center"/>
              <w:rPr>
                <w:lang w:val="en-GB" w:eastAsia="en-GB"/>
              </w:rPr>
            </w:pPr>
            <w:r w:rsidRPr="003B4CD3">
              <w:rPr>
                <w:sz w:val="22"/>
                <w:szCs w:val="22"/>
                <w:lang w:val="en-GB" w:eastAsia="en-GB"/>
              </w:rPr>
              <w:t>Nr.</w:t>
            </w:r>
          </w:p>
        </w:tc>
        <w:tc>
          <w:tcPr>
            <w:tcW w:w="67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B4CD3" w:rsidRPr="003B4CD3" w:rsidRDefault="003B4CD3" w:rsidP="00A77970">
            <w:pPr>
              <w:jc w:val="center"/>
              <w:rPr>
                <w:bCs/>
                <w:i/>
                <w:iCs/>
                <w:lang w:val="en-GB" w:eastAsia="en-GB"/>
              </w:rPr>
            </w:pPr>
            <w:r w:rsidRPr="003B4CD3">
              <w:rPr>
                <w:bCs/>
                <w:i/>
                <w:iCs/>
                <w:sz w:val="22"/>
                <w:szCs w:val="22"/>
                <w:lang w:val="en-GB" w:eastAsia="en-GB"/>
              </w:rPr>
              <w:t>Denumirea acțiunii</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B4CD3" w:rsidRPr="003B4CD3" w:rsidRDefault="003B4CD3" w:rsidP="00A77970">
            <w:pPr>
              <w:jc w:val="center"/>
              <w:rPr>
                <w:bCs/>
                <w:i/>
                <w:iCs/>
                <w:lang w:val="en-GB" w:eastAsia="en-GB"/>
              </w:rPr>
            </w:pPr>
            <w:r w:rsidRPr="003B4CD3">
              <w:rPr>
                <w:bCs/>
                <w:i/>
                <w:iCs/>
                <w:sz w:val="22"/>
                <w:szCs w:val="22"/>
                <w:lang w:val="en-GB" w:eastAsia="en-GB"/>
              </w:rPr>
              <w:t xml:space="preserve">Programat </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B4CD3" w:rsidRPr="003B4CD3" w:rsidRDefault="003B4CD3" w:rsidP="00A77970">
            <w:pPr>
              <w:jc w:val="center"/>
              <w:rPr>
                <w:bCs/>
                <w:i/>
                <w:iCs/>
                <w:lang w:val="en-GB" w:eastAsia="en-GB"/>
              </w:rPr>
            </w:pPr>
            <w:r w:rsidRPr="003B4CD3">
              <w:rPr>
                <w:bCs/>
                <w:i/>
                <w:iCs/>
                <w:sz w:val="22"/>
                <w:szCs w:val="22"/>
                <w:lang w:val="en-GB" w:eastAsia="en-GB"/>
              </w:rPr>
              <w:t>Realizat</w:t>
            </w:r>
          </w:p>
        </w:tc>
        <w:tc>
          <w:tcPr>
            <w:tcW w:w="9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B4CD3" w:rsidRPr="003B4CD3" w:rsidRDefault="003B4CD3" w:rsidP="00A77970">
            <w:pPr>
              <w:jc w:val="center"/>
              <w:rPr>
                <w:bCs/>
                <w:i/>
                <w:iCs/>
                <w:lang w:val="en-GB" w:eastAsia="en-GB"/>
              </w:rPr>
            </w:pPr>
            <w:r w:rsidRPr="003B4CD3">
              <w:rPr>
                <w:bCs/>
                <w:i/>
                <w:iCs/>
                <w:sz w:val="22"/>
                <w:szCs w:val="22"/>
                <w:lang w:val="en-GB" w:eastAsia="en-GB"/>
              </w:rPr>
              <w:t>Procent</w:t>
            </w:r>
          </w:p>
        </w:tc>
      </w:tr>
      <w:tr w:rsidR="003B4CD3" w:rsidRPr="003B4CD3" w:rsidTr="003B4CD3">
        <w:trPr>
          <w:trHeight w:val="315"/>
          <w:jc w:val="center"/>
        </w:trPr>
        <w:tc>
          <w:tcPr>
            <w:tcW w:w="568" w:type="dxa"/>
            <w:vMerge/>
            <w:tcBorders>
              <w:top w:val="single" w:sz="4" w:space="0" w:color="auto"/>
              <w:left w:val="single" w:sz="4" w:space="0" w:color="auto"/>
              <w:bottom w:val="single" w:sz="4" w:space="0" w:color="000000"/>
              <w:right w:val="single" w:sz="4" w:space="0" w:color="auto"/>
            </w:tcBorders>
            <w:vAlign w:val="center"/>
          </w:tcPr>
          <w:p w:rsidR="003B4CD3" w:rsidRPr="003B4CD3" w:rsidRDefault="003B4CD3" w:rsidP="00A77970">
            <w:pPr>
              <w:rPr>
                <w:lang w:val="en-GB" w:eastAsia="en-GB"/>
              </w:rPr>
            </w:pPr>
          </w:p>
        </w:tc>
        <w:tc>
          <w:tcPr>
            <w:tcW w:w="6705" w:type="dxa"/>
            <w:vMerge/>
            <w:tcBorders>
              <w:top w:val="single" w:sz="4" w:space="0" w:color="auto"/>
              <w:left w:val="single" w:sz="4" w:space="0" w:color="auto"/>
              <w:bottom w:val="single" w:sz="4" w:space="0" w:color="auto"/>
              <w:right w:val="single" w:sz="4" w:space="0" w:color="auto"/>
            </w:tcBorders>
            <w:vAlign w:val="center"/>
          </w:tcPr>
          <w:p w:rsidR="003B4CD3" w:rsidRPr="003B4CD3" w:rsidRDefault="003B4CD3" w:rsidP="00A77970">
            <w:pPr>
              <w:rPr>
                <w:b/>
                <w:bCs/>
                <w:i/>
                <w:iCs/>
                <w:lang w:val="en-GB"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tcPr>
          <w:p w:rsidR="003B4CD3" w:rsidRPr="003B4CD3" w:rsidRDefault="003B4CD3" w:rsidP="00A77970">
            <w:pPr>
              <w:rPr>
                <w:b/>
                <w:bCs/>
                <w:lang w:val="en-GB" w:eastAsia="en-GB"/>
              </w:rPr>
            </w:pPr>
          </w:p>
        </w:tc>
        <w:tc>
          <w:tcPr>
            <w:tcW w:w="992" w:type="dxa"/>
            <w:vMerge/>
            <w:tcBorders>
              <w:top w:val="single" w:sz="4" w:space="0" w:color="auto"/>
              <w:left w:val="single" w:sz="4" w:space="0" w:color="auto"/>
              <w:bottom w:val="single" w:sz="4" w:space="0" w:color="000000"/>
              <w:right w:val="single" w:sz="4" w:space="0" w:color="auto"/>
            </w:tcBorders>
            <w:vAlign w:val="center"/>
          </w:tcPr>
          <w:p w:rsidR="003B4CD3" w:rsidRPr="003B4CD3" w:rsidRDefault="003B4CD3" w:rsidP="00A77970">
            <w:pPr>
              <w:rPr>
                <w:b/>
                <w:bCs/>
                <w:lang w:val="en-GB" w:eastAsia="en-GB"/>
              </w:rPr>
            </w:pPr>
          </w:p>
        </w:tc>
        <w:tc>
          <w:tcPr>
            <w:tcW w:w="949" w:type="dxa"/>
            <w:vMerge/>
            <w:tcBorders>
              <w:top w:val="single" w:sz="4" w:space="0" w:color="auto"/>
              <w:left w:val="single" w:sz="4" w:space="0" w:color="auto"/>
              <w:bottom w:val="single" w:sz="4" w:space="0" w:color="auto"/>
              <w:right w:val="single" w:sz="4" w:space="0" w:color="auto"/>
            </w:tcBorders>
            <w:vAlign w:val="center"/>
          </w:tcPr>
          <w:p w:rsidR="003B4CD3" w:rsidRPr="003B4CD3" w:rsidRDefault="003B4CD3" w:rsidP="00A77970">
            <w:pPr>
              <w:rPr>
                <w:b/>
                <w:bCs/>
                <w:lang w:val="en-GB" w:eastAsia="en-GB"/>
              </w:rPr>
            </w:pPr>
          </w:p>
        </w:tc>
      </w:tr>
      <w:tr w:rsidR="003B4CD3" w:rsidRPr="003B4CD3" w:rsidTr="003B4CD3">
        <w:trPr>
          <w:trHeight w:val="315"/>
          <w:jc w:val="center"/>
        </w:trPr>
        <w:tc>
          <w:tcPr>
            <w:tcW w:w="568" w:type="dxa"/>
            <w:tcBorders>
              <w:top w:val="nil"/>
              <w:left w:val="single" w:sz="4" w:space="0" w:color="auto"/>
              <w:bottom w:val="single" w:sz="4" w:space="0" w:color="auto"/>
              <w:right w:val="single" w:sz="4" w:space="0" w:color="auto"/>
            </w:tcBorders>
            <w:shd w:val="clear" w:color="auto" w:fill="auto"/>
            <w:vAlign w:val="center"/>
          </w:tcPr>
          <w:p w:rsidR="003B4CD3" w:rsidRPr="003B4CD3" w:rsidRDefault="003B4CD3" w:rsidP="00A77970">
            <w:pPr>
              <w:jc w:val="center"/>
              <w:rPr>
                <w:lang w:val="en-GB" w:eastAsia="en-GB"/>
              </w:rPr>
            </w:pPr>
            <w:r w:rsidRPr="003B4CD3">
              <w:rPr>
                <w:sz w:val="22"/>
                <w:szCs w:val="22"/>
                <w:lang w:val="en-GB" w:eastAsia="en-GB"/>
              </w:rPr>
              <w:t>1</w:t>
            </w:r>
          </w:p>
        </w:tc>
        <w:tc>
          <w:tcPr>
            <w:tcW w:w="6705"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rPr>
                <w:lang w:val="pt-BR" w:eastAsia="en-GB"/>
              </w:rPr>
            </w:pPr>
            <w:r w:rsidRPr="003B4CD3">
              <w:rPr>
                <w:sz w:val="22"/>
                <w:szCs w:val="22"/>
                <w:lang w:val="pt-BR" w:eastAsia="en-GB"/>
              </w:rPr>
              <w:t>Supraveghere serologică pesta porcină africană</w:t>
            </w:r>
          </w:p>
        </w:tc>
        <w:tc>
          <w:tcPr>
            <w:tcW w:w="1276"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0</w:t>
            </w:r>
          </w:p>
        </w:tc>
        <w:tc>
          <w:tcPr>
            <w:tcW w:w="992"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1</w:t>
            </w:r>
          </w:p>
        </w:tc>
        <w:tc>
          <w:tcPr>
            <w:tcW w:w="949"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100%</w:t>
            </w:r>
          </w:p>
        </w:tc>
      </w:tr>
      <w:tr w:rsidR="003B4CD3" w:rsidRPr="003B4CD3" w:rsidTr="003B4CD3">
        <w:trPr>
          <w:trHeight w:val="315"/>
          <w:jc w:val="center"/>
        </w:trPr>
        <w:tc>
          <w:tcPr>
            <w:tcW w:w="568" w:type="dxa"/>
            <w:tcBorders>
              <w:top w:val="nil"/>
              <w:left w:val="single" w:sz="4" w:space="0" w:color="auto"/>
              <w:bottom w:val="single" w:sz="4" w:space="0" w:color="auto"/>
              <w:right w:val="single" w:sz="4" w:space="0" w:color="auto"/>
            </w:tcBorders>
            <w:shd w:val="clear" w:color="auto" w:fill="auto"/>
            <w:vAlign w:val="center"/>
          </w:tcPr>
          <w:p w:rsidR="003B4CD3" w:rsidRPr="003B4CD3" w:rsidRDefault="003B4CD3" w:rsidP="00A77970">
            <w:pPr>
              <w:jc w:val="center"/>
              <w:rPr>
                <w:lang w:val="en-GB" w:eastAsia="en-GB"/>
              </w:rPr>
            </w:pPr>
            <w:r w:rsidRPr="003B4CD3">
              <w:rPr>
                <w:sz w:val="22"/>
                <w:szCs w:val="22"/>
                <w:lang w:val="en-GB" w:eastAsia="en-GB"/>
              </w:rPr>
              <w:t>2</w:t>
            </w:r>
          </w:p>
        </w:tc>
        <w:tc>
          <w:tcPr>
            <w:tcW w:w="6705"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rPr>
                <w:lang w:val="it-IT" w:eastAsia="en-GB"/>
              </w:rPr>
            </w:pPr>
            <w:r w:rsidRPr="003B4CD3">
              <w:rPr>
                <w:sz w:val="22"/>
                <w:szCs w:val="22"/>
                <w:lang w:val="it-IT" w:eastAsia="en-GB"/>
              </w:rPr>
              <w:t>Supraveghere serologică influență aviară galinacee, păsări domestice</w:t>
            </w:r>
          </w:p>
        </w:tc>
        <w:tc>
          <w:tcPr>
            <w:tcW w:w="1276"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55</w:t>
            </w:r>
          </w:p>
        </w:tc>
        <w:tc>
          <w:tcPr>
            <w:tcW w:w="992"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45</w:t>
            </w:r>
          </w:p>
        </w:tc>
        <w:tc>
          <w:tcPr>
            <w:tcW w:w="949"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81,8%</w:t>
            </w:r>
          </w:p>
        </w:tc>
      </w:tr>
      <w:tr w:rsidR="003B4CD3" w:rsidRPr="003B4CD3" w:rsidTr="003B4CD3">
        <w:trPr>
          <w:trHeight w:val="315"/>
          <w:jc w:val="center"/>
        </w:trPr>
        <w:tc>
          <w:tcPr>
            <w:tcW w:w="568" w:type="dxa"/>
            <w:tcBorders>
              <w:top w:val="nil"/>
              <w:left w:val="single" w:sz="4" w:space="0" w:color="auto"/>
              <w:bottom w:val="single" w:sz="4" w:space="0" w:color="auto"/>
              <w:right w:val="single" w:sz="4" w:space="0" w:color="auto"/>
            </w:tcBorders>
            <w:shd w:val="clear" w:color="auto" w:fill="auto"/>
            <w:vAlign w:val="center"/>
          </w:tcPr>
          <w:p w:rsidR="003B4CD3" w:rsidRPr="003B4CD3" w:rsidRDefault="003B4CD3" w:rsidP="00A77970">
            <w:pPr>
              <w:jc w:val="center"/>
              <w:rPr>
                <w:lang w:val="en-GB" w:eastAsia="en-GB"/>
              </w:rPr>
            </w:pPr>
            <w:r w:rsidRPr="003B4CD3">
              <w:rPr>
                <w:sz w:val="22"/>
                <w:szCs w:val="22"/>
                <w:lang w:val="en-GB" w:eastAsia="en-GB"/>
              </w:rPr>
              <w:lastRenderedPageBreak/>
              <w:t>3</w:t>
            </w:r>
          </w:p>
        </w:tc>
        <w:tc>
          <w:tcPr>
            <w:tcW w:w="6705"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rPr>
                <w:lang w:val="en-GB" w:eastAsia="en-GB"/>
              </w:rPr>
            </w:pPr>
            <w:r w:rsidRPr="003B4CD3">
              <w:rPr>
                <w:sz w:val="22"/>
                <w:szCs w:val="22"/>
                <w:lang w:val="en-GB" w:eastAsia="en-GB"/>
              </w:rPr>
              <w:t>Supraveghere pasivă influență aviară păsări sălbatice</w:t>
            </w:r>
          </w:p>
        </w:tc>
        <w:tc>
          <w:tcPr>
            <w:tcW w:w="1276"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10</w:t>
            </w:r>
          </w:p>
        </w:tc>
        <w:tc>
          <w:tcPr>
            <w:tcW w:w="992"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6</w:t>
            </w:r>
          </w:p>
        </w:tc>
        <w:tc>
          <w:tcPr>
            <w:tcW w:w="949"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60%</w:t>
            </w:r>
          </w:p>
        </w:tc>
      </w:tr>
      <w:tr w:rsidR="003B4CD3" w:rsidRPr="003B4CD3" w:rsidTr="003B4CD3">
        <w:trPr>
          <w:trHeight w:val="315"/>
          <w:jc w:val="center"/>
        </w:trPr>
        <w:tc>
          <w:tcPr>
            <w:tcW w:w="568" w:type="dxa"/>
            <w:tcBorders>
              <w:top w:val="nil"/>
              <w:left w:val="single" w:sz="4" w:space="0" w:color="auto"/>
              <w:bottom w:val="single" w:sz="4" w:space="0" w:color="auto"/>
              <w:right w:val="single" w:sz="4" w:space="0" w:color="auto"/>
            </w:tcBorders>
            <w:shd w:val="clear" w:color="auto" w:fill="auto"/>
            <w:vAlign w:val="center"/>
          </w:tcPr>
          <w:p w:rsidR="003B4CD3" w:rsidRPr="003B4CD3" w:rsidRDefault="003B4CD3" w:rsidP="00A77970">
            <w:pPr>
              <w:jc w:val="center"/>
              <w:rPr>
                <w:lang w:val="en-GB" w:eastAsia="en-GB"/>
              </w:rPr>
            </w:pPr>
            <w:r w:rsidRPr="003B4CD3">
              <w:rPr>
                <w:sz w:val="22"/>
                <w:szCs w:val="22"/>
                <w:lang w:val="en-GB" w:eastAsia="en-GB"/>
              </w:rPr>
              <w:t>4</w:t>
            </w:r>
          </w:p>
        </w:tc>
        <w:tc>
          <w:tcPr>
            <w:tcW w:w="6705"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rPr>
                <w:lang w:val="en-GB" w:eastAsia="en-GB"/>
              </w:rPr>
            </w:pPr>
            <w:r w:rsidRPr="003B4CD3">
              <w:rPr>
                <w:sz w:val="22"/>
                <w:szCs w:val="22"/>
                <w:lang w:val="en-GB" w:eastAsia="en-GB"/>
              </w:rPr>
              <w:t>Supraveghere serologică bluetongue bovine, ovine, caprine</w:t>
            </w:r>
          </w:p>
        </w:tc>
        <w:tc>
          <w:tcPr>
            <w:tcW w:w="1276"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177</w:t>
            </w:r>
          </w:p>
        </w:tc>
        <w:tc>
          <w:tcPr>
            <w:tcW w:w="992"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149</w:t>
            </w:r>
          </w:p>
        </w:tc>
        <w:tc>
          <w:tcPr>
            <w:tcW w:w="949"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84,2%</w:t>
            </w:r>
          </w:p>
        </w:tc>
      </w:tr>
      <w:tr w:rsidR="003B4CD3" w:rsidRPr="003B4CD3" w:rsidTr="003B4CD3">
        <w:trPr>
          <w:trHeight w:val="315"/>
          <w:jc w:val="center"/>
        </w:trPr>
        <w:tc>
          <w:tcPr>
            <w:tcW w:w="568" w:type="dxa"/>
            <w:tcBorders>
              <w:top w:val="nil"/>
              <w:left w:val="single" w:sz="4" w:space="0" w:color="auto"/>
              <w:bottom w:val="single" w:sz="4" w:space="0" w:color="auto"/>
              <w:right w:val="single" w:sz="4" w:space="0" w:color="auto"/>
            </w:tcBorders>
            <w:shd w:val="clear" w:color="auto" w:fill="auto"/>
            <w:vAlign w:val="center"/>
          </w:tcPr>
          <w:p w:rsidR="003B4CD3" w:rsidRPr="003B4CD3" w:rsidRDefault="003B4CD3" w:rsidP="00A77970">
            <w:pPr>
              <w:jc w:val="center"/>
              <w:rPr>
                <w:lang w:val="en-GB" w:eastAsia="en-GB"/>
              </w:rPr>
            </w:pPr>
            <w:r w:rsidRPr="003B4CD3">
              <w:rPr>
                <w:sz w:val="22"/>
                <w:szCs w:val="22"/>
                <w:lang w:val="en-GB" w:eastAsia="en-GB"/>
              </w:rPr>
              <w:t>5</w:t>
            </w:r>
          </w:p>
        </w:tc>
        <w:tc>
          <w:tcPr>
            <w:tcW w:w="6705"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rPr>
                <w:lang w:val="en-GB" w:eastAsia="en-GB"/>
              </w:rPr>
            </w:pPr>
            <w:r w:rsidRPr="003B4CD3">
              <w:rPr>
                <w:sz w:val="22"/>
                <w:szCs w:val="22"/>
                <w:lang w:val="en-GB" w:eastAsia="en-GB"/>
              </w:rPr>
              <w:t>Capturare vectori bluetongue</w:t>
            </w:r>
          </w:p>
        </w:tc>
        <w:tc>
          <w:tcPr>
            <w:tcW w:w="1276"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18</w:t>
            </w:r>
          </w:p>
        </w:tc>
        <w:tc>
          <w:tcPr>
            <w:tcW w:w="992"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19</w:t>
            </w:r>
          </w:p>
        </w:tc>
        <w:tc>
          <w:tcPr>
            <w:tcW w:w="949"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100%</w:t>
            </w:r>
          </w:p>
        </w:tc>
      </w:tr>
      <w:tr w:rsidR="003B4CD3" w:rsidRPr="003B4CD3" w:rsidTr="003B4CD3">
        <w:trPr>
          <w:trHeight w:val="315"/>
          <w:jc w:val="center"/>
        </w:trPr>
        <w:tc>
          <w:tcPr>
            <w:tcW w:w="568" w:type="dxa"/>
            <w:tcBorders>
              <w:top w:val="nil"/>
              <w:left w:val="single" w:sz="4" w:space="0" w:color="auto"/>
              <w:bottom w:val="single" w:sz="4" w:space="0" w:color="auto"/>
              <w:right w:val="single" w:sz="4" w:space="0" w:color="auto"/>
            </w:tcBorders>
            <w:shd w:val="clear" w:color="auto" w:fill="auto"/>
            <w:vAlign w:val="center"/>
          </w:tcPr>
          <w:p w:rsidR="003B4CD3" w:rsidRPr="003B4CD3" w:rsidRDefault="003B4CD3" w:rsidP="00A77970">
            <w:pPr>
              <w:jc w:val="center"/>
              <w:rPr>
                <w:lang w:val="en-GB" w:eastAsia="en-GB"/>
              </w:rPr>
            </w:pPr>
            <w:r w:rsidRPr="003B4CD3">
              <w:rPr>
                <w:sz w:val="22"/>
                <w:szCs w:val="22"/>
                <w:lang w:val="en-GB" w:eastAsia="en-GB"/>
              </w:rPr>
              <w:t>6</w:t>
            </w:r>
          </w:p>
        </w:tc>
        <w:tc>
          <w:tcPr>
            <w:tcW w:w="6705"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rPr>
                <w:lang w:val="pt-BR" w:eastAsia="en-GB"/>
              </w:rPr>
            </w:pPr>
            <w:r w:rsidRPr="003B4CD3">
              <w:rPr>
                <w:sz w:val="22"/>
                <w:szCs w:val="22"/>
                <w:lang w:val="pt-BR" w:eastAsia="en-GB"/>
              </w:rPr>
              <w:t>Supraveghere E.S.B. - sacrificate pentru consum uman și de urgență</w:t>
            </w:r>
          </w:p>
        </w:tc>
        <w:tc>
          <w:tcPr>
            <w:tcW w:w="1276"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16</w:t>
            </w:r>
          </w:p>
        </w:tc>
        <w:tc>
          <w:tcPr>
            <w:tcW w:w="992"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6</w:t>
            </w:r>
          </w:p>
        </w:tc>
        <w:tc>
          <w:tcPr>
            <w:tcW w:w="949"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37.5%</w:t>
            </w:r>
          </w:p>
        </w:tc>
      </w:tr>
      <w:tr w:rsidR="003B4CD3" w:rsidRPr="003B4CD3" w:rsidTr="003B4CD3">
        <w:trPr>
          <w:trHeight w:val="315"/>
          <w:jc w:val="center"/>
        </w:trPr>
        <w:tc>
          <w:tcPr>
            <w:tcW w:w="568" w:type="dxa"/>
            <w:tcBorders>
              <w:top w:val="nil"/>
              <w:left w:val="single" w:sz="4" w:space="0" w:color="auto"/>
              <w:bottom w:val="single" w:sz="4" w:space="0" w:color="auto"/>
              <w:right w:val="single" w:sz="4" w:space="0" w:color="auto"/>
            </w:tcBorders>
            <w:shd w:val="clear" w:color="auto" w:fill="auto"/>
            <w:vAlign w:val="center"/>
          </w:tcPr>
          <w:p w:rsidR="003B4CD3" w:rsidRPr="003B4CD3" w:rsidRDefault="003B4CD3" w:rsidP="00A77970">
            <w:pPr>
              <w:jc w:val="center"/>
              <w:rPr>
                <w:lang w:val="en-GB" w:eastAsia="en-GB"/>
              </w:rPr>
            </w:pPr>
            <w:r w:rsidRPr="003B4CD3">
              <w:rPr>
                <w:sz w:val="22"/>
                <w:szCs w:val="22"/>
                <w:lang w:val="en-GB" w:eastAsia="en-GB"/>
              </w:rPr>
              <w:t>7</w:t>
            </w:r>
          </w:p>
        </w:tc>
        <w:tc>
          <w:tcPr>
            <w:tcW w:w="6705"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rPr>
                <w:lang w:val="it-IT" w:eastAsia="en-GB"/>
              </w:rPr>
            </w:pPr>
            <w:r w:rsidRPr="003B4CD3">
              <w:rPr>
                <w:sz w:val="22"/>
                <w:szCs w:val="22"/>
                <w:lang w:val="it-IT" w:eastAsia="en-GB"/>
              </w:rPr>
              <w:t>Supraveghere scrapie ovine și caprine - sacrificate pentru consum uman sau moarte</w:t>
            </w:r>
          </w:p>
        </w:tc>
        <w:tc>
          <w:tcPr>
            <w:tcW w:w="1276"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5</w:t>
            </w:r>
          </w:p>
        </w:tc>
        <w:tc>
          <w:tcPr>
            <w:tcW w:w="992"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5</w:t>
            </w:r>
          </w:p>
        </w:tc>
        <w:tc>
          <w:tcPr>
            <w:tcW w:w="949"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100%</w:t>
            </w:r>
          </w:p>
        </w:tc>
      </w:tr>
      <w:tr w:rsidR="003B4CD3" w:rsidRPr="003B4CD3" w:rsidTr="003B4CD3">
        <w:trPr>
          <w:trHeight w:val="315"/>
          <w:jc w:val="center"/>
        </w:trPr>
        <w:tc>
          <w:tcPr>
            <w:tcW w:w="568" w:type="dxa"/>
            <w:tcBorders>
              <w:top w:val="nil"/>
              <w:left w:val="single" w:sz="4" w:space="0" w:color="auto"/>
              <w:bottom w:val="single" w:sz="4" w:space="0" w:color="auto"/>
              <w:right w:val="single" w:sz="4" w:space="0" w:color="auto"/>
            </w:tcBorders>
            <w:shd w:val="clear" w:color="auto" w:fill="auto"/>
            <w:vAlign w:val="center"/>
          </w:tcPr>
          <w:p w:rsidR="003B4CD3" w:rsidRPr="003B4CD3" w:rsidRDefault="003B4CD3" w:rsidP="00A77970">
            <w:pPr>
              <w:jc w:val="center"/>
              <w:rPr>
                <w:lang w:val="en-GB" w:eastAsia="en-GB"/>
              </w:rPr>
            </w:pPr>
            <w:r w:rsidRPr="003B4CD3">
              <w:rPr>
                <w:sz w:val="22"/>
                <w:szCs w:val="22"/>
                <w:lang w:val="en-GB" w:eastAsia="en-GB"/>
              </w:rPr>
              <w:t>8</w:t>
            </w:r>
          </w:p>
        </w:tc>
        <w:tc>
          <w:tcPr>
            <w:tcW w:w="6705"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rPr>
                <w:lang w:val="en-GB" w:eastAsia="en-GB"/>
              </w:rPr>
            </w:pPr>
            <w:r w:rsidRPr="003B4CD3">
              <w:rPr>
                <w:sz w:val="22"/>
                <w:szCs w:val="22"/>
                <w:lang w:val="en-GB" w:eastAsia="en-GB"/>
              </w:rPr>
              <w:t>Supraveghere pasivă vulpi moarte</w:t>
            </w:r>
          </w:p>
        </w:tc>
        <w:tc>
          <w:tcPr>
            <w:tcW w:w="1276"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0</w:t>
            </w:r>
          </w:p>
        </w:tc>
        <w:tc>
          <w:tcPr>
            <w:tcW w:w="992"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1</w:t>
            </w:r>
          </w:p>
        </w:tc>
        <w:tc>
          <w:tcPr>
            <w:tcW w:w="949"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100%</w:t>
            </w:r>
          </w:p>
        </w:tc>
      </w:tr>
      <w:tr w:rsidR="003B4CD3" w:rsidRPr="003B4CD3" w:rsidTr="003B4CD3">
        <w:trPr>
          <w:trHeight w:val="315"/>
          <w:jc w:val="center"/>
        </w:trPr>
        <w:tc>
          <w:tcPr>
            <w:tcW w:w="568" w:type="dxa"/>
            <w:tcBorders>
              <w:top w:val="nil"/>
              <w:left w:val="single" w:sz="4" w:space="0" w:color="auto"/>
              <w:bottom w:val="single" w:sz="4" w:space="0" w:color="auto"/>
              <w:right w:val="single" w:sz="4" w:space="0" w:color="auto"/>
            </w:tcBorders>
            <w:shd w:val="clear" w:color="auto" w:fill="auto"/>
            <w:vAlign w:val="center"/>
          </w:tcPr>
          <w:p w:rsidR="003B4CD3" w:rsidRPr="003B4CD3" w:rsidRDefault="003B4CD3" w:rsidP="00A77970">
            <w:pPr>
              <w:jc w:val="center"/>
              <w:rPr>
                <w:lang w:val="en-GB" w:eastAsia="en-GB"/>
              </w:rPr>
            </w:pPr>
            <w:r w:rsidRPr="003B4CD3">
              <w:rPr>
                <w:sz w:val="22"/>
                <w:szCs w:val="22"/>
                <w:lang w:val="en-GB" w:eastAsia="en-GB"/>
              </w:rPr>
              <w:t>9</w:t>
            </w:r>
          </w:p>
        </w:tc>
        <w:tc>
          <w:tcPr>
            <w:tcW w:w="6705"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rPr>
                <w:lang w:val="en-GB" w:eastAsia="en-GB"/>
              </w:rPr>
            </w:pPr>
            <w:r w:rsidRPr="003B4CD3">
              <w:rPr>
                <w:sz w:val="22"/>
                <w:szCs w:val="22"/>
                <w:lang w:val="en-GB" w:eastAsia="en-GB"/>
              </w:rPr>
              <w:t>Tuberculinare bovine TCS</w:t>
            </w:r>
          </w:p>
        </w:tc>
        <w:tc>
          <w:tcPr>
            <w:tcW w:w="1276"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rFonts w:eastAsia="SimSun"/>
                <w:bCs/>
                <w:lang w:val="en-US" w:eastAsia="zh-CN"/>
              </w:rPr>
            </w:pPr>
            <w:r w:rsidRPr="003B4CD3">
              <w:rPr>
                <w:rFonts w:eastAsia="SimSun"/>
                <w:bCs/>
                <w:sz w:val="22"/>
                <w:szCs w:val="22"/>
                <w:lang w:val="en-US" w:eastAsia="zh-CN"/>
              </w:rPr>
              <w:t>217</w:t>
            </w:r>
          </w:p>
        </w:tc>
        <w:tc>
          <w:tcPr>
            <w:tcW w:w="992"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rFonts w:eastAsia="SimSun"/>
                <w:lang w:val="en-US" w:eastAsia="zh-CN"/>
              </w:rPr>
            </w:pPr>
            <w:r w:rsidRPr="003B4CD3">
              <w:rPr>
                <w:rFonts w:eastAsia="SimSun"/>
                <w:sz w:val="22"/>
                <w:szCs w:val="22"/>
                <w:lang w:val="en-US" w:eastAsia="zh-CN"/>
              </w:rPr>
              <w:t>146</w:t>
            </w:r>
          </w:p>
        </w:tc>
        <w:tc>
          <w:tcPr>
            <w:tcW w:w="949"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67,3%</w:t>
            </w:r>
          </w:p>
        </w:tc>
      </w:tr>
      <w:tr w:rsidR="003B4CD3" w:rsidRPr="003B4CD3" w:rsidTr="003B4CD3">
        <w:trPr>
          <w:trHeight w:val="315"/>
          <w:jc w:val="center"/>
        </w:trPr>
        <w:tc>
          <w:tcPr>
            <w:tcW w:w="568" w:type="dxa"/>
            <w:tcBorders>
              <w:top w:val="nil"/>
              <w:left w:val="single" w:sz="4" w:space="0" w:color="auto"/>
              <w:bottom w:val="single" w:sz="4" w:space="0" w:color="auto"/>
              <w:right w:val="single" w:sz="4" w:space="0" w:color="auto"/>
            </w:tcBorders>
            <w:shd w:val="clear" w:color="auto" w:fill="auto"/>
            <w:vAlign w:val="center"/>
          </w:tcPr>
          <w:p w:rsidR="003B4CD3" w:rsidRPr="003B4CD3" w:rsidRDefault="003B4CD3" w:rsidP="00A77970">
            <w:pPr>
              <w:jc w:val="center"/>
              <w:rPr>
                <w:lang w:val="en-GB" w:eastAsia="en-GB"/>
              </w:rPr>
            </w:pPr>
            <w:r w:rsidRPr="003B4CD3">
              <w:rPr>
                <w:sz w:val="22"/>
                <w:szCs w:val="22"/>
                <w:lang w:val="en-GB" w:eastAsia="en-GB"/>
              </w:rPr>
              <w:t>10</w:t>
            </w:r>
          </w:p>
        </w:tc>
        <w:tc>
          <w:tcPr>
            <w:tcW w:w="6705"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rPr>
                <w:lang w:val="en-GB" w:eastAsia="en-GB"/>
              </w:rPr>
            </w:pPr>
            <w:r w:rsidRPr="003B4CD3">
              <w:rPr>
                <w:sz w:val="22"/>
                <w:szCs w:val="22"/>
                <w:lang w:val="en-GB" w:eastAsia="en-GB"/>
              </w:rPr>
              <w:t xml:space="preserve">Supraveghere serologică leucoza enzootică bovină </w:t>
            </w:r>
          </w:p>
        </w:tc>
        <w:tc>
          <w:tcPr>
            <w:tcW w:w="1276"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rFonts w:eastAsia="SimSun"/>
                <w:bCs/>
                <w:lang w:val="en-US" w:eastAsia="zh-CN"/>
              </w:rPr>
            </w:pPr>
            <w:r w:rsidRPr="003B4CD3">
              <w:rPr>
                <w:rFonts w:eastAsia="SimSun"/>
                <w:bCs/>
                <w:sz w:val="22"/>
                <w:szCs w:val="22"/>
                <w:lang w:val="en-US" w:eastAsia="zh-CN"/>
              </w:rPr>
              <w:t> 141</w:t>
            </w:r>
          </w:p>
        </w:tc>
        <w:tc>
          <w:tcPr>
            <w:tcW w:w="992"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rFonts w:eastAsia="SimSun"/>
                <w:lang w:val="en-US" w:eastAsia="zh-CN"/>
              </w:rPr>
            </w:pPr>
            <w:r w:rsidRPr="003B4CD3">
              <w:rPr>
                <w:rFonts w:eastAsia="SimSun"/>
                <w:sz w:val="22"/>
                <w:szCs w:val="22"/>
                <w:lang w:val="en-US" w:eastAsia="zh-CN"/>
              </w:rPr>
              <w:t>105</w:t>
            </w:r>
          </w:p>
        </w:tc>
        <w:tc>
          <w:tcPr>
            <w:tcW w:w="949"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74,5%</w:t>
            </w:r>
          </w:p>
        </w:tc>
      </w:tr>
      <w:tr w:rsidR="003B4CD3" w:rsidRPr="003B4CD3" w:rsidTr="003B4CD3">
        <w:trPr>
          <w:trHeight w:val="315"/>
          <w:jc w:val="center"/>
        </w:trPr>
        <w:tc>
          <w:tcPr>
            <w:tcW w:w="568" w:type="dxa"/>
            <w:tcBorders>
              <w:top w:val="nil"/>
              <w:left w:val="single" w:sz="4" w:space="0" w:color="auto"/>
              <w:bottom w:val="single" w:sz="4" w:space="0" w:color="auto"/>
              <w:right w:val="single" w:sz="4" w:space="0" w:color="auto"/>
            </w:tcBorders>
            <w:shd w:val="clear" w:color="auto" w:fill="auto"/>
            <w:vAlign w:val="center"/>
          </w:tcPr>
          <w:p w:rsidR="003B4CD3" w:rsidRPr="003B4CD3" w:rsidRDefault="003B4CD3" w:rsidP="00A77970">
            <w:pPr>
              <w:jc w:val="center"/>
              <w:rPr>
                <w:lang w:val="en-GB" w:eastAsia="en-GB"/>
              </w:rPr>
            </w:pPr>
            <w:r w:rsidRPr="003B4CD3">
              <w:rPr>
                <w:sz w:val="22"/>
                <w:szCs w:val="22"/>
                <w:lang w:val="en-GB" w:eastAsia="en-GB"/>
              </w:rPr>
              <w:t>11</w:t>
            </w:r>
          </w:p>
        </w:tc>
        <w:tc>
          <w:tcPr>
            <w:tcW w:w="6705"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rPr>
                <w:lang w:val="en-GB" w:eastAsia="en-GB"/>
              </w:rPr>
            </w:pPr>
            <w:r w:rsidRPr="003B4CD3">
              <w:rPr>
                <w:sz w:val="22"/>
                <w:szCs w:val="22"/>
                <w:lang w:val="en-GB" w:eastAsia="en-GB"/>
              </w:rPr>
              <w:t xml:space="preserve">Supraveghere serologică bruceloză bovine </w:t>
            </w:r>
          </w:p>
        </w:tc>
        <w:tc>
          <w:tcPr>
            <w:tcW w:w="1276"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rFonts w:eastAsia="SimSun"/>
                <w:bCs/>
                <w:lang w:val="en-US" w:eastAsia="zh-CN"/>
              </w:rPr>
            </w:pPr>
            <w:r w:rsidRPr="003B4CD3">
              <w:rPr>
                <w:rFonts w:eastAsia="SimSun"/>
                <w:bCs/>
                <w:sz w:val="22"/>
                <w:szCs w:val="22"/>
                <w:lang w:val="en-US" w:eastAsia="zh-CN"/>
              </w:rPr>
              <w:t> 141</w:t>
            </w:r>
          </w:p>
        </w:tc>
        <w:tc>
          <w:tcPr>
            <w:tcW w:w="992"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rFonts w:eastAsia="SimSun"/>
                <w:lang w:val="en-US" w:eastAsia="zh-CN"/>
              </w:rPr>
            </w:pPr>
            <w:r w:rsidRPr="003B4CD3">
              <w:rPr>
                <w:rFonts w:eastAsia="SimSun"/>
                <w:sz w:val="22"/>
                <w:szCs w:val="22"/>
                <w:lang w:val="en-US" w:eastAsia="zh-CN"/>
              </w:rPr>
              <w:t>105</w:t>
            </w:r>
          </w:p>
        </w:tc>
        <w:tc>
          <w:tcPr>
            <w:tcW w:w="949"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74,5%</w:t>
            </w:r>
          </w:p>
        </w:tc>
      </w:tr>
      <w:tr w:rsidR="003B4CD3" w:rsidRPr="003B4CD3" w:rsidTr="003B4CD3">
        <w:trPr>
          <w:trHeight w:val="315"/>
          <w:jc w:val="center"/>
        </w:trPr>
        <w:tc>
          <w:tcPr>
            <w:tcW w:w="568" w:type="dxa"/>
            <w:tcBorders>
              <w:top w:val="nil"/>
              <w:left w:val="single" w:sz="4" w:space="0" w:color="auto"/>
              <w:bottom w:val="single" w:sz="4" w:space="0" w:color="auto"/>
              <w:right w:val="single" w:sz="4" w:space="0" w:color="auto"/>
            </w:tcBorders>
            <w:shd w:val="clear" w:color="auto" w:fill="auto"/>
            <w:vAlign w:val="center"/>
          </w:tcPr>
          <w:p w:rsidR="003B4CD3" w:rsidRPr="003B4CD3" w:rsidRDefault="003B4CD3" w:rsidP="00A77970">
            <w:pPr>
              <w:jc w:val="center"/>
              <w:rPr>
                <w:lang w:val="en-GB" w:eastAsia="en-GB"/>
              </w:rPr>
            </w:pPr>
            <w:r w:rsidRPr="003B4CD3">
              <w:rPr>
                <w:sz w:val="22"/>
                <w:szCs w:val="22"/>
                <w:lang w:val="en-GB" w:eastAsia="en-GB"/>
              </w:rPr>
              <w:t>12</w:t>
            </w:r>
          </w:p>
        </w:tc>
        <w:tc>
          <w:tcPr>
            <w:tcW w:w="6705"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rPr>
                <w:lang w:val="it-IT" w:eastAsia="en-GB"/>
              </w:rPr>
            </w:pPr>
            <w:r w:rsidRPr="003B4CD3">
              <w:rPr>
                <w:sz w:val="22"/>
                <w:szCs w:val="22"/>
                <w:lang w:val="it-IT" w:eastAsia="en-GB"/>
              </w:rPr>
              <w:t>Supraveghere serologică bruceloză ovine și caprine</w:t>
            </w:r>
          </w:p>
        </w:tc>
        <w:tc>
          <w:tcPr>
            <w:tcW w:w="1276"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76</w:t>
            </w:r>
          </w:p>
        </w:tc>
        <w:tc>
          <w:tcPr>
            <w:tcW w:w="992"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82</w:t>
            </w:r>
          </w:p>
        </w:tc>
        <w:tc>
          <w:tcPr>
            <w:tcW w:w="949"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100%</w:t>
            </w:r>
          </w:p>
        </w:tc>
      </w:tr>
      <w:tr w:rsidR="003B4CD3" w:rsidRPr="003B4CD3" w:rsidTr="003B4CD3">
        <w:trPr>
          <w:trHeight w:val="315"/>
          <w:jc w:val="center"/>
        </w:trPr>
        <w:tc>
          <w:tcPr>
            <w:tcW w:w="568" w:type="dxa"/>
            <w:tcBorders>
              <w:top w:val="nil"/>
              <w:left w:val="single" w:sz="4" w:space="0" w:color="auto"/>
              <w:bottom w:val="single" w:sz="4" w:space="0" w:color="auto"/>
              <w:right w:val="single" w:sz="4" w:space="0" w:color="auto"/>
            </w:tcBorders>
            <w:shd w:val="clear" w:color="auto" w:fill="auto"/>
            <w:vAlign w:val="center"/>
          </w:tcPr>
          <w:p w:rsidR="003B4CD3" w:rsidRPr="003B4CD3" w:rsidRDefault="003B4CD3" w:rsidP="00A77970">
            <w:pPr>
              <w:jc w:val="center"/>
              <w:rPr>
                <w:lang w:val="en-GB" w:eastAsia="en-GB"/>
              </w:rPr>
            </w:pPr>
            <w:r w:rsidRPr="003B4CD3">
              <w:rPr>
                <w:sz w:val="22"/>
                <w:szCs w:val="22"/>
                <w:lang w:val="en-GB" w:eastAsia="en-GB"/>
              </w:rPr>
              <w:t>13</w:t>
            </w:r>
          </w:p>
        </w:tc>
        <w:tc>
          <w:tcPr>
            <w:tcW w:w="6705"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rPr>
                <w:lang w:val="it-IT" w:eastAsia="en-GB"/>
              </w:rPr>
            </w:pPr>
            <w:r w:rsidRPr="003B4CD3">
              <w:rPr>
                <w:sz w:val="22"/>
                <w:szCs w:val="22"/>
                <w:lang w:val="it-IT" w:eastAsia="en-GB"/>
              </w:rPr>
              <w:t xml:space="preserve">Supraveghere serologică anemie infecțioasă ecvină </w:t>
            </w:r>
          </w:p>
        </w:tc>
        <w:tc>
          <w:tcPr>
            <w:tcW w:w="1276"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rFonts w:eastAsia="SimSun"/>
                <w:bCs/>
                <w:lang w:val="en-US" w:eastAsia="zh-CN"/>
              </w:rPr>
            </w:pPr>
            <w:r w:rsidRPr="003B4CD3">
              <w:rPr>
                <w:rFonts w:eastAsia="SimSun"/>
                <w:bCs/>
                <w:sz w:val="22"/>
                <w:szCs w:val="22"/>
                <w:lang w:val="en-US" w:eastAsia="zh-CN"/>
              </w:rPr>
              <w:t>33</w:t>
            </w:r>
          </w:p>
        </w:tc>
        <w:tc>
          <w:tcPr>
            <w:tcW w:w="992"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rFonts w:eastAsia="SimSun"/>
                <w:lang w:val="en-US" w:eastAsia="zh-CN"/>
              </w:rPr>
            </w:pPr>
            <w:r w:rsidRPr="003B4CD3">
              <w:rPr>
                <w:rFonts w:eastAsia="SimSun"/>
                <w:sz w:val="22"/>
                <w:szCs w:val="22"/>
                <w:lang w:val="en-US" w:eastAsia="zh-CN"/>
              </w:rPr>
              <w:t>57</w:t>
            </w:r>
          </w:p>
        </w:tc>
        <w:tc>
          <w:tcPr>
            <w:tcW w:w="949"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100%</w:t>
            </w:r>
          </w:p>
        </w:tc>
      </w:tr>
      <w:tr w:rsidR="003B4CD3" w:rsidRPr="003B4CD3" w:rsidTr="003B4CD3">
        <w:trPr>
          <w:trHeight w:val="315"/>
          <w:jc w:val="center"/>
        </w:trPr>
        <w:tc>
          <w:tcPr>
            <w:tcW w:w="568" w:type="dxa"/>
            <w:tcBorders>
              <w:top w:val="nil"/>
              <w:left w:val="single" w:sz="4" w:space="0" w:color="auto"/>
              <w:bottom w:val="single" w:sz="4" w:space="0" w:color="auto"/>
              <w:right w:val="single" w:sz="4" w:space="0" w:color="auto"/>
            </w:tcBorders>
            <w:shd w:val="clear" w:color="auto" w:fill="auto"/>
            <w:vAlign w:val="center"/>
          </w:tcPr>
          <w:p w:rsidR="003B4CD3" w:rsidRPr="003B4CD3" w:rsidRDefault="003B4CD3" w:rsidP="00A77970">
            <w:pPr>
              <w:jc w:val="center"/>
              <w:rPr>
                <w:lang w:val="en-GB" w:eastAsia="en-GB"/>
              </w:rPr>
            </w:pPr>
            <w:r w:rsidRPr="003B4CD3">
              <w:rPr>
                <w:sz w:val="22"/>
                <w:szCs w:val="22"/>
                <w:lang w:val="en-GB" w:eastAsia="en-GB"/>
              </w:rPr>
              <w:t>14</w:t>
            </w:r>
          </w:p>
        </w:tc>
        <w:tc>
          <w:tcPr>
            <w:tcW w:w="6705"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rPr>
                <w:lang w:val="pt-BR" w:eastAsia="en-GB"/>
              </w:rPr>
            </w:pPr>
            <w:r w:rsidRPr="003B4CD3">
              <w:rPr>
                <w:sz w:val="22"/>
                <w:szCs w:val="22"/>
                <w:lang w:val="pt-BR" w:eastAsia="en-GB"/>
              </w:rPr>
              <w:t>Bolile albinelor (Loca americană a albinelor, Nosemoza, Varooza)</w:t>
            </w:r>
          </w:p>
        </w:tc>
        <w:tc>
          <w:tcPr>
            <w:tcW w:w="1276"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75</w:t>
            </w:r>
          </w:p>
        </w:tc>
        <w:tc>
          <w:tcPr>
            <w:tcW w:w="992"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70</w:t>
            </w:r>
          </w:p>
        </w:tc>
        <w:tc>
          <w:tcPr>
            <w:tcW w:w="949"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93,3%</w:t>
            </w:r>
          </w:p>
        </w:tc>
      </w:tr>
      <w:tr w:rsidR="003B4CD3" w:rsidRPr="003B4CD3" w:rsidTr="003B4CD3">
        <w:trPr>
          <w:trHeight w:val="315"/>
          <w:jc w:val="center"/>
        </w:trPr>
        <w:tc>
          <w:tcPr>
            <w:tcW w:w="568" w:type="dxa"/>
            <w:tcBorders>
              <w:top w:val="nil"/>
              <w:left w:val="single" w:sz="4" w:space="0" w:color="auto"/>
              <w:bottom w:val="single" w:sz="4" w:space="0" w:color="auto"/>
              <w:right w:val="single" w:sz="4" w:space="0" w:color="auto"/>
            </w:tcBorders>
            <w:shd w:val="clear" w:color="auto" w:fill="auto"/>
            <w:vAlign w:val="center"/>
          </w:tcPr>
          <w:p w:rsidR="003B4CD3" w:rsidRPr="003B4CD3" w:rsidRDefault="003B4CD3" w:rsidP="00A77970">
            <w:pPr>
              <w:jc w:val="center"/>
              <w:rPr>
                <w:lang w:val="en-GB" w:eastAsia="en-GB"/>
              </w:rPr>
            </w:pPr>
            <w:r w:rsidRPr="003B4CD3">
              <w:rPr>
                <w:sz w:val="22"/>
                <w:szCs w:val="22"/>
                <w:lang w:val="en-GB" w:eastAsia="en-GB"/>
              </w:rPr>
              <w:t>15</w:t>
            </w:r>
          </w:p>
        </w:tc>
        <w:tc>
          <w:tcPr>
            <w:tcW w:w="6705"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rPr>
                <w:lang w:val="it-IT" w:eastAsia="en-GB"/>
              </w:rPr>
            </w:pPr>
            <w:r w:rsidRPr="003B4CD3">
              <w:rPr>
                <w:sz w:val="22"/>
                <w:szCs w:val="22"/>
                <w:lang w:val="it-IT" w:eastAsia="en-GB"/>
              </w:rPr>
              <w:t xml:space="preserve">Vaccinare anticărbunoasă bovine, ovine, caprine, cabaline </w:t>
            </w:r>
          </w:p>
        </w:tc>
        <w:tc>
          <w:tcPr>
            <w:tcW w:w="1276"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1790</w:t>
            </w:r>
          </w:p>
        </w:tc>
        <w:tc>
          <w:tcPr>
            <w:tcW w:w="992"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1771</w:t>
            </w:r>
          </w:p>
        </w:tc>
        <w:tc>
          <w:tcPr>
            <w:tcW w:w="949"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99,3%</w:t>
            </w:r>
          </w:p>
        </w:tc>
      </w:tr>
      <w:tr w:rsidR="003B4CD3" w:rsidRPr="003B4CD3" w:rsidTr="003B4CD3">
        <w:trPr>
          <w:trHeight w:val="315"/>
          <w:jc w:val="center"/>
        </w:trPr>
        <w:tc>
          <w:tcPr>
            <w:tcW w:w="568" w:type="dxa"/>
            <w:tcBorders>
              <w:top w:val="nil"/>
              <w:left w:val="single" w:sz="4" w:space="0" w:color="auto"/>
              <w:bottom w:val="single" w:sz="4" w:space="0" w:color="auto"/>
              <w:right w:val="single" w:sz="4" w:space="0" w:color="auto"/>
            </w:tcBorders>
            <w:shd w:val="clear" w:color="auto" w:fill="auto"/>
            <w:vAlign w:val="center"/>
          </w:tcPr>
          <w:p w:rsidR="003B4CD3" w:rsidRPr="003B4CD3" w:rsidRDefault="003B4CD3" w:rsidP="00A77970">
            <w:pPr>
              <w:jc w:val="center"/>
              <w:rPr>
                <w:lang w:val="en-GB" w:eastAsia="en-GB"/>
              </w:rPr>
            </w:pPr>
            <w:r w:rsidRPr="003B4CD3">
              <w:rPr>
                <w:sz w:val="22"/>
                <w:szCs w:val="22"/>
                <w:lang w:val="en-GB" w:eastAsia="en-GB"/>
              </w:rPr>
              <w:t>16</w:t>
            </w:r>
          </w:p>
        </w:tc>
        <w:tc>
          <w:tcPr>
            <w:tcW w:w="6705"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rPr>
                <w:lang w:val="it-IT" w:eastAsia="en-GB"/>
              </w:rPr>
            </w:pPr>
            <w:r w:rsidRPr="003B4CD3">
              <w:rPr>
                <w:sz w:val="22"/>
                <w:szCs w:val="22"/>
                <w:lang w:val="it-IT" w:eastAsia="en-GB"/>
              </w:rPr>
              <w:t>Vaccinare contra Bolii de Newcastle la păsări</w:t>
            </w:r>
          </w:p>
        </w:tc>
        <w:tc>
          <w:tcPr>
            <w:tcW w:w="1276"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rFonts w:eastAsia="SimSun"/>
                <w:bCs/>
                <w:lang w:val="en-US" w:eastAsia="zh-CN"/>
              </w:rPr>
            </w:pPr>
            <w:r w:rsidRPr="003B4CD3">
              <w:rPr>
                <w:rFonts w:eastAsia="SimSun"/>
                <w:bCs/>
                <w:sz w:val="22"/>
                <w:szCs w:val="22"/>
                <w:lang w:val="en-US" w:eastAsia="zh-CN"/>
              </w:rPr>
              <w:t>3100</w:t>
            </w:r>
          </w:p>
        </w:tc>
        <w:tc>
          <w:tcPr>
            <w:tcW w:w="992"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rFonts w:eastAsia="SimSun"/>
                <w:lang w:val="en-US" w:eastAsia="zh-CN"/>
              </w:rPr>
            </w:pPr>
            <w:r w:rsidRPr="003B4CD3">
              <w:rPr>
                <w:rFonts w:eastAsia="SimSun"/>
                <w:sz w:val="22"/>
                <w:szCs w:val="22"/>
                <w:lang w:val="en-US" w:eastAsia="zh-CN"/>
              </w:rPr>
              <w:t>3653</w:t>
            </w:r>
          </w:p>
        </w:tc>
        <w:tc>
          <w:tcPr>
            <w:tcW w:w="949"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100%</w:t>
            </w:r>
          </w:p>
        </w:tc>
      </w:tr>
      <w:tr w:rsidR="003B4CD3" w:rsidRPr="003B4CD3" w:rsidTr="003B4CD3">
        <w:trPr>
          <w:trHeight w:val="315"/>
          <w:jc w:val="center"/>
        </w:trPr>
        <w:tc>
          <w:tcPr>
            <w:tcW w:w="568" w:type="dxa"/>
            <w:tcBorders>
              <w:top w:val="nil"/>
              <w:left w:val="single" w:sz="4" w:space="0" w:color="auto"/>
              <w:bottom w:val="single" w:sz="4" w:space="0" w:color="auto"/>
              <w:right w:val="single" w:sz="4" w:space="0" w:color="auto"/>
            </w:tcBorders>
            <w:shd w:val="clear" w:color="auto" w:fill="auto"/>
            <w:vAlign w:val="center"/>
          </w:tcPr>
          <w:p w:rsidR="003B4CD3" w:rsidRPr="003B4CD3" w:rsidRDefault="003B4CD3" w:rsidP="00A77970">
            <w:pPr>
              <w:jc w:val="center"/>
              <w:rPr>
                <w:lang w:val="en-GB" w:eastAsia="en-GB"/>
              </w:rPr>
            </w:pPr>
            <w:r w:rsidRPr="003B4CD3">
              <w:rPr>
                <w:sz w:val="22"/>
                <w:szCs w:val="22"/>
                <w:lang w:val="en-GB" w:eastAsia="en-GB"/>
              </w:rPr>
              <w:t>17</w:t>
            </w:r>
          </w:p>
        </w:tc>
        <w:tc>
          <w:tcPr>
            <w:tcW w:w="6705"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rPr>
                <w:lang w:val="it-IT" w:eastAsia="en-GB"/>
              </w:rPr>
            </w:pPr>
            <w:r w:rsidRPr="003B4CD3">
              <w:rPr>
                <w:sz w:val="22"/>
                <w:szCs w:val="22"/>
                <w:lang w:val="it-IT" w:eastAsia="en-GB"/>
              </w:rPr>
              <w:t xml:space="preserve">Vaccinare antirabică la câini și pisici </w:t>
            </w:r>
          </w:p>
        </w:tc>
        <w:tc>
          <w:tcPr>
            <w:tcW w:w="1276"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2961</w:t>
            </w:r>
          </w:p>
        </w:tc>
        <w:tc>
          <w:tcPr>
            <w:tcW w:w="992"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1012</w:t>
            </w:r>
          </w:p>
        </w:tc>
        <w:tc>
          <w:tcPr>
            <w:tcW w:w="949" w:type="dxa"/>
            <w:tcBorders>
              <w:top w:val="nil"/>
              <w:left w:val="nil"/>
              <w:bottom w:val="single" w:sz="4" w:space="0" w:color="auto"/>
              <w:right w:val="single" w:sz="4" w:space="0" w:color="auto"/>
            </w:tcBorders>
            <w:shd w:val="clear" w:color="auto" w:fill="auto"/>
            <w:vAlign w:val="center"/>
          </w:tcPr>
          <w:p w:rsidR="003B4CD3" w:rsidRPr="003B4CD3" w:rsidRDefault="003B4CD3" w:rsidP="00A77970">
            <w:pPr>
              <w:jc w:val="center"/>
              <w:rPr>
                <w:bCs/>
                <w:lang w:val="en-GB" w:eastAsia="en-GB"/>
              </w:rPr>
            </w:pPr>
            <w:r w:rsidRPr="003B4CD3">
              <w:rPr>
                <w:bCs/>
                <w:sz w:val="22"/>
                <w:szCs w:val="22"/>
                <w:lang w:val="en-GB" w:eastAsia="en-GB"/>
              </w:rPr>
              <w:t>34,2%</w:t>
            </w:r>
          </w:p>
        </w:tc>
      </w:tr>
    </w:tbl>
    <w:p w:rsidR="003B4CD3" w:rsidRPr="003B4CD3" w:rsidRDefault="003B4CD3" w:rsidP="00A77970">
      <w:pPr>
        <w:tabs>
          <w:tab w:val="left" w:pos="720"/>
          <w:tab w:val="left" w:pos="1260"/>
        </w:tabs>
        <w:autoSpaceDE w:val="0"/>
        <w:autoSpaceDN w:val="0"/>
        <w:adjustRightInd w:val="0"/>
        <w:ind w:firstLine="540"/>
        <w:jc w:val="both"/>
        <w:rPr>
          <w:rFonts w:eastAsia="SimSun"/>
          <w:lang w:eastAsia="zh-CN"/>
        </w:rPr>
      </w:pPr>
    </w:p>
    <w:p w:rsidR="003B4CD3" w:rsidRDefault="003B4CD3" w:rsidP="00A77970">
      <w:pPr>
        <w:tabs>
          <w:tab w:val="left" w:pos="0"/>
        </w:tabs>
        <w:autoSpaceDE w:val="0"/>
        <w:autoSpaceDN w:val="0"/>
        <w:adjustRightInd w:val="0"/>
        <w:jc w:val="both"/>
        <w:rPr>
          <w:lang w:val="pt-BR" w:eastAsia="en-GB"/>
        </w:rPr>
      </w:pPr>
      <w:r>
        <w:rPr>
          <w:lang w:val="pt-BR" w:eastAsia="en-GB"/>
        </w:rPr>
        <w:tab/>
      </w:r>
      <w:r w:rsidRPr="003B4CD3">
        <w:rPr>
          <w:lang w:val="pt-BR" w:eastAsia="en-GB"/>
        </w:rPr>
        <w:t>Gradul de realizare a acțiunilor sanitare veterinare conform Planului cifric pe anul 2018, a fost de 82,7%.</w:t>
      </w:r>
      <w:r>
        <w:rPr>
          <w:lang w:val="pt-BR" w:eastAsia="en-GB"/>
        </w:rPr>
        <w:t xml:space="preserve"> </w:t>
      </w:r>
      <w:r w:rsidRPr="003B4CD3">
        <w:rPr>
          <w:lang w:val="pt-BR" w:eastAsia="en-GB"/>
        </w:rPr>
        <w:t>În anul 2018, pe teritoriul municipiului București  nu au evoluat focare de boală la animale.</w:t>
      </w:r>
    </w:p>
    <w:p w:rsidR="00E377DA" w:rsidRPr="003B4CD3" w:rsidRDefault="00E377DA" w:rsidP="00A77970">
      <w:pPr>
        <w:tabs>
          <w:tab w:val="left" w:pos="0"/>
        </w:tabs>
        <w:autoSpaceDE w:val="0"/>
        <w:autoSpaceDN w:val="0"/>
        <w:adjustRightInd w:val="0"/>
        <w:jc w:val="both"/>
        <w:rPr>
          <w:lang w:val="pt-BR" w:eastAsia="en-GB"/>
        </w:rPr>
      </w:pPr>
    </w:p>
    <w:p w:rsidR="003B4CD3" w:rsidRPr="003B4CD3" w:rsidRDefault="003B4CD3" w:rsidP="00A77970">
      <w:pPr>
        <w:tabs>
          <w:tab w:val="left" w:pos="0"/>
        </w:tabs>
        <w:autoSpaceDE w:val="0"/>
        <w:autoSpaceDN w:val="0"/>
        <w:adjustRightInd w:val="0"/>
        <w:jc w:val="both"/>
        <w:rPr>
          <w:rFonts w:eastAsia="SimSun"/>
          <w:b/>
          <w:lang w:eastAsia="zh-CN"/>
        </w:rPr>
      </w:pPr>
      <w:r>
        <w:rPr>
          <w:rFonts w:eastAsia="SimSun"/>
          <w:b/>
          <w:lang w:eastAsia="zh-CN"/>
        </w:rPr>
        <w:tab/>
      </w:r>
      <w:r w:rsidRPr="003B4CD3">
        <w:rPr>
          <w:rFonts w:eastAsia="SimSun"/>
          <w:b/>
          <w:lang w:eastAsia="zh-CN"/>
        </w:rPr>
        <w:t xml:space="preserve">Serviciul Laborator Sanitar Veterinar </w:t>
      </w:r>
      <w:r w:rsidRPr="003B4CD3">
        <w:rPr>
          <w:rFonts w:eastAsia="SimSun"/>
          <w:b/>
          <w:lang w:val="pt-BR" w:eastAsia="zh-CN"/>
        </w:rPr>
        <w:t>ș</w:t>
      </w:r>
      <w:r w:rsidRPr="003B4CD3">
        <w:rPr>
          <w:rFonts w:eastAsia="SimSun"/>
          <w:b/>
          <w:lang w:eastAsia="zh-CN"/>
        </w:rPr>
        <w:t>i pentru Siguranţa Alimentelor</w:t>
      </w:r>
    </w:p>
    <w:p w:rsidR="003B4CD3" w:rsidRPr="003B4CD3" w:rsidRDefault="003B4CD3" w:rsidP="00A77970">
      <w:pPr>
        <w:tabs>
          <w:tab w:val="left" w:pos="0"/>
        </w:tabs>
        <w:autoSpaceDE w:val="0"/>
        <w:autoSpaceDN w:val="0"/>
        <w:adjustRightInd w:val="0"/>
        <w:jc w:val="both"/>
        <w:rPr>
          <w:rFonts w:eastAsia="SimSun"/>
          <w:lang w:val="pt-BR" w:eastAsia="zh-CN"/>
        </w:rPr>
      </w:pPr>
      <w:r>
        <w:rPr>
          <w:rFonts w:eastAsia="SimSun"/>
          <w:lang w:val="pt-BR" w:eastAsia="zh-CN"/>
        </w:rPr>
        <w:tab/>
      </w:r>
      <w:r w:rsidRPr="003B4CD3">
        <w:rPr>
          <w:rFonts w:eastAsia="SimSun"/>
          <w:lang w:val="pt-BR" w:eastAsia="zh-CN"/>
        </w:rPr>
        <w:t>În anul 2018 au fost efectuate, conform sistemului LIMS, un număr de 18011 analize - grad de realizare 98,7%, raportat la numărul de probe refuzate din diferite motive. Număr probe neconforme din probele analizate şi confirmate: în cadrul Compartimentului Siguranţa Alimentelor/Laborator Microbiologie alimentară: 11/11 probe, grad de realizare 100%; în cadrul Compartimentului Reziduuri şi Contaminanţi - LNR Micotoxine: 1/1 probe, grad de realizare 100%; LNR pesticide – 13/13 probe, grad de realizare 100%.</w:t>
      </w:r>
    </w:p>
    <w:p w:rsidR="003B4CD3" w:rsidRPr="003B4CD3" w:rsidRDefault="003B4CD3" w:rsidP="00A77970">
      <w:pPr>
        <w:tabs>
          <w:tab w:val="left" w:pos="0"/>
        </w:tabs>
        <w:jc w:val="both"/>
        <w:rPr>
          <w:rFonts w:eastAsia="SimSun"/>
          <w:lang w:eastAsia="zh-CN"/>
        </w:rPr>
      </w:pPr>
      <w:r>
        <w:rPr>
          <w:rFonts w:eastAsia="SimSun"/>
          <w:lang w:val="pt-BR" w:eastAsia="zh-CN"/>
        </w:rPr>
        <w:tab/>
      </w:r>
      <w:r w:rsidRPr="003B4CD3">
        <w:rPr>
          <w:rFonts w:eastAsia="SimSun"/>
          <w:lang w:val="pt-BR" w:eastAsia="zh-CN"/>
        </w:rPr>
        <w:t xml:space="preserve">Încasările S.L.S.V.S.A. București, urmare efectuării analizelor, faţă de bugetul aprobat reprezintă un grad de realizare de </w:t>
      </w:r>
      <w:r w:rsidRPr="003B4CD3">
        <w:rPr>
          <w:rFonts w:eastAsia="SimSun"/>
          <w:lang w:eastAsia="zh-CN"/>
        </w:rPr>
        <w:t xml:space="preserve">92,93%.   </w:t>
      </w:r>
    </w:p>
    <w:p w:rsidR="003B4CD3" w:rsidRPr="003B4CD3" w:rsidRDefault="003B4CD3" w:rsidP="00A77970">
      <w:pPr>
        <w:tabs>
          <w:tab w:val="left" w:pos="0"/>
        </w:tabs>
        <w:autoSpaceDE w:val="0"/>
        <w:autoSpaceDN w:val="0"/>
        <w:adjustRightInd w:val="0"/>
        <w:jc w:val="both"/>
        <w:rPr>
          <w:rFonts w:eastAsia="SimSun"/>
          <w:b/>
          <w:lang w:eastAsia="zh-CN"/>
        </w:rPr>
      </w:pPr>
      <w:r>
        <w:rPr>
          <w:rFonts w:eastAsia="SimSun"/>
          <w:b/>
          <w:lang w:eastAsia="zh-CN"/>
        </w:rPr>
        <w:tab/>
      </w:r>
      <w:r w:rsidRPr="003B4CD3">
        <w:rPr>
          <w:rFonts w:eastAsia="SimSun"/>
          <w:b/>
          <w:lang w:eastAsia="zh-CN"/>
        </w:rPr>
        <w:t>Serviciul Catagrafie, Autorizare, Înregistrare, Evidență Informatizată</w:t>
      </w:r>
    </w:p>
    <w:p w:rsidR="003B4CD3" w:rsidRPr="003B4CD3" w:rsidRDefault="003B4CD3" w:rsidP="00A77970">
      <w:pPr>
        <w:tabs>
          <w:tab w:val="left" w:pos="0"/>
        </w:tabs>
        <w:autoSpaceDE w:val="0"/>
        <w:autoSpaceDN w:val="0"/>
        <w:adjustRightInd w:val="0"/>
        <w:jc w:val="both"/>
        <w:rPr>
          <w:rFonts w:eastAsia="SimSun"/>
          <w:lang w:eastAsia="zh-CN"/>
        </w:rPr>
      </w:pPr>
      <w:r>
        <w:rPr>
          <w:rFonts w:eastAsia="SimSun"/>
          <w:lang w:eastAsia="zh-CN"/>
        </w:rPr>
        <w:tab/>
      </w:r>
      <w:r w:rsidRPr="003B4CD3">
        <w:rPr>
          <w:rFonts w:eastAsia="SimSun"/>
          <w:lang w:eastAsia="zh-CN"/>
        </w:rPr>
        <w:t>Actualizarea listei/catagrafiei unităţilor înregistrate sanitar veterinar pe site-ul D.S.V.S.A.B. - grad de realizare 100%; număr audituri/încadrare pe grupe de risc unități autorizate efectuate/număr audituri/încadrare pe grupe de risc planificate: 44/45- grad de realizare 97,77%, (1 unitate evaluată în vederea autorizării de activități suplimentare), număr autorizări efectuate în termen/număr autorizări solicitate: 28/31- grad de realizare 90,3% (3 solicitări autorizare piețe agroalimentare retrase), documentații depuse în vederea obțierii autorizației/vizei pentru mijloace de transport/număr autorizații/vize emise:1765/ 1748 – grad de realizare 99,03% (datorită unui număr de 17 neacordări) și număr de înregistrări emise/număr documentații depuse 2366/4308 - grad de realizare 54,9% (datorită unui număr de 1942 de documentații retrase de către operatorii economici, cât și emiterea de ordonanțe de interzicere a activității - dispuse în urma evaluării).</w:t>
      </w:r>
    </w:p>
    <w:p w:rsidR="003B4CD3" w:rsidRPr="003B4CD3" w:rsidRDefault="003B4CD3" w:rsidP="00A77970">
      <w:pPr>
        <w:tabs>
          <w:tab w:val="left" w:pos="0"/>
        </w:tabs>
        <w:jc w:val="both"/>
        <w:rPr>
          <w:rFonts w:eastAsia="SimSun"/>
          <w:lang w:eastAsia="zh-CN"/>
        </w:rPr>
      </w:pPr>
      <w:r>
        <w:rPr>
          <w:rFonts w:eastAsia="SimSun"/>
          <w:lang w:eastAsia="zh-CN"/>
        </w:rPr>
        <w:tab/>
      </w:r>
      <w:r w:rsidRPr="003B4CD3">
        <w:rPr>
          <w:rFonts w:eastAsia="SimSun"/>
          <w:lang w:eastAsia="zh-CN"/>
        </w:rPr>
        <w:t xml:space="preserve">C.S.V.S.A. au efectuat în primul semestru al anului 2018 un număr de 549 de evaluări de risc la nivelul unităților înregistrate sanitar veterinar, precum și un număr de 574 de controale vizând alte tematici, unități desfințate/identificate. </w:t>
      </w:r>
    </w:p>
    <w:p w:rsidR="003B4CD3" w:rsidRPr="003B4CD3" w:rsidRDefault="003B4CD3" w:rsidP="00A77970">
      <w:pPr>
        <w:tabs>
          <w:tab w:val="left" w:pos="0"/>
        </w:tabs>
        <w:jc w:val="both"/>
        <w:rPr>
          <w:rFonts w:eastAsia="SimSun"/>
          <w:lang w:eastAsia="zh-CN"/>
        </w:rPr>
      </w:pPr>
      <w:r>
        <w:rPr>
          <w:rFonts w:eastAsia="SimSun"/>
          <w:lang w:eastAsia="zh-CN"/>
        </w:rPr>
        <w:tab/>
      </w:r>
      <w:r w:rsidRPr="003B4CD3">
        <w:rPr>
          <w:rFonts w:eastAsia="SimSun"/>
          <w:lang w:eastAsia="zh-CN"/>
        </w:rPr>
        <w:t xml:space="preserve">În anul 2018, în cadrul Planului de control al contaminanților și a altor substanțe din produsele de origine animală s-au efectuat un număr de 77 prelevări probe din 91 programate - grad de realizare 84,61% (datorită faptul că nu au fost identificate sortimentele de produse alimentare nominalizate în </w:t>
      </w:r>
      <w:r w:rsidRPr="003B4CD3">
        <w:rPr>
          <w:rFonts w:eastAsia="SimSun"/>
          <w:lang w:eastAsia="zh-CN"/>
        </w:rPr>
        <w:lastRenderedPageBreak/>
        <w:t xml:space="preserve">programul de prelevare și lipsei posibilității de analizare a Dioxinei şi PCB de tipul dioxionelor în cadrul laboratorului D.S.V.S.A. București). </w:t>
      </w:r>
    </w:p>
    <w:p w:rsidR="003B4CD3" w:rsidRPr="003B4CD3" w:rsidRDefault="003B4CD3" w:rsidP="00A77970">
      <w:pPr>
        <w:tabs>
          <w:tab w:val="left" w:pos="0"/>
        </w:tabs>
        <w:jc w:val="both"/>
        <w:rPr>
          <w:rFonts w:eastAsia="SimSun"/>
          <w:lang w:eastAsia="zh-CN"/>
        </w:rPr>
      </w:pPr>
      <w:r>
        <w:rPr>
          <w:rFonts w:eastAsia="SimSun"/>
          <w:lang w:eastAsia="zh-CN"/>
        </w:rPr>
        <w:tab/>
      </w:r>
      <w:r w:rsidRPr="003B4CD3">
        <w:rPr>
          <w:rFonts w:eastAsia="SimSun"/>
          <w:lang w:eastAsia="zh-CN"/>
        </w:rPr>
        <w:t>În cadrul planului de control privind limitele maxime admisee de reziduuri de pesticide și de pe alimentele de origine animală, în conformitate cu prevederile Regulamentului CE nr. 2016/662, în anul 2018 au fost recoltate 3 probe din 3 programate - grad de realizare 100%.</w:t>
      </w:r>
    </w:p>
    <w:p w:rsidR="003B4CD3" w:rsidRPr="003B4CD3" w:rsidRDefault="003B4CD3" w:rsidP="00A77970">
      <w:pPr>
        <w:tabs>
          <w:tab w:val="left" w:pos="0"/>
        </w:tabs>
        <w:jc w:val="both"/>
        <w:rPr>
          <w:rFonts w:eastAsia="SimSun"/>
          <w:lang w:eastAsia="zh-CN"/>
        </w:rPr>
      </w:pPr>
      <w:r>
        <w:rPr>
          <w:rFonts w:eastAsia="SimSun"/>
          <w:lang w:eastAsia="zh-CN"/>
        </w:rPr>
        <w:tab/>
      </w:r>
      <w:r w:rsidRPr="003B4CD3">
        <w:rPr>
          <w:rFonts w:eastAsia="SimSun"/>
          <w:lang w:eastAsia="zh-CN"/>
        </w:rPr>
        <w:t xml:space="preserve">Totodată, în semestrul I 2018, consilierii din cadrul C.S.V.S.A. au eliberat un număr de 1304 certificate sanitare veterinare privind transportul şi neutralizarea subproduselor de origine animală ce nu sunt destinate consumului uman, precum și 10 certificate sanitare veterinare privind transportul şi neutralizarea subproduselor de origine animală pentru confiscarea unei cantități de 410,75 kg, cu aplicarea de sancțiuni contravenționale. </w:t>
      </w:r>
    </w:p>
    <w:p w:rsidR="003B4CD3" w:rsidRPr="003B4CD3" w:rsidRDefault="003B4CD3" w:rsidP="00A77970">
      <w:pPr>
        <w:tabs>
          <w:tab w:val="left" w:pos="0"/>
        </w:tabs>
        <w:jc w:val="both"/>
        <w:rPr>
          <w:rFonts w:eastAsia="SimSun"/>
          <w:lang w:eastAsia="zh-CN"/>
        </w:rPr>
      </w:pPr>
      <w:r>
        <w:rPr>
          <w:rFonts w:eastAsia="SimSun"/>
          <w:lang w:val="en-US" w:eastAsia="zh-CN"/>
        </w:rPr>
        <w:tab/>
      </w:r>
      <w:r w:rsidRPr="003B4CD3">
        <w:rPr>
          <w:rFonts w:eastAsia="SimSun"/>
          <w:lang w:val="en-US" w:eastAsia="zh-CN"/>
        </w:rPr>
        <w:t xml:space="preserve">Controale efectuate în cadrul Planului cifric întocmit în baza Programului de supraveghere şi control pentru produse de origine nonanimală aprobat: </w:t>
      </w:r>
      <w:r w:rsidRPr="003B4CD3">
        <w:rPr>
          <w:rFonts w:eastAsia="SimSun"/>
          <w:lang w:eastAsia="zh-CN"/>
        </w:rPr>
        <w:t>416/160 uni</w:t>
      </w:r>
      <w:r w:rsidRPr="003B4CD3">
        <w:rPr>
          <w:rFonts w:eastAsia="SimSun"/>
          <w:lang w:val="en-US" w:eastAsia="zh-CN"/>
        </w:rPr>
        <w:t xml:space="preserve">tăţi evaluate pentru încadrare pe risc) </w:t>
      </w:r>
      <w:r w:rsidRPr="003B4CD3">
        <w:rPr>
          <w:rFonts w:eastAsia="SimSun"/>
          <w:lang w:eastAsia="zh-CN"/>
        </w:rPr>
        <w:t>– grad de realizare 38,46% (datorat insuficienţei de personal).</w:t>
      </w:r>
    </w:p>
    <w:p w:rsidR="003B4CD3" w:rsidRPr="003B4CD3" w:rsidRDefault="003B4CD3" w:rsidP="00A77970">
      <w:pPr>
        <w:tabs>
          <w:tab w:val="left" w:pos="0"/>
        </w:tabs>
        <w:jc w:val="both"/>
        <w:rPr>
          <w:rFonts w:eastAsia="SimSun"/>
          <w:lang w:val="en-US" w:eastAsia="zh-CN"/>
        </w:rPr>
      </w:pPr>
      <w:r>
        <w:rPr>
          <w:rFonts w:eastAsia="SimSun"/>
          <w:lang w:eastAsia="zh-CN"/>
        </w:rPr>
        <w:tab/>
      </w:r>
      <w:r w:rsidRPr="003B4CD3">
        <w:rPr>
          <w:rFonts w:eastAsia="SimSun"/>
          <w:lang w:eastAsia="zh-CN"/>
        </w:rPr>
        <w:t xml:space="preserve">În primul semestru al anului 2018 au fost eliberate de C.S.V.Z. 186 certificate sanitare veterinare privind transportul şi neutralizarea subproduselor de origine animală ce nu sunt destinate consumului uman şi 901 certificate sanitare veterinare pentru transportul animalelor vii (câini şi pisici) cu altă destinaţie decât Marea Britanie sau Irlanda. </w:t>
      </w:r>
      <w:r w:rsidRPr="003B4CD3">
        <w:rPr>
          <w:rFonts w:eastAsia="SimSun"/>
          <w:lang w:val="en-US" w:eastAsia="zh-CN"/>
        </w:rPr>
        <w:t>De asemenea au fost emise 92 autorizații sanitare veterinare în domeniul sănatate animală, după cum urmează: 6 proiecte de cercetare, 30 unități DDD, 14 autorizații mijloace transport animale vii de lungă durată, 27 farmacii veterinare,  2 biobaze, 13 unități în domeniul nutriției pentru animale.</w:t>
      </w:r>
    </w:p>
    <w:p w:rsidR="003B4CD3" w:rsidRPr="003B4CD3" w:rsidRDefault="003B4CD3" w:rsidP="00A77970">
      <w:pPr>
        <w:tabs>
          <w:tab w:val="left" w:pos="0"/>
        </w:tabs>
        <w:jc w:val="both"/>
        <w:rPr>
          <w:rFonts w:eastAsia="SimSun"/>
          <w:lang w:val="en-US" w:eastAsia="zh-CN"/>
        </w:rPr>
      </w:pPr>
      <w:r>
        <w:rPr>
          <w:rFonts w:eastAsia="SimSun"/>
          <w:lang w:val="en-US" w:eastAsia="zh-CN"/>
        </w:rPr>
        <w:tab/>
      </w:r>
      <w:r w:rsidRPr="003B4CD3">
        <w:rPr>
          <w:rFonts w:eastAsia="SimSun"/>
          <w:lang w:val="en-US" w:eastAsia="zh-CN"/>
        </w:rPr>
        <w:t>Totodată au fost emise un număr de 74 înregistrări sanitare veterinare, după cum urmează: 52 documente sanitare veterinare pentru pet-shop, 13 frizerii, 18 puncte farmaceutice, 8 în domeniul nutriției animale și 2 înregistrari mijloace transport animale pe o distanța de până la 65 km.</w:t>
      </w:r>
    </w:p>
    <w:p w:rsidR="003B4CD3" w:rsidRPr="003B4CD3" w:rsidRDefault="003B4CD3" w:rsidP="00A77970">
      <w:pPr>
        <w:tabs>
          <w:tab w:val="left" w:pos="0"/>
        </w:tabs>
        <w:autoSpaceDE w:val="0"/>
        <w:autoSpaceDN w:val="0"/>
        <w:adjustRightInd w:val="0"/>
        <w:jc w:val="both"/>
        <w:rPr>
          <w:rFonts w:eastAsia="SimSun"/>
          <w:lang w:val="fr-FR" w:eastAsia="zh-CN"/>
        </w:rPr>
      </w:pPr>
      <w:r>
        <w:rPr>
          <w:rFonts w:eastAsia="SimSun"/>
          <w:lang w:val="fr-FR" w:eastAsia="zh-CN"/>
        </w:rPr>
        <w:tab/>
      </w:r>
      <w:r w:rsidRPr="003B4CD3">
        <w:rPr>
          <w:rFonts w:eastAsia="SimSun"/>
          <w:lang w:val="fr-FR" w:eastAsia="zh-CN"/>
        </w:rPr>
        <w:t>Totodată au fost emise un număr de 11 certificate de export, pentru produse alimentare de origine nonanimală.</w:t>
      </w:r>
    </w:p>
    <w:p w:rsidR="003B4CD3" w:rsidRPr="003B4CD3" w:rsidRDefault="003B4CD3" w:rsidP="00A77970">
      <w:pPr>
        <w:tabs>
          <w:tab w:val="left" w:pos="0"/>
        </w:tabs>
        <w:autoSpaceDE w:val="0"/>
        <w:autoSpaceDN w:val="0"/>
        <w:adjustRightInd w:val="0"/>
        <w:jc w:val="both"/>
        <w:rPr>
          <w:rFonts w:eastAsia="SimSun"/>
          <w:b/>
          <w:lang w:val="fr-FR" w:eastAsia="zh-CN"/>
        </w:rPr>
      </w:pPr>
      <w:r>
        <w:rPr>
          <w:rFonts w:eastAsia="SimSun"/>
          <w:b/>
          <w:lang w:val="fr-FR" w:eastAsia="zh-CN"/>
        </w:rPr>
        <w:tab/>
      </w:r>
      <w:r w:rsidRPr="003B4CD3">
        <w:rPr>
          <w:rFonts w:eastAsia="SimSun"/>
          <w:b/>
          <w:lang w:val="fr-FR" w:eastAsia="zh-CN"/>
        </w:rPr>
        <w:t>Circumscripțiile sanitare veterinare și pentru siguranța alimentelor oficiale</w:t>
      </w:r>
    </w:p>
    <w:p w:rsidR="003B4CD3" w:rsidRPr="003B4CD3" w:rsidRDefault="00E377DA" w:rsidP="00A77970">
      <w:pPr>
        <w:tabs>
          <w:tab w:val="left" w:pos="0"/>
        </w:tabs>
        <w:autoSpaceDE w:val="0"/>
        <w:autoSpaceDN w:val="0"/>
        <w:adjustRightInd w:val="0"/>
        <w:jc w:val="both"/>
        <w:rPr>
          <w:rFonts w:eastAsia="SimSun"/>
          <w:lang w:val="fr-FR" w:eastAsia="zh-CN"/>
        </w:rPr>
      </w:pPr>
      <w:r>
        <w:rPr>
          <w:rFonts w:eastAsia="SimSun"/>
          <w:lang w:val="fr-FR" w:eastAsia="zh-CN"/>
        </w:rPr>
        <w:tab/>
      </w:r>
      <w:r w:rsidR="003B4CD3" w:rsidRPr="003B4CD3">
        <w:rPr>
          <w:rFonts w:eastAsia="SimSun"/>
          <w:lang w:val="fr-FR" w:eastAsia="zh-CN"/>
        </w:rPr>
        <w:t>Începând cu luna iulie 2018, având în vedere reorganizarea instituției, circumscripțiile sanitare veterinare și pentru siguranța alimentelor, raportat la noile atribuții, au efectuat 8745 controale, din care 1473 inspecții Program strategic, 593 probe prelevate în cadrul Programului strategic, 702 controale în vederea înregistrării sanitare veterinare și pentru siguranța alimentelor, 55 verificări pentru emiterea autorizației și vizei pentru mijloace de transport, 3009 controale oficiale efectuate de personalul contractual – medici veterinari și ingineri, 833 controale având ca tematică soluționare sesizări, controale comune cu reprezentanții altor instituții etc. </w:t>
      </w:r>
    </w:p>
    <w:p w:rsidR="00E377DA" w:rsidRDefault="00E377DA" w:rsidP="00A77970">
      <w:pPr>
        <w:tabs>
          <w:tab w:val="left" w:pos="0"/>
        </w:tabs>
        <w:jc w:val="both"/>
        <w:rPr>
          <w:rFonts w:eastAsia="SimSun"/>
          <w:lang w:eastAsia="zh-CN"/>
        </w:rPr>
      </w:pPr>
      <w:r>
        <w:rPr>
          <w:rFonts w:eastAsia="SimSun"/>
          <w:lang w:eastAsia="zh-CN"/>
        </w:rPr>
        <w:tab/>
      </w:r>
      <w:r w:rsidR="003B4CD3" w:rsidRPr="003B4CD3">
        <w:rPr>
          <w:rFonts w:eastAsia="SimSun"/>
          <w:lang w:eastAsia="zh-CN"/>
        </w:rPr>
        <w:t xml:space="preserve">Totodată, în semestrul II 2018, consilierii din cadrul C.S.V.S.A. au eliberat un număr de 1752 certificate sanitare veterinare privind transportul şi neutralizarea subproduselor de origine animală ce nu sunt destinate consumului uman, precum și 8 certificate sanitare veterinare privind transportul şi neutralizarea subproduselor de origine animală pentru confiscarea unei cantități de 660 kg, cu aplicarea de sancțiuni contravenționale. </w:t>
      </w:r>
    </w:p>
    <w:p w:rsidR="003B4CD3" w:rsidRPr="00E377DA" w:rsidRDefault="00E377DA" w:rsidP="00A77970">
      <w:pPr>
        <w:tabs>
          <w:tab w:val="left" w:pos="0"/>
        </w:tabs>
        <w:jc w:val="both"/>
        <w:rPr>
          <w:rFonts w:eastAsia="SimSun"/>
          <w:lang w:eastAsia="zh-CN"/>
        </w:rPr>
      </w:pPr>
      <w:r>
        <w:rPr>
          <w:rFonts w:eastAsia="SimSun"/>
          <w:lang w:eastAsia="zh-CN"/>
        </w:rPr>
        <w:tab/>
      </w:r>
      <w:r w:rsidR="003B4CD3" w:rsidRPr="00E377DA">
        <w:rPr>
          <w:rFonts w:eastAsia="SimSun"/>
          <w:b/>
          <w:lang w:eastAsia="zh-CN"/>
        </w:rPr>
        <w:t>Serviciul Control Oficial Siguran</w:t>
      </w:r>
      <w:r w:rsidR="003B4CD3" w:rsidRPr="00E377DA">
        <w:rPr>
          <w:rFonts w:eastAsia="SimSun"/>
          <w:b/>
          <w:lang w:val="en-US" w:eastAsia="zh-CN"/>
        </w:rPr>
        <w:t>ţ</w:t>
      </w:r>
      <w:r w:rsidR="003B4CD3" w:rsidRPr="00E377DA">
        <w:rPr>
          <w:rFonts w:eastAsia="SimSun"/>
          <w:b/>
          <w:lang w:eastAsia="zh-CN"/>
        </w:rPr>
        <w:t>a Alimentelor</w:t>
      </w:r>
    </w:p>
    <w:p w:rsidR="003B4CD3" w:rsidRPr="003B4CD3" w:rsidRDefault="00E377DA" w:rsidP="00A77970">
      <w:pPr>
        <w:tabs>
          <w:tab w:val="left" w:pos="0"/>
        </w:tabs>
        <w:autoSpaceDE w:val="0"/>
        <w:autoSpaceDN w:val="0"/>
        <w:adjustRightInd w:val="0"/>
        <w:jc w:val="both"/>
        <w:rPr>
          <w:rFonts w:eastAsia="SimSun"/>
          <w:lang w:val="es-ES" w:eastAsia="zh-CN"/>
        </w:rPr>
      </w:pPr>
      <w:r>
        <w:rPr>
          <w:rFonts w:eastAsia="SimSun"/>
          <w:lang w:eastAsia="zh-CN"/>
        </w:rPr>
        <w:tab/>
      </w:r>
      <w:r w:rsidR="003B4CD3" w:rsidRPr="003B4CD3">
        <w:rPr>
          <w:rFonts w:eastAsia="SimSun"/>
          <w:lang w:eastAsia="zh-CN"/>
        </w:rPr>
        <w:t>P</w:t>
      </w:r>
      <w:r w:rsidR="003B4CD3" w:rsidRPr="003B4CD3">
        <w:rPr>
          <w:rFonts w:eastAsia="SimSun"/>
          <w:lang w:val="es-ES" w:eastAsia="zh-CN"/>
        </w:rPr>
        <w:t>rin personalul din cadrul aparatului propriu şi personalul contractual,</w:t>
      </w:r>
      <w:r w:rsidR="003B4CD3" w:rsidRPr="003B4CD3">
        <w:rPr>
          <w:rFonts w:eastAsia="SimSun"/>
          <w:lang w:eastAsia="zh-CN"/>
        </w:rPr>
        <w:t xml:space="preserve"> s-</w:t>
      </w:r>
      <w:r w:rsidR="003B4CD3" w:rsidRPr="003B4CD3">
        <w:rPr>
          <w:rFonts w:eastAsia="SimSun"/>
          <w:lang w:val="es-ES" w:eastAsia="zh-CN"/>
        </w:rPr>
        <w:t xml:space="preserve">a urmărit în baza Programelor de activitate, a notelor de serviciu şi a dispoziţiilor A.N.S.V.S.A., modul cum sunt respectate normele sanitare veterinare în unităţile care recepţionează, depozitează, produc, prelucrează, transportă şi comercializează produse de origine animală şi nonanimală, în perioada ianuarie-iulie 2018, fiind efectuate 5.435 controale în unități supuse controlului sanitar veterinar și pentru siguranța alimentelor (domeniul animal și domeniul nonanimal, inclusiv soluționarea notificărilor de alertă SRAAF). </w:t>
      </w:r>
    </w:p>
    <w:p w:rsidR="003B4CD3" w:rsidRPr="003B4CD3" w:rsidRDefault="00E377DA" w:rsidP="00A77970">
      <w:pPr>
        <w:tabs>
          <w:tab w:val="left" w:pos="0"/>
          <w:tab w:val="left" w:pos="426"/>
        </w:tabs>
        <w:jc w:val="both"/>
        <w:rPr>
          <w:rFonts w:eastAsia="SimSun"/>
          <w:lang w:eastAsia="zh-CN"/>
        </w:rPr>
      </w:pPr>
      <w:r>
        <w:rPr>
          <w:rFonts w:eastAsia="SimSun"/>
          <w:lang w:val="es-ES" w:eastAsia="zh-CN"/>
        </w:rPr>
        <w:tab/>
      </w:r>
      <w:r w:rsidR="003B4CD3" w:rsidRPr="003B4CD3">
        <w:rPr>
          <w:rFonts w:eastAsia="SimSun"/>
          <w:lang w:val="es-ES" w:eastAsia="zh-CN"/>
        </w:rPr>
        <w:t xml:space="preserve">Controalele efectuate de inspectorii din cadrul serviciului sau în comisii mixte cu reprezentanţii altor compartimente sau instituţii, au vizat următoarele tematici: verificarea asigurării condițiilor de igienă, a trasabilităţii produselor alimentare, în unităţile de industrie alimentară, verificarea pieţelor agroalimentare şi halelor pentru desfacerea produselor de origine animală şi nonanimală, verificarea </w:t>
      </w:r>
      <w:r w:rsidR="003B4CD3" w:rsidRPr="003B4CD3">
        <w:rPr>
          <w:rFonts w:eastAsia="SimSun"/>
          <w:lang w:val="es-ES" w:eastAsia="zh-CN"/>
        </w:rPr>
        <w:lastRenderedPageBreak/>
        <w:t>unităţilor autorizate sanitar veterinar pentru schimburi de comerţ intracomunitar, monitorizarea produselor care fac obiectul schimburilor intracomunitare şi import, în baza notificărilor efectuate etc</w:t>
      </w:r>
      <w:r w:rsidR="003B4CD3" w:rsidRPr="003B4CD3">
        <w:rPr>
          <w:rFonts w:eastAsia="SimSun"/>
          <w:lang w:eastAsia="zh-CN"/>
        </w:rPr>
        <w:t xml:space="preserve">. </w:t>
      </w:r>
    </w:p>
    <w:p w:rsidR="003B4CD3" w:rsidRPr="003B4CD3" w:rsidRDefault="003B4CD3" w:rsidP="00A77970">
      <w:pPr>
        <w:tabs>
          <w:tab w:val="left" w:pos="0"/>
        </w:tabs>
        <w:jc w:val="both"/>
        <w:rPr>
          <w:rFonts w:eastAsia="SimSun"/>
          <w:lang w:eastAsia="zh-CN"/>
        </w:rPr>
      </w:pPr>
      <w:r w:rsidRPr="003B4CD3">
        <w:rPr>
          <w:rFonts w:eastAsia="SimSun"/>
          <w:lang w:eastAsia="zh-CN"/>
        </w:rPr>
        <w:t xml:space="preserve">Ulterior reorganizării efectuate în luna iulie 2018, raportat la noile atribuții și responsabilități, personalul Serviciului Control Oficial Siguranța Alimentelor, a efectuat 1.373 controale (evaluare unități înregistrate sanitar veterinar și pentru siguranța alimentelor în vederea încadrării în grupă de risc, audituri în unități autorizate sanitar veterinar, soluționare notificări de alertă, soluționare sesizări, controale tematice etc.).  </w:t>
      </w:r>
    </w:p>
    <w:p w:rsidR="003B4CD3" w:rsidRPr="003B4CD3" w:rsidRDefault="00E377DA" w:rsidP="00A77970">
      <w:pPr>
        <w:tabs>
          <w:tab w:val="left" w:pos="0"/>
        </w:tabs>
        <w:autoSpaceDE w:val="0"/>
        <w:autoSpaceDN w:val="0"/>
        <w:adjustRightInd w:val="0"/>
        <w:jc w:val="both"/>
        <w:rPr>
          <w:rFonts w:eastAsia="SimSun"/>
          <w:lang w:eastAsia="zh-CN"/>
        </w:rPr>
      </w:pPr>
      <w:r>
        <w:rPr>
          <w:rFonts w:eastAsia="SimSun"/>
          <w:lang w:eastAsia="zh-CN"/>
        </w:rPr>
        <w:tab/>
      </w:r>
      <w:r w:rsidR="003B4CD3" w:rsidRPr="003B4CD3">
        <w:rPr>
          <w:rFonts w:eastAsia="SimSun"/>
          <w:lang w:eastAsia="zh-CN"/>
        </w:rPr>
        <w:t xml:space="preserve">În luna august 2018, în scopul prevenirii extinderii pestei porcine clasice, au fost efectuate 3 acțiuni de control, împreună cu reprezentanți ai Brigării Rutiere București, fiind aplicate 13 sancțiuni contravenționale, în valoare de 15.080 lei și confiscarea a 680 kg produse alimentare de origine animală (semicarcasă porc, carcase ovine/caprine, produse lactate).  </w:t>
      </w:r>
    </w:p>
    <w:p w:rsidR="003B4CD3" w:rsidRPr="00E377DA" w:rsidRDefault="00E377DA" w:rsidP="00A77970">
      <w:pPr>
        <w:tabs>
          <w:tab w:val="left" w:pos="0"/>
        </w:tabs>
        <w:autoSpaceDE w:val="0"/>
        <w:autoSpaceDN w:val="0"/>
        <w:adjustRightInd w:val="0"/>
        <w:jc w:val="both"/>
        <w:rPr>
          <w:rFonts w:eastAsia="SimSun"/>
          <w:b/>
          <w:lang w:val="it-IT" w:eastAsia="zh-CN"/>
        </w:rPr>
      </w:pPr>
      <w:r>
        <w:rPr>
          <w:rFonts w:eastAsia="SimSun"/>
          <w:b/>
          <w:lang w:val="it-IT" w:eastAsia="zh-CN"/>
        </w:rPr>
        <w:tab/>
      </w:r>
      <w:r w:rsidR="003B4CD3" w:rsidRPr="00E377DA">
        <w:rPr>
          <w:rFonts w:eastAsia="SimSun"/>
          <w:b/>
          <w:lang w:val="it-IT" w:eastAsia="zh-CN"/>
        </w:rPr>
        <w:t>Biroul Antifraudă</w:t>
      </w:r>
    </w:p>
    <w:p w:rsidR="003B4CD3" w:rsidRPr="003B4CD3" w:rsidRDefault="00E377DA" w:rsidP="00A77970">
      <w:pPr>
        <w:tabs>
          <w:tab w:val="left" w:pos="0"/>
        </w:tabs>
        <w:jc w:val="both"/>
        <w:rPr>
          <w:rFonts w:eastAsia="SimSun"/>
          <w:lang w:eastAsia="en-GB"/>
        </w:rPr>
      </w:pPr>
      <w:r>
        <w:rPr>
          <w:rFonts w:eastAsia="SimSun"/>
          <w:lang w:eastAsia="zh-CN"/>
        </w:rPr>
        <w:tab/>
      </w:r>
      <w:r w:rsidR="003B4CD3" w:rsidRPr="003B4CD3">
        <w:rPr>
          <w:rFonts w:eastAsia="SimSun"/>
          <w:lang w:eastAsia="zh-CN"/>
        </w:rPr>
        <w:t xml:space="preserve">În perioada ianuarie – iulie 2018, au fost efectuate 169 controale în vederea verificării sesizărilor transmise de persoane fizice și juridice, precum și </w:t>
      </w:r>
      <w:r w:rsidR="003B4CD3" w:rsidRPr="003B4CD3">
        <w:rPr>
          <w:rFonts w:eastAsia="SimSun"/>
          <w:lang w:eastAsia="en-GB"/>
        </w:rPr>
        <w:t xml:space="preserve">84 de controale tematice sau în echipe mixte cu privire la verificarea respectării normelor sanitare veterinare şi pentru siguranţa alimentelor, impuse de legislaţia sanitară veterinară şi pentru siguranţa alimentelor europeană şi naţională. </w:t>
      </w:r>
    </w:p>
    <w:p w:rsidR="003B4CD3" w:rsidRPr="003B4CD3" w:rsidRDefault="003B4CD3" w:rsidP="00A77970">
      <w:pPr>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es-ES" w:eastAsia="en-US"/>
        </w:rPr>
      </w:pPr>
      <w:r w:rsidRPr="003B4CD3">
        <w:rPr>
          <w:lang w:eastAsia="en-US"/>
        </w:rPr>
        <w:t>Urmare emiterii Ordinului nr. 49/2018 al preşedintelui Autorităţii Naţionale Sanitare Veterinare şi pentru Siguranţa Alimentelor pentru aprobarea structurii organizatorice cadru şi a Regulamentului de organizare şi funcţionare ale direcţiilor sanitare veterinare şi pentru siguranţa alimentelor judeţene, respectiv a municipiului Bucureşti, Biroul Antifraudă a fost desființat, atribuțiiile fiind preluate de alte compartimente.</w:t>
      </w:r>
    </w:p>
    <w:p w:rsidR="003B4CD3" w:rsidRDefault="003B4CD3" w:rsidP="00A77970">
      <w:pPr>
        <w:autoSpaceDE w:val="0"/>
        <w:autoSpaceDN w:val="0"/>
        <w:adjustRightInd w:val="0"/>
        <w:jc w:val="both"/>
        <w:rPr>
          <w:rFonts w:eastAsia="Palatino Linotype"/>
          <w:bCs/>
          <w:lang w:val="en-US" w:bidi="ro-RO"/>
        </w:rPr>
      </w:pPr>
    </w:p>
    <w:p w:rsidR="003B4CD3" w:rsidRPr="003B4CD3" w:rsidRDefault="00E377DA" w:rsidP="00A77970">
      <w:pPr>
        <w:tabs>
          <w:tab w:val="left" w:pos="0"/>
        </w:tabs>
        <w:autoSpaceDE w:val="0"/>
        <w:autoSpaceDN w:val="0"/>
        <w:adjustRightInd w:val="0"/>
        <w:jc w:val="both"/>
        <w:rPr>
          <w:rFonts w:eastAsia="SimSun"/>
          <w:lang w:eastAsia="zh-CN"/>
        </w:rPr>
      </w:pPr>
      <w:r>
        <w:rPr>
          <w:rFonts w:eastAsia="Palatino Linotype"/>
          <w:bCs/>
          <w:lang w:val="en-US" w:bidi="ro-RO"/>
        </w:rPr>
        <w:tab/>
      </w:r>
      <w:r w:rsidR="003B4CD3" w:rsidRPr="003B4CD3">
        <w:rPr>
          <w:rFonts w:eastAsia="SimSun"/>
          <w:b/>
          <w:bCs/>
          <w:lang w:eastAsia="zh-CN"/>
        </w:rPr>
        <w:t>În domeniul apărării sănătăţii publice şi siguranţei alimentelor</w:t>
      </w:r>
      <w:r w:rsidR="003B4CD3" w:rsidRPr="003B4CD3">
        <w:rPr>
          <w:rFonts w:eastAsia="SimSun"/>
          <w:lang w:eastAsia="zh-CN"/>
        </w:rPr>
        <w:t>, au fost realizate următoarele activităţi şi acţiuni:</w:t>
      </w:r>
    </w:p>
    <w:p w:rsidR="003B4CD3" w:rsidRPr="00E377DA" w:rsidRDefault="00E377DA" w:rsidP="00A77970">
      <w:pPr>
        <w:tabs>
          <w:tab w:val="left" w:pos="0"/>
        </w:tabs>
        <w:jc w:val="both"/>
        <w:rPr>
          <w:rFonts w:eastAsia="Calibri"/>
          <w:b/>
          <w:lang w:eastAsia="en-US"/>
        </w:rPr>
      </w:pPr>
      <w:r>
        <w:rPr>
          <w:rFonts w:eastAsia="Calibri"/>
          <w:b/>
          <w:lang w:eastAsia="en-US"/>
        </w:rPr>
        <w:tab/>
      </w:r>
      <w:r w:rsidR="003B4CD3" w:rsidRPr="00E377DA">
        <w:rPr>
          <w:rFonts w:eastAsia="Calibri"/>
          <w:b/>
          <w:lang w:eastAsia="en-US"/>
        </w:rPr>
        <w:t>Laboratorul Sanitar Veterinar şi pentru Siguranţa Alimentelor</w:t>
      </w:r>
    </w:p>
    <w:p w:rsidR="003B4CD3" w:rsidRPr="003B4CD3" w:rsidRDefault="00E377DA" w:rsidP="00A77970">
      <w:pPr>
        <w:tabs>
          <w:tab w:val="left" w:pos="0"/>
        </w:tabs>
        <w:jc w:val="both"/>
        <w:rPr>
          <w:rFonts w:eastAsia="Calibri"/>
          <w:lang w:eastAsia="en-US"/>
        </w:rPr>
      </w:pPr>
      <w:r>
        <w:rPr>
          <w:rFonts w:eastAsia="Calibri"/>
          <w:lang w:eastAsia="en-US"/>
        </w:rPr>
        <w:tab/>
      </w:r>
      <w:r w:rsidR="003B4CD3" w:rsidRPr="003B4CD3">
        <w:rPr>
          <w:rFonts w:eastAsia="Calibri"/>
          <w:lang w:eastAsia="en-US"/>
        </w:rPr>
        <w:t>Laboratorul Sanitar Veterinar şi pentru Siguranţa Alimentelor este laborator acreditat RENAR conform SR EN ISO CEI 17025:2005, în care îşi desfăşoară activitatea mai multe laboratoare implicate în controlul oficial al produselor alimentare şi de asemenea funcţionează 4 Laboratoare Naţionale de Referinţă pentru Micotoxine, Metale grele,  Reziduuri de Pesticide și Contaminanți Nitrațti din produse de origine nonanimală.</w:t>
      </w:r>
    </w:p>
    <w:p w:rsidR="003B4CD3" w:rsidRPr="003B4CD3" w:rsidRDefault="00E377DA" w:rsidP="00A77970">
      <w:pPr>
        <w:tabs>
          <w:tab w:val="left" w:pos="0"/>
        </w:tabs>
        <w:jc w:val="both"/>
        <w:rPr>
          <w:rFonts w:eastAsia="Calibri"/>
          <w:lang w:eastAsia="en-US"/>
        </w:rPr>
      </w:pPr>
      <w:r>
        <w:rPr>
          <w:rFonts w:eastAsia="Calibri"/>
          <w:lang w:eastAsia="en-US"/>
        </w:rPr>
        <w:tab/>
      </w:r>
      <w:r w:rsidR="003B4CD3" w:rsidRPr="003B4CD3">
        <w:rPr>
          <w:rFonts w:eastAsia="Calibri"/>
          <w:lang w:eastAsia="en-US"/>
        </w:rPr>
        <w:t>Laboratorul de Contaminanți Nitrați din produse de origine nonanimală a fost desemnat Laborator National de Referință în anul 2018, conform Ordinului Președintelui ANSVSA nr. 108/2018.</w:t>
      </w:r>
    </w:p>
    <w:p w:rsidR="003B4CD3" w:rsidRPr="003B4CD3" w:rsidRDefault="003B4CD3" w:rsidP="00A77970">
      <w:pPr>
        <w:tabs>
          <w:tab w:val="left" w:pos="0"/>
        </w:tabs>
        <w:jc w:val="both"/>
        <w:rPr>
          <w:rFonts w:eastAsia="Calibri"/>
          <w:lang w:eastAsia="en-US"/>
        </w:rPr>
      </w:pPr>
      <w:r w:rsidRPr="003B4CD3">
        <w:rPr>
          <w:rFonts w:eastAsia="Calibri"/>
          <w:lang w:eastAsia="en-US"/>
        </w:rPr>
        <w:t>În cadrul Laboratorului de Chimie alimentară - Fizico-chimic, în anul 2018, au fost analizate pentru Programul Strategic: 976 probe, cu 2001 analize, din care contra cost: 551 probe cu 1599 analize. Nu au fost  depistate probe necorespunzătoare.</w:t>
      </w:r>
    </w:p>
    <w:p w:rsidR="003B4CD3" w:rsidRPr="003B4CD3" w:rsidRDefault="00E377DA" w:rsidP="00A77970">
      <w:pPr>
        <w:tabs>
          <w:tab w:val="left" w:pos="0"/>
        </w:tabs>
        <w:jc w:val="both"/>
        <w:rPr>
          <w:rFonts w:eastAsia="Calibri"/>
          <w:lang w:eastAsia="en-US"/>
        </w:rPr>
      </w:pPr>
      <w:r>
        <w:rPr>
          <w:rFonts w:eastAsia="Calibri"/>
          <w:lang w:eastAsia="en-US"/>
        </w:rPr>
        <w:tab/>
      </w:r>
      <w:r w:rsidR="003B4CD3" w:rsidRPr="003B4CD3">
        <w:rPr>
          <w:rFonts w:eastAsia="Calibri"/>
          <w:lang w:eastAsia="en-US"/>
        </w:rPr>
        <w:t xml:space="preserve">În cadrul Laboratorului de Aditivi Alimentari şi contaminanţi Nitraţi, în anul 2018, </w:t>
      </w:r>
      <w:r w:rsidR="003B4CD3" w:rsidRPr="003B4CD3">
        <w:rPr>
          <w:rFonts w:eastAsia="SimSun"/>
          <w:lang w:eastAsia="en-US"/>
        </w:rPr>
        <w:t>au fost analizate 44</w:t>
      </w:r>
      <w:r w:rsidR="003B4CD3" w:rsidRPr="003B4CD3">
        <w:rPr>
          <w:rFonts w:eastAsia="Calibri"/>
          <w:lang w:eastAsia="en-US"/>
        </w:rPr>
        <w:t>5</w:t>
      </w:r>
      <w:r w:rsidR="003B4CD3" w:rsidRPr="003B4CD3">
        <w:rPr>
          <w:rFonts w:eastAsia="SimSun"/>
          <w:lang w:eastAsia="en-US"/>
        </w:rPr>
        <w:t xml:space="preserve"> probe din care </w:t>
      </w:r>
      <w:r w:rsidR="003B4CD3" w:rsidRPr="003B4CD3">
        <w:rPr>
          <w:rFonts w:eastAsia="Calibri"/>
          <w:lang w:eastAsia="en-US"/>
        </w:rPr>
        <w:t>108</w:t>
      </w:r>
      <w:r w:rsidR="003B4CD3" w:rsidRPr="003B4CD3">
        <w:rPr>
          <w:rFonts w:eastAsia="SimSun"/>
          <w:lang w:eastAsia="en-US"/>
        </w:rPr>
        <w:t xml:space="preserve"> au fost la cerere. Astfel au fost analizate: </w:t>
      </w:r>
      <w:r w:rsidR="003B4CD3" w:rsidRPr="003B4CD3">
        <w:rPr>
          <w:rFonts w:eastAsia="Calibri"/>
          <w:lang w:eastAsia="en-US"/>
        </w:rPr>
        <w:t xml:space="preserve">62 </w:t>
      </w:r>
      <w:r w:rsidR="003B4CD3" w:rsidRPr="003B4CD3">
        <w:rPr>
          <w:rFonts w:eastAsia="SimSun"/>
          <w:lang w:eastAsia="en-US"/>
        </w:rPr>
        <w:t xml:space="preserve">probe pentru determinarea conţinutului de nitraţi, </w:t>
      </w:r>
      <w:r w:rsidR="003B4CD3" w:rsidRPr="003B4CD3">
        <w:rPr>
          <w:rFonts w:eastAsia="Calibri"/>
          <w:lang w:eastAsia="en-US"/>
        </w:rPr>
        <w:t>141</w:t>
      </w:r>
      <w:r w:rsidR="003B4CD3" w:rsidRPr="003B4CD3">
        <w:rPr>
          <w:rFonts w:eastAsia="SimSun"/>
          <w:lang w:eastAsia="en-US"/>
        </w:rPr>
        <w:t xml:space="preserve"> probe pentru determinarea conţinutului de coloranţi solubili în apă, </w:t>
      </w:r>
      <w:r w:rsidR="003B4CD3" w:rsidRPr="003B4CD3">
        <w:rPr>
          <w:rFonts w:eastAsia="Calibri"/>
          <w:lang w:eastAsia="en-US"/>
        </w:rPr>
        <w:t>85</w:t>
      </w:r>
      <w:r w:rsidR="003B4CD3" w:rsidRPr="003B4CD3">
        <w:rPr>
          <w:rFonts w:eastAsia="SimSun"/>
          <w:lang w:eastAsia="en-US"/>
        </w:rPr>
        <w:t xml:space="preserve"> probe pentru determinarea substanţelor interzise şi </w:t>
      </w:r>
      <w:r w:rsidR="003B4CD3" w:rsidRPr="003B4CD3">
        <w:rPr>
          <w:rFonts w:eastAsia="Calibri"/>
          <w:lang w:eastAsia="en-US"/>
        </w:rPr>
        <w:t>157</w:t>
      </w:r>
      <w:r w:rsidR="003B4CD3" w:rsidRPr="003B4CD3">
        <w:rPr>
          <w:rFonts w:eastAsia="SimSun"/>
          <w:lang w:eastAsia="en-US"/>
        </w:rPr>
        <w:t xml:space="preserve"> probe pentru determinarea conţinutului de îndulcitori. </w:t>
      </w:r>
      <w:r w:rsidR="003B4CD3" w:rsidRPr="003B4CD3">
        <w:rPr>
          <w:rFonts w:eastAsia="Calibri"/>
          <w:lang w:eastAsia="en-US"/>
        </w:rPr>
        <w:t>Nu au fost depistate probe neconforme.</w:t>
      </w:r>
    </w:p>
    <w:p w:rsidR="003B4CD3" w:rsidRPr="003B4CD3" w:rsidRDefault="00E377DA" w:rsidP="00A77970">
      <w:pPr>
        <w:tabs>
          <w:tab w:val="left" w:pos="0"/>
        </w:tabs>
        <w:jc w:val="both"/>
        <w:rPr>
          <w:rFonts w:eastAsia="Calibri"/>
          <w:lang w:eastAsia="en-US"/>
        </w:rPr>
      </w:pPr>
      <w:r>
        <w:rPr>
          <w:rFonts w:eastAsia="SimSun"/>
          <w:lang w:eastAsia="en-US"/>
        </w:rPr>
        <w:tab/>
      </w:r>
      <w:r w:rsidR="003B4CD3" w:rsidRPr="003B4CD3">
        <w:rPr>
          <w:rFonts w:eastAsia="SimSun"/>
          <w:lang w:eastAsia="en-US"/>
        </w:rPr>
        <w:t>În cadrul Laboratorului Microbiologie Alimentară, în anul 2018, dintr-un total de 3180 probe, 8.323 teste analizate conform Programului Strategic, fiind depistate 11 probe necorespunzătoare microbiologic.</w:t>
      </w:r>
    </w:p>
    <w:p w:rsidR="003B4CD3" w:rsidRPr="003B4CD3" w:rsidRDefault="00E377DA" w:rsidP="00A77970">
      <w:pPr>
        <w:tabs>
          <w:tab w:val="left" w:pos="0"/>
        </w:tabs>
        <w:jc w:val="both"/>
        <w:rPr>
          <w:rFonts w:eastAsia="Calibri"/>
          <w:lang w:eastAsia="en-US"/>
        </w:rPr>
      </w:pPr>
      <w:r>
        <w:rPr>
          <w:rFonts w:eastAsia="Calibri"/>
          <w:lang w:eastAsia="en-US"/>
        </w:rPr>
        <w:tab/>
      </w:r>
      <w:r w:rsidR="003B4CD3" w:rsidRPr="003B4CD3">
        <w:rPr>
          <w:rFonts w:eastAsia="Calibri"/>
          <w:lang w:eastAsia="en-US"/>
        </w:rPr>
        <w:t>În cadrul Laboratorului Metale grele, în anul 2018, au fost analizate un număr de 464 probe cu 694 analize, din care 493 analize în cadrul Programului strategic şi 201 analize contracost. Nici o probă nu a fost raportată ca neconformă potrivit prevederilor Regulamentului nr. 1881/2006, cu completările şi modificările ulterioare.</w:t>
      </w:r>
    </w:p>
    <w:p w:rsidR="003B4CD3" w:rsidRPr="003B4CD3" w:rsidRDefault="00E377DA" w:rsidP="00A77970">
      <w:pPr>
        <w:tabs>
          <w:tab w:val="left" w:pos="0"/>
        </w:tabs>
        <w:jc w:val="both"/>
        <w:rPr>
          <w:rFonts w:eastAsia="Calibri"/>
          <w:lang w:eastAsia="en-US"/>
        </w:rPr>
      </w:pPr>
      <w:r>
        <w:rPr>
          <w:rFonts w:eastAsia="Calibri"/>
          <w:lang w:eastAsia="en-US"/>
        </w:rPr>
        <w:tab/>
      </w:r>
      <w:r w:rsidR="003B4CD3" w:rsidRPr="003B4CD3">
        <w:rPr>
          <w:rFonts w:eastAsia="Calibri"/>
          <w:lang w:eastAsia="en-US"/>
        </w:rPr>
        <w:t xml:space="preserve">În cadrul Laboratorului Micotoxine, în anul 2018, au fost efectuate un număr total de 2108 analize (inclusiv alcaloizi ergot). A fost raportată ca neconformă şi transmisă către RASFF 1 probă care nu a respectat prevederile Regulamentului nr. 1881/2006, cu completările şi modificările ulterioare. Tot </w:t>
      </w:r>
      <w:r w:rsidR="003B4CD3" w:rsidRPr="003B4CD3">
        <w:rPr>
          <w:rFonts w:eastAsia="Calibri"/>
          <w:lang w:eastAsia="en-US"/>
        </w:rPr>
        <w:lastRenderedPageBreak/>
        <w:t>în cadrul laboratorului de Micotoxine au fost efectuate un numar total de 51 analize privind determinarea Acrilamidei.</w:t>
      </w:r>
    </w:p>
    <w:p w:rsidR="003B4CD3" w:rsidRPr="003B4CD3" w:rsidRDefault="00E377DA" w:rsidP="00A77970">
      <w:pPr>
        <w:tabs>
          <w:tab w:val="left" w:pos="0"/>
        </w:tabs>
        <w:jc w:val="both"/>
        <w:rPr>
          <w:rFonts w:eastAsia="Calibri"/>
          <w:lang w:eastAsia="en-US"/>
        </w:rPr>
      </w:pPr>
      <w:r>
        <w:rPr>
          <w:rFonts w:eastAsia="Calibri"/>
          <w:lang w:eastAsia="en-US"/>
        </w:rPr>
        <w:tab/>
      </w:r>
      <w:r w:rsidR="003B4CD3" w:rsidRPr="003B4CD3">
        <w:rPr>
          <w:rFonts w:eastAsia="Calibri"/>
          <w:lang w:eastAsia="en-US"/>
        </w:rPr>
        <w:t>În cadrul Laboratorului Alergeni, în anul 2018, au fost efectuate un număr total de 283 analize privind determinarea alergenilor (alune de pădure, arahide, gluten, migdale şi susan). Nu au fost înregistrate probe neconforme.</w:t>
      </w:r>
    </w:p>
    <w:p w:rsidR="003B4CD3" w:rsidRPr="003B4CD3" w:rsidRDefault="00E377DA" w:rsidP="00A77970">
      <w:pPr>
        <w:tabs>
          <w:tab w:val="left" w:pos="0"/>
        </w:tabs>
        <w:jc w:val="both"/>
        <w:rPr>
          <w:rFonts w:eastAsia="Calibri"/>
          <w:lang w:eastAsia="en-US"/>
        </w:rPr>
      </w:pPr>
      <w:r>
        <w:rPr>
          <w:rFonts w:eastAsia="Calibri"/>
          <w:lang w:eastAsia="en-US"/>
        </w:rPr>
        <w:tab/>
      </w:r>
      <w:r w:rsidR="003B4CD3" w:rsidRPr="003B4CD3">
        <w:rPr>
          <w:rFonts w:eastAsia="Calibri"/>
          <w:lang w:eastAsia="en-US"/>
        </w:rPr>
        <w:t xml:space="preserve">Laboratorul de Reziduuri de Pesticide din cadrul LSVSA Bucureşti este singurul laborator din ţară care poate efectua atât prin tehnica GC-MS/MS cât şi prin LC-MS/MS analiza reziduurilor de pesticide din fructe, legume şi cereale, pentru probele recoltate conform Ordinului nr. 35/2016. </w:t>
      </w:r>
    </w:p>
    <w:p w:rsidR="003B4CD3" w:rsidRPr="003B4CD3" w:rsidRDefault="00E377DA" w:rsidP="00A77970">
      <w:pPr>
        <w:tabs>
          <w:tab w:val="left" w:pos="0"/>
        </w:tabs>
        <w:jc w:val="both"/>
        <w:rPr>
          <w:rFonts w:eastAsia="Calibri"/>
          <w:lang w:eastAsia="en-US"/>
        </w:rPr>
      </w:pPr>
      <w:r>
        <w:rPr>
          <w:rFonts w:eastAsia="Calibri"/>
          <w:lang w:eastAsia="en-US"/>
        </w:rPr>
        <w:tab/>
      </w:r>
      <w:r w:rsidR="003B4CD3" w:rsidRPr="003B4CD3">
        <w:rPr>
          <w:rFonts w:eastAsia="Calibri"/>
          <w:lang w:eastAsia="en-US"/>
        </w:rPr>
        <w:t xml:space="preserve">Astfel, numărul probelor analizate până la 31.12.2018, conform raportului LIMS este: </w:t>
      </w:r>
      <w:r w:rsidR="003B4CD3" w:rsidRPr="003B4CD3">
        <w:rPr>
          <w:rFonts w:eastAsia="Calibri"/>
          <w:lang w:eastAsia="en-US"/>
        </w:rPr>
        <w:sym w:font="Symbol" w:char="F07E"/>
      </w:r>
      <w:r w:rsidR="003B4CD3" w:rsidRPr="003B4CD3">
        <w:rPr>
          <w:rFonts w:eastAsia="Calibri"/>
          <w:lang w:eastAsia="en-US"/>
        </w:rPr>
        <w:t xml:space="preserve">1600 probe cu </w:t>
      </w:r>
      <w:r w:rsidR="003B4CD3" w:rsidRPr="003B4CD3">
        <w:rPr>
          <w:rFonts w:eastAsia="Calibri"/>
          <w:lang w:eastAsia="en-US"/>
        </w:rPr>
        <w:sym w:font="Symbol" w:char="F07E"/>
      </w:r>
      <w:r w:rsidR="003B4CD3" w:rsidRPr="003B4CD3">
        <w:rPr>
          <w:rFonts w:eastAsia="Calibri"/>
          <w:lang w:eastAsia="en-US"/>
        </w:rPr>
        <w:t>3100 analize (atât prin tehnica GC-MS/MS cât şi prin LC-MS/MS), din care 13 probe neconforme, cu depăşiri ale LMA. De menţionat este faptul că la data trimiterii raportului, laboratorul nu poate analiza probe prin tehnica GC-MS/MS având stocate în frigidere şi congelatoare cca 200 probe.</w:t>
      </w:r>
    </w:p>
    <w:p w:rsidR="003B4CD3" w:rsidRPr="003B4CD3" w:rsidRDefault="00E377DA" w:rsidP="00A77970">
      <w:pPr>
        <w:tabs>
          <w:tab w:val="left" w:pos="0"/>
        </w:tabs>
        <w:jc w:val="both"/>
        <w:rPr>
          <w:rFonts w:eastAsia="SimSun"/>
          <w:lang w:eastAsia="zh-CN"/>
        </w:rPr>
      </w:pPr>
      <w:r>
        <w:rPr>
          <w:rFonts w:eastAsia="Calibri"/>
          <w:lang w:eastAsia="en-US"/>
        </w:rPr>
        <w:tab/>
      </w:r>
      <w:r w:rsidR="003B4CD3" w:rsidRPr="003B4CD3">
        <w:rPr>
          <w:rFonts w:eastAsia="Calibri"/>
          <w:lang w:eastAsia="en-US"/>
        </w:rPr>
        <w:t>De</w:t>
      </w:r>
      <w:r>
        <w:rPr>
          <w:rFonts w:eastAsia="Calibri"/>
          <w:lang w:eastAsia="en-US"/>
        </w:rPr>
        <w:t xml:space="preserve"> </w:t>
      </w:r>
      <w:r w:rsidR="003B4CD3" w:rsidRPr="003B4CD3">
        <w:rPr>
          <w:rFonts w:eastAsia="Calibri"/>
          <w:lang w:eastAsia="en-US"/>
        </w:rPr>
        <w:t xml:space="preserve">asemenea, </w:t>
      </w:r>
      <w:r w:rsidR="003B4CD3" w:rsidRPr="003B4CD3">
        <w:rPr>
          <w:rFonts w:eastAsia="SimSun"/>
          <w:lang w:eastAsia="zh-CN"/>
        </w:rPr>
        <w:t>urmare Notei de Serviciu A.N.S.V.S.A. nr. 7042/25391/16.02.2018 având ca obiectiv planul cifric de control în domeniul laboratoarelor sanitare veterinare pe anul 2018, specialiștii din cadrul Laboratorului de Chimie  si Microbiologie Alimentara au fost membri în comisii tehnice de evaluare a 15  laboratoare uzinale.</w:t>
      </w:r>
    </w:p>
    <w:p w:rsidR="003B4CD3" w:rsidRPr="003B4CD3" w:rsidRDefault="00E377DA" w:rsidP="00A77970">
      <w:pPr>
        <w:tabs>
          <w:tab w:val="left" w:pos="0"/>
        </w:tabs>
        <w:autoSpaceDE w:val="0"/>
        <w:autoSpaceDN w:val="0"/>
        <w:adjustRightInd w:val="0"/>
        <w:jc w:val="both"/>
        <w:rPr>
          <w:rFonts w:eastAsia="SimSun"/>
          <w:lang w:eastAsia="zh-CN"/>
        </w:rPr>
      </w:pPr>
      <w:r>
        <w:rPr>
          <w:rFonts w:eastAsia="SimSun"/>
          <w:b/>
          <w:lang w:eastAsia="zh-CN"/>
        </w:rPr>
        <w:tab/>
      </w:r>
      <w:r w:rsidR="003B4CD3" w:rsidRPr="00E377DA">
        <w:rPr>
          <w:rFonts w:eastAsia="SimSun"/>
          <w:b/>
          <w:lang w:eastAsia="zh-CN"/>
        </w:rPr>
        <w:t>Serviciul Control Oficial Siguranţa Alimentelor</w:t>
      </w:r>
      <w:r w:rsidR="003B4CD3" w:rsidRPr="003B4CD3">
        <w:rPr>
          <w:rFonts w:eastAsia="SimSun"/>
          <w:lang w:eastAsia="zh-CN"/>
        </w:rPr>
        <w:t xml:space="preserve"> a urmărit în baza Programelor de activitate, a notelor de serviciu şi a dispoziţiilor A.N.S.V.S.A., modul cum sunt respectate normele sanitare veterinare în unităţile care recepţionează, depozitează, produc, prelucrează, transportă şi comercializează produse de origine animală şi nonanimală, fiind efectuate în semestrul II 2018, un total de 1024 controale pe profilul animal și 349 controale pe profilul nonanimal. </w:t>
      </w:r>
    </w:p>
    <w:p w:rsidR="003B4CD3" w:rsidRPr="003B4CD3" w:rsidRDefault="00E377DA" w:rsidP="00A77970">
      <w:pPr>
        <w:tabs>
          <w:tab w:val="left" w:pos="0"/>
        </w:tabs>
        <w:autoSpaceDE w:val="0"/>
        <w:autoSpaceDN w:val="0"/>
        <w:adjustRightInd w:val="0"/>
        <w:jc w:val="both"/>
        <w:rPr>
          <w:rFonts w:eastAsia="SimSun"/>
          <w:lang w:eastAsia="zh-CN"/>
        </w:rPr>
      </w:pPr>
      <w:r>
        <w:rPr>
          <w:rFonts w:eastAsia="SimSun"/>
          <w:lang w:eastAsia="zh-CN"/>
        </w:rPr>
        <w:tab/>
      </w:r>
      <w:r w:rsidR="003B4CD3" w:rsidRPr="003B4CD3">
        <w:rPr>
          <w:rFonts w:eastAsia="SimSun"/>
          <w:lang w:eastAsia="zh-CN"/>
        </w:rPr>
        <w:t xml:space="preserve">Controalele efectuate de inspectorii din cadrul serviciului sau în comisii mixte cu reprezentanţii altor compartimente sau instituţii, au vizat următoarele tematici: evaluarea unităţilor autorizate sanitar veterinar pentru schimburi de comerţ intracomunitar, precum și a celor înregistrate, în vederea încadrării în clasă de risc, soluționarea notificărilor de alerte transmise prin SRAAF, asigurarea trasabilităţii în unităţile de industrie alimentară, controale tematice comune împreună cu reprezentanți ai altor instituții cu atribuții de control etc. </w:t>
      </w:r>
    </w:p>
    <w:p w:rsidR="003B4CD3" w:rsidRPr="00E377DA" w:rsidRDefault="00E377DA" w:rsidP="00A77970">
      <w:pPr>
        <w:tabs>
          <w:tab w:val="left" w:pos="0"/>
        </w:tabs>
        <w:autoSpaceDE w:val="0"/>
        <w:autoSpaceDN w:val="0"/>
        <w:adjustRightInd w:val="0"/>
        <w:jc w:val="both"/>
        <w:rPr>
          <w:rFonts w:eastAsia="SimSun"/>
          <w:lang w:eastAsia="zh-CN"/>
        </w:rPr>
      </w:pPr>
      <w:r>
        <w:rPr>
          <w:rFonts w:eastAsia="SimSun"/>
          <w:b/>
          <w:lang w:eastAsia="zh-CN"/>
        </w:rPr>
        <w:tab/>
      </w:r>
      <w:r w:rsidR="003B4CD3" w:rsidRPr="00E377DA">
        <w:rPr>
          <w:rFonts w:eastAsia="SimSun"/>
          <w:b/>
          <w:lang w:eastAsia="zh-CN"/>
        </w:rPr>
        <w:t>Serviciul Catagrafie, Înregistrare, Evaluare, TRACES</w:t>
      </w:r>
    </w:p>
    <w:p w:rsidR="003B4CD3" w:rsidRPr="003B4CD3" w:rsidRDefault="00E377DA" w:rsidP="00A77970">
      <w:pPr>
        <w:tabs>
          <w:tab w:val="left" w:pos="0"/>
        </w:tabs>
        <w:autoSpaceDE w:val="0"/>
        <w:autoSpaceDN w:val="0"/>
        <w:adjustRightInd w:val="0"/>
        <w:jc w:val="both"/>
        <w:rPr>
          <w:rFonts w:eastAsia="SimSun"/>
          <w:lang w:eastAsia="zh-CN"/>
        </w:rPr>
      </w:pPr>
      <w:r>
        <w:rPr>
          <w:rFonts w:eastAsia="SimSun"/>
          <w:lang w:eastAsia="zh-CN"/>
        </w:rPr>
        <w:tab/>
      </w:r>
      <w:r w:rsidR="003B4CD3" w:rsidRPr="003B4CD3">
        <w:rPr>
          <w:rFonts w:eastAsia="SimSun"/>
          <w:lang w:eastAsia="zh-CN"/>
        </w:rPr>
        <w:t xml:space="preserve">La nivelul SCAIEI au fost aplicate, în conformitate cu prevederile H.G. nr. 984/2005, cu modificările și completările ulterioare, 76 sancțiuni contravenționale la normele sanitare veterinare și pentru siguranța alimentelor, în valoare de 168.720 lei și 5 avertismente, conform prevederilor O.U.G. nr. 2/2001 privind regimul juridic al contravențiilor. </w:t>
      </w:r>
    </w:p>
    <w:p w:rsidR="003B4CD3" w:rsidRPr="00E377DA" w:rsidRDefault="00E377DA" w:rsidP="00A77970">
      <w:pPr>
        <w:tabs>
          <w:tab w:val="left" w:pos="0"/>
        </w:tabs>
        <w:autoSpaceDE w:val="0"/>
        <w:autoSpaceDN w:val="0"/>
        <w:adjustRightInd w:val="0"/>
        <w:jc w:val="both"/>
        <w:rPr>
          <w:rFonts w:eastAsia="SimSun"/>
          <w:b/>
          <w:bCs/>
          <w:lang w:eastAsia="zh-CN"/>
        </w:rPr>
      </w:pPr>
      <w:r>
        <w:rPr>
          <w:rFonts w:eastAsia="SimSun"/>
          <w:b/>
          <w:bCs/>
          <w:lang w:eastAsia="zh-CN"/>
        </w:rPr>
        <w:tab/>
      </w:r>
      <w:r w:rsidR="003B4CD3" w:rsidRPr="00E377DA">
        <w:rPr>
          <w:rFonts w:eastAsia="SimSun"/>
          <w:b/>
          <w:bCs/>
          <w:lang w:eastAsia="zh-CN"/>
        </w:rPr>
        <w:t>Biroul Control Oficial Siguranţa Alimentelor</w:t>
      </w:r>
    </w:p>
    <w:p w:rsidR="003B4CD3" w:rsidRPr="003B4CD3" w:rsidRDefault="00E377DA" w:rsidP="00A77970">
      <w:pPr>
        <w:tabs>
          <w:tab w:val="left" w:pos="0"/>
        </w:tabs>
        <w:jc w:val="both"/>
        <w:rPr>
          <w:rFonts w:eastAsia="SimSun"/>
          <w:lang w:eastAsia="zh-CN"/>
        </w:rPr>
      </w:pPr>
      <w:r>
        <w:rPr>
          <w:rFonts w:eastAsia="SimSun"/>
          <w:lang w:eastAsia="zh-CN"/>
        </w:rPr>
        <w:tab/>
      </w:r>
      <w:r w:rsidR="003B4CD3" w:rsidRPr="003B4CD3">
        <w:rPr>
          <w:rFonts w:eastAsia="SimSun"/>
          <w:lang w:eastAsia="zh-CN"/>
        </w:rPr>
        <w:t>Urmare</w:t>
      </w:r>
      <w:r w:rsidR="003B4CD3" w:rsidRPr="003B4CD3">
        <w:rPr>
          <w:rFonts w:eastAsia="SimSun"/>
          <w:lang w:val="es-ES" w:eastAsia="zh-CN"/>
        </w:rPr>
        <w:t xml:space="preserve"> </w:t>
      </w:r>
      <w:r w:rsidR="003B4CD3" w:rsidRPr="003B4CD3">
        <w:rPr>
          <w:rFonts w:eastAsia="SimSun"/>
          <w:lang w:eastAsia="zh-CN"/>
        </w:rPr>
        <w:t>neconformităţilor constatate, în anul 2018 au fost aplicate 107 sancțiuni contravenționale, în valoare de 414.700 lei și 14 avertismente; a fost reținută de la comercializare și dirijată spre neutralizare către o unitate specializată, cantitatea de 9732 kg produse alimentare, carne pasăre, vită, oaie, preparate din carne, pește, produse lactate, praf ou etc.)</w:t>
      </w:r>
    </w:p>
    <w:p w:rsidR="003B4CD3" w:rsidRPr="00663E01" w:rsidRDefault="00E377DA" w:rsidP="00663E01">
      <w:pPr>
        <w:tabs>
          <w:tab w:val="left" w:pos="0"/>
        </w:tabs>
        <w:autoSpaceDE w:val="0"/>
        <w:autoSpaceDN w:val="0"/>
        <w:adjustRightInd w:val="0"/>
        <w:jc w:val="both"/>
        <w:rPr>
          <w:rFonts w:eastAsia="SimSun"/>
          <w:lang w:eastAsia="zh-CN"/>
        </w:rPr>
      </w:pPr>
      <w:r>
        <w:rPr>
          <w:rFonts w:eastAsia="SimSun"/>
          <w:lang w:eastAsia="zh-CN"/>
        </w:rPr>
        <w:tab/>
      </w:r>
      <w:r w:rsidR="003B4CD3" w:rsidRPr="003B4CD3">
        <w:rPr>
          <w:rFonts w:eastAsia="SimSun"/>
          <w:lang w:eastAsia="zh-CN"/>
        </w:rPr>
        <w:t xml:space="preserve">Principalele neconformități identificate cu ocazia controalelor au fost: întreținerea necorespunzătoare a spațiilor, etichetarea necorespunzătoare a produselor alimentare, manipularea necorespunzătoare a produselor alimentare, depozitarea necorespunzătoare a produselor alimentare, nedemonstrarea trasabilității produselor alimentare, funcționarea unităților fără a deține document de înregistrare sanitară veterinară, întreținerea necorespunzătoare a spațiilor, comercializarea de produse alimentare cu </w:t>
      </w:r>
      <w:r w:rsidR="00663E01">
        <w:rPr>
          <w:rFonts w:eastAsia="SimSun"/>
          <w:lang w:eastAsia="zh-CN"/>
        </w:rPr>
        <w:t>termen de valabilitate depășit.</w:t>
      </w:r>
    </w:p>
    <w:p w:rsidR="0042550A" w:rsidRDefault="0042550A" w:rsidP="00A77970">
      <w:pPr>
        <w:jc w:val="both"/>
        <w:rPr>
          <w:u w:val="single"/>
        </w:rPr>
      </w:pPr>
    </w:p>
    <w:p w:rsidR="00D466FA" w:rsidRDefault="00D466FA" w:rsidP="00A77970">
      <w:pPr>
        <w:pStyle w:val="ListParagraph"/>
        <w:numPr>
          <w:ilvl w:val="0"/>
          <w:numId w:val="2"/>
        </w:numPr>
        <w:jc w:val="both"/>
      </w:pPr>
      <w:r w:rsidRPr="00756F46">
        <w:t>Turism</w:t>
      </w:r>
    </w:p>
    <w:p w:rsidR="00285180" w:rsidRPr="00756F46" w:rsidRDefault="00285180" w:rsidP="00A77970">
      <w:pPr>
        <w:ind w:left="360"/>
        <w:jc w:val="both"/>
      </w:pPr>
    </w:p>
    <w:p w:rsidR="007E3897" w:rsidRDefault="001A0ECE" w:rsidP="00A77970">
      <w:pPr>
        <w:jc w:val="both"/>
        <w:rPr>
          <w:kern w:val="28"/>
          <w:lang w:eastAsia="en-US"/>
        </w:rPr>
      </w:pPr>
      <w:r>
        <w:rPr>
          <w:kern w:val="28"/>
          <w:lang w:eastAsia="en-US"/>
        </w:rPr>
        <w:tab/>
      </w:r>
      <w:r w:rsidR="007E3897" w:rsidRPr="007E3897">
        <w:rPr>
          <w:kern w:val="28"/>
          <w:lang w:eastAsia="en-US"/>
        </w:rPr>
        <w:t xml:space="preserve">Prin funcţiile sale complexe, prin poziţia în cadrul ţării şi prin numeroasele obiective cu valoare istorică şi arhitectonică, Bucureştiul reprezintă unul dintre principalele centre turistice ale României. Capitala dispune de o apreciabilă bază materială, în continuă extindere. Activitatea turistică din </w:t>
      </w:r>
      <w:r w:rsidR="007E3897" w:rsidRPr="007E3897">
        <w:rPr>
          <w:kern w:val="28"/>
          <w:lang w:eastAsia="en-US"/>
        </w:rPr>
        <w:lastRenderedPageBreak/>
        <w:t>Bucureşti şi din întreaga ţară este coordonată de către Ministerul Turismului şi susţinută de mai multe societăţi de turism.</w:t>
      </w:r>
    </w:p>
    <w:p w:rsidR="0061627C" w:rsidRPr="007E3897" w:rsidRDefault="0061627C" w:rsidP="00A77970">
      <w:pPr>
        <w:jc w:val="both"/>
        <w:rPr>
          <w:kern w:val="28"/>
          <w:lang w:eastAsia="en-US"/>
        </w:rPr>
      </w:pPr>
    </w:p>
    <w:p w:rsidR="007E3897" w:rsidRDefault="001A0ECE" w:rsidP="00A77970">
      <w:pPr>
        <w:jc w:val="both"/>
        <w:rPr>
          <w:kern w:val="28"/>
          <w:lang w:val="it-IT" w:eastAsia="en-US"/>
        </w:rPr>
      </w:pPr>
      <w:r>
        <w:rPr>
          <w:kern w:val="28"/>
          <w:lang w:val="it-IT" w:eastAsia="en-US"/>
        </w:rPr>
        <w:tab/>
      </w:r>
      <w:r w:rsidR="007E3897" w:rsidRPr="007E3897">
        <w:rPr>
          <w:kern w:val="28"/>
          <w:lang w:val="it-IT" w:eastAsia="en-US"/>
        </w:rPr>
        <w:t>Cele mai importante obiective turistice ale Municipiului Bucureşti sunt: Casa Poporului (Palatul Parlamentului), Ateneul Român, Arcul de Triumf, Palatul Băncii Naţionale, Teatrul Naţional, Universitatea, Parcul Cişmigiu, Grădina Botanică, Parcul Herăstrău, Muzeul Satului, Muzeul Naţional de Artă a României, Muzeul Naţional de Istorie a României.</w:t>
      </w:r>
    </w:p>
    <w:p w:rsidR="0061627C" w:rsidRPr="00C14D8A" w:rsidRDefault="0061627C" w:rsidP="00A77970">
      <w:pPr>
        <w:jc w:val="both"/>
        <w:rPr>
          <w:kern w:val="28"/>
          <w:lang w:val="it-IT" w:eastAsia="en-US"/>
        </w:rPr>
      </w:pPr>
    </w:p>
    <w:p w:rsidR="007E3897" w:rsidRPr="007E3897" w:rsidRDefault="001A0ECE" w:rsidP="00A77970">
      <w:pPr>
        <w:jc w:val="both"/>
        <w:rPr>
          <w:kern w:val="28"/>
          <w:lang w:eastAsia="en-US"/>
        </w:rPr>
      </w:pPr>
      <w:r>
        <w:rPr>
          <w:bCs/>
          <w:iCs/>
          <w:kern w:val="28"/>
          <w:lang w:eastAsia="en-US"/>
        </w:rPr>
        <w:tab/>
      </w:r>
      <w:r w:rsidR="007E3897" w:rsidRPr="007E3897">
        <w:rPr>
          <w:bCs/>
          <w:iCs/>
          <w:kern w:val="28"/>
          <w:lang w:eastAsia="en-US"/>
        </w:rPr>
        <w:t xml:space="preserve">Datele prezentate în următoarele tabele sunt obţinute din cercetarea statistică </w:t>
      </w:r>
      <w:r w:rsidR="007E3897" w:rsidRPr="007E3897">
        <w:rPr>
          <w:kern w:val="28"/>
          <w:lang w:eastAsia="en-US"/>
        </w:rPr>
        <w:t>referitoare la  „Frecventarea structurilor de primire turistică cu funcţiuni de cazare” care se adresează tuturor structurilor de primire cu o capacitate de cazare turistică de minim 10 locuri-pat.</w:t>
      </w:r>
    </w:p>
    <w:p w:rsidR="001A5F90" w:rsidRDefault="001A5F90" w:rsidP="00A77970">
      <w:pPr>
        <w:rPr>
          <w:b/>
          <w:kern w:val="28"/>
          <w:lang w:eastAsia="en-US"/>
        </w:rPr>
      </w:pPr>
      <w:bookmarkStart w:id="4" w:name="_Toc251680677"/>
      <w:bookmarkStart w:id="5" w:name="_Toc283308911"/>
      <w:bookmarkStart w:id="6" w:name="_Toc445282772"/>
    </w:p>
    <w:p w:rsidR="001A0ECE" w:rsidRPr="0042550A" w:rsidRDefault="007E3897" w:rsidP="00A77970">
      <w:pPr>
        <w:rPr>
          <w:b/>
          <w:kern w:val="28"/>
          <w:lang w:eastAsia="en-US"/>
        </w:rPr>
      </w:pPr>
      <w:r w:rsidRPr="0042550A">
        <w:rPr>
          <w:b/>
          <w:kern w:val="28"/>
          <w:lang w:eastAsia="en-US"/>
        </w:rPr>
        <w:t>Sosiri în principalele structuri de primire turistică cu funcţiuni de cazare turistică</w:t>
      </w:r>
      <w:bookmarkEnd w:id="4"/>
      <w:bookmarkEnd w:id="5"/>
      <w:bookmarkEnd w:id="6"/>
    </w:p>
    <w:p w:rsidR="007E3897" w:rsidRPr="001A0ECE" w:rsidRDefault="007E3897" w:rsidP="00A77970">
      <w:pPr>
        <w:jc w:val="right"/>
        <w:outlineLvl w:val="1"/>
        <w:rPr>
          <w:b/>
          <w:kern w:val="28"/>
          <w:sz w:val="28"/>
          <w:szCs w:val="28"/>
          <w:lang w:eastAsia="en-US"/>
        </w:rPr>
      </w:pPr>
      <w:r w:rsidRPr="007E3897">
        <w:rPr>
          <w:kern w:val="28"/>
          <w:sz w:val="18"/>
          <w:szCs w:val="18"/>
          <w:lang w:eastAsia="en-US"/>
        </w:rPr>
        <w:t>- număr -</w:t>
      </w:r>
    </w:p>
    <w:tbl>
      <w:tblPr>
        <w:tblW w:w="103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942"/>
        <w:gridCol w:w="699"/>
        <w:gridCol w:w="700"/>
        <w:gridCol w:w="700"/>
        <w:gridCol w:w="700"/>
        <w:gridCol w:w="700"/>
        <w:gridCol w:w="700"/>
        <w:gridCol w:w="700"/>
        <w:gridCol w:w="700"/>
        <w:gridCol w:w="700"/>
        <w:gridCol w:w="700"/>
        <w:gridCol w:w="700"/>
        <w:gridCol w:w="700"/>
      </w:tblGrid>
      <w:tr w:rsidR="00AA0BC7" w:rsidRPr="00AA0BC7" w:rsidTr="00AA0BC7">
        <w:trPr>
          <w:cantSplit/>
          <w:trHeight w:val="272"/>
        </w:trPr>
        <w:tc>
          <w:tcPr>
            <w:tcW w:w="1942" w:type="dxa"/>
            <w:vMerge w:val="restart"/>
            <w:shd w:val="clear" w:color="auto" w:fill="FFFFFF" w:themeFill="background1"/>
            <w:vAlign w:val="center"/>
          </w:tcPr>
          <w:p w:rsidR="00AA0BC7" w:rsidRPr="00AA0BC7" w:rsidRDefault="00AA0BC7" w:rsidP="00A77970">
            <w:pPr>
              <w:jc w:val="center"/>
              <w:rPr>
                <w:rFonts w:eastAsia="Arial Unicode MS"/>
                <w:b/>
              </w:rPr>
            </w:pPr>
            <w:r w:rsidRPr="00AA0BC7">
              <w:rPr>
                <w:b/>
              </w:rPr>
              <w:t>Tipuri de structuri de primire turistică</w:t>
            </w:r>
          </w:p>
        </w:tc>
        <w:tc>
          <w:tcPr>
            <w:tcW w:w="8399" w:type="dxa"/>
            <w:gridSpan w:val="12"/>
            <w:shd w:val="clear" w:color="auto" w:fill="FFFFFF" w:themeFill="background1"/>
            <w:vAlign w:val="center"/>
          </w:tcPr>
          <w:p w:rsidR="00AA0BC7" w:rsidRPr="00AA0BC7" w:rsidRDefault="00AA0BC7" w:rsidP="00A77970">
            <w:pPr>
              <w:jc w:val="center"/>
              <w:rPr>
                <w:rFonts w:eastAsia="Arial Unicode MS"/>
                <w:b/>
              </w:rPr>
            </w:pPr>
            <w:r w:rsidRPr="00AA0BC7">
              <w:rPr>
                <w:rFonts w:eastAsia="Arial Unicode MS"/>
                <w:b/>
              </w:rPr>
              <w:t>Anul 2018</w:t>
            </w:r>
          </w:p>
        </w:tc>
      </w:tr>
      <w:tr w:rsidR="00AA0BC7" w:rsidRPr="00AA0BC7" w:rsidTr="00AA0BC7">
        <w:trPr>
          <w:cantSplit/>
          <w:trHeight w:val="325"/>
        </w:trPr>
        <w:tc>
          <w:tcPr>
            <w:tcW w:w="1942" w:type="dxa"/>
            <w:vMerge/>
            <w:shd w:val="clear" w:color="auto" w:fill="FFFFFF" w:themeFill="background1"/>
            <w:vAlign w:val="center"/>
          </w:tcPr>
          <w:p w:rsidR="00AA0BC7" w:rsidRPr="00AA0BC7" w:rsidRDefault="00AA0BC7" w:rsidP="00A77970">
            <w:pPr>
              <w:rPr>
                <w:rFonts w:eastAsia="Arial Unicode MS"/>
                <w:b/>
              </w:rPr>
            </w:pPr>
          </w:p>
        </w:tc>
        <w:tc>
          <w:tcPr>
            <w:tcW w:w="699" w:type="dxa"/>
            <w:shd w:val="clear" w:color="auto" w:fill="FFFFFF" w:themeFill="background1"/>
            <w:vAlign w:val="center"/>
          </w:tcPr>
          <w:p w:rsidR="00AA0BC7" w:rsidRPr="00AA0BC7" w:rsidRDefault="00AA0BC7" w:rsidP="00A77970">
            <w:pPr>
              <w:jc w:val="center"/>
              <w:rPr>
                <w:rFonts w:eastAsia="Arial Unicode MS"/>
                <w:b/>
                <w:sz w:val="20"/>
                <w:szCs w:val="20"/>
              </w:rPr>
            </w:pPr>
            <w:r w:rsidRPr="00AA0BC7">
              <w:rPr>
                <w:rFonts w:eastAsia="Arial Unicode MS"/>
                <w:b/>
                <w:sz w:val="20"/>
                <w:szCs w:val="20"/>
              </w:rPr>
              <w:t>ian.</w:t>
            </w:r>
          </w:p>
        </w:tc>
        <w:tc>
          <w:tcPr>
            <w:tcW w:w="700" w:type="dxa"/>
            <w:shd w:val="clear" w:color="auto" w:fill="FFFFFF" w:themeFill="background1"/>
            <w:vAlign w:val="center"/>
          </w:tcPr>
          <w:p w:rsidR="00AA0BC7" w:rsidRPr="00AA0BC7" w:rsidRDefault="00AA0BC7" w:rsidP="00A77970">
            <w:pPr>
              <w:jc w:val="center"/>
              <w:rPr>
                <w:rFonts w:eastAsia="Arial Unicode MS"/>
                <w:b/>
                <w:sz w:val="20"/>
                <w:szCs w:val="20"/>
              </w:rPr>
            </w:pPr>
            <w:r w:rsidRPr="00AA0BC7">
              <w:rPr>
                <w:b/>
                <w:sz w:val="20"/>
                <w:szCs w:val="20"/>
              </w:rPr>
              <w:t>feb.</w:t>
            </w:r>
          </w:p>
        </w:tc>
        <w:tc>
          <w:tcPr>
            <w:tcW w:w="700" w:type="dxa"/>
            <w:shd w:val="clear" w:color="auto" w:fill="FFFFFF" w:themeFill="background1"/>
            <w:vAlign w:val="center"/>
          </w:tcPr>
          <w:p w:rsidR="00AA0BC7" w:rsidRPr="00AA0BC7" w:rsidRDefault="00AA0BC7" w:rsidP="00A77970">
            <w:pPr>
              <w:jc w:val="center"/>
              <w:rPr>
                <w:rFonts w:eastAsia="Arial Unicode MS"/>
                <w:b/>
                <w:sz w:val="20"/>
                <w:szCs w:val="20"/>
              </w:rPr>
            </w:pPr>
            <w:r w:rsidRPr="00AA0BC7">
              <w:rPr>
                <w:b/>
                <w:sz w:val="20"/>
                <w:szCs w:val="20"/>
              </w:rPr>
              <w:t>mar.</w:t>
            </w:r>
          </w:p>
        </w:tc>
        <w:tc>
          <w:tcPr>
            <w:tcW w:w="700" w:type="dxa"/>
            <w:shd w:val="clear" w:color="auto" w:fill="FFFFFF" w:themeFill="background1"/>
            <w:vAlign w:val="center"/>
          </w:tcPr>
          <w:p w:rsidR="00AA0BC7" w:rsidRPr="00AA0BC7" w:rsidRDefault="00AA0BC7" w:rsidP="00A77970">
            <w:pPr>
              <w:jc w:val="center"/>
              <w:rPr>
                <w:rFonts w:eastAsia="Arial Unicode MS"/>
                <w:b/>
                <w:sz w:val="20"/>
                <w:szCs w:val="20"/>
              </w:rPr>
            </w:pPr>
            <w:r w:rsidRPr="00AA0BC7">
              <w:rPr>
                <w:b/>
                <w:sz w:val="20"/>
                <w:szCs w:val="20"/>
              </w:rPr>
              <w:t>apr.</w:t>
            </w:r>
          </w:p>
        </w:tc>
        <w:tc>
          <w:tcPr>
            <w:tcW w:w="700" w:type="dxa"/>
            <w:shd w:val="clear" w:color="auto" w:fill="FFFFFF" w:themeFill="background1"/>
            <w:vAlign w:val="center"/>
          </w:tcPr>
          <w:p w:rsidR="00AA0BC7" w:rsidRPr="00AA0BC7" w:rsidRDefault="00AA0BC7" w:rsidP="00A77970">
            <w:pPr>
              <w:jc w:val="center"/>
              <w:rPr>
                <w:rFonts w:eastAsia="Arial Unicode MS"/>
                <w:b/>
                <w:sz w:val="20"/>
                <w:szCs w:val="20"/>
              </w:rPr>
            </w:pPr>
            <w:r w:rsidRPr="00AA0BC7">
              <w:rPr>
                <w:b/>
                <w:sz w:val="20"/>
                <w:szCs w:val="20"/>
              </w:rPr>
              <w:t>mai</w:t>
            </w:r>
          </w:p>
        </w:tc>
        <w:tc>
          <w:tcPr>
            <w:tcW w:w="700" w:type="dxa"/>
            <w:shd w:val="clear" w:color="auto" w:fill="FFFFFF" w:themeFill="background1"/>
            <w:vAlign w:val="center"/>
          </w:tcPr>
          <w:p w:rsidR="00AA0BC7" w:rsidRPr="00AA0BC7" w:rsidRDefault="00AA0BC7" w:rsidP="00A77970">
            <w:pPr>
              <w:jc w:val="center"/>
              <w:rPr>
                <w:rFonts w:eastAsia="Arial Unicode MS"/>
                <w:b/>
                <w:sz w:val="20"/>
                <w:szCs w:val="20"/>
              </w:rPr>
            </w:pPr>
            <w:r w:rsidRPr="00AA0BC7">
              <w:rPr>
                <w:rFonts w:eastAsia="Arial Unicode MS"/>
                <w:b/>
                <w:sz w:val="20"/>
                <w:szCs w:val="20"/>
              </w:rPr>
              <w:t>iun.</w:t>
            </w:r>
          </w:p>
        </w:tc>
        <w:tc>
          <w:tcPr>
            <w:tcW w:w="700" w:type="dxa"/>
            <w:shd w:val="clear" w:color="auto" w:fill="FFFFFF" w:themeFill="background1"/>
            <w:vAlign w:val="center"/>
          </w:tcPr>
          <w:p w:rsidR="00AA0BC7" w:rsidRPr="00AA0BC7" w:rsidRDefault="00AA0BC7" w:rsidP="00A77970">
            <w:pPr>
              <w:jc w:val="center"/>
              <w:rPr>
                <w:rFonts w:eastAsia="Arial Unicode MS"/>
                <w:b/>
                <w:sz w:val="20"/>
                <w:szCs w:val="20"/>
              </w:rPr>
            </w:pPr>
            <w:r w:rsidRPr="00AA0BC7">
              <w:rPr>
                <w:rFonts w:eastAsia="Arial Unicode MS"/>
                <w:b/>
                <w:sz w:val="20"/>
                <w:szCs w:val="20"/>
              </w:rPr>
              <w:t>iul.</w:t>
            </w:r>
          </w:p>
        </w:tc>
        <w:tc>
          <w:tcPr>
            <w:tcW w:w="700" w:type="dxa"/>
            <w:shd w:val="clear" w:color="auto" w:fill="FFFFFF" w:themeFill="background1"/>
            <w:vAlign w:val="center"/>
          </w:tcPr>
          <w:p w:rsidR="00AA0BC7" w:rsidRPr="00AA0BC7" w:rsidRDefault="00AA0BC7" w:rsidP="00A77970">
            <w:pPr>
              <w:jc w:val="center"/>
              <w:rPr>
                <w:rFonts w:eastAsia="Arial Unicode MS"/>
                <w:b/>
                <w:sz w:val="20"/>
                <w:szCs w:val="20"/>
              </w:rPr>
            </w:pPr>
            <w:r w:rsidRPr="00AA0BC7">
              <w:rPr>
                <w:rFonts w:eastAsia="Arial Unicode MS"/>
                <w:b/>
                <w:sz w:val="20"/>
                <w:szCs w:val="20"/>
              </w:rPr>
              <w:t>aug.</w:t>
            </w:r>
          </w:p>
        </w:tc>
        <w:tc>
          <w:tcPr>
            <w:tcW w:w="700" w:type="dxa"/>
            <w:shd w:val="clear" w:color="auto" w:fill="FFFFFF" w:themeFill="background1"/>
            <w:vAlign w:val="center"/>
          </w:tcPr>
          <w:p w:rsidR="00AA0BC7" w:rsidRPr="00AA0BC7" w:rsidRDefault="00AA0BC7" w:rsidP="00A77970">
            <w:pPr>
              <w:jc w:val="center"/>
              <w:rPr>
                <w:rFonts w:eastAsia="Arial Unicode MS"/>
                <w:b/>
                <w:sz w:val="20"/>
                <w:szCs w:val="20"/>
              </w:rPr>
            </w:pPr>
            <w:r w:rsidRPr="00AA0BC7">
              <w:rPr>
                <w:rFonts w:eastAsia="Arial Unicode MS"/>
                <w:b/>
                <w:sz w:val="20"/>
                <w:szCs w:val="20"/>
              </w:rPr>
              <w:t>sep.</w:t>
            </w:r>
          </w:p>
        </w:tc>
        <w:tc>
          <w:tcPr>
            <w:tcW w:w="700" w:type="dxa"/>
            <w:shd w:val="clear" w:color="auto" w:fill="FFFFFF" w:themeFill="background1"/>
            <w:vAlign w:val="center"/>
          </w:tcPr>
          <w:p w:rsidR="00AA0BC7" w:rsidRPr="00AA0BC7" w:rsidRDefault="00AA0BC7" w:rsidP="00A77970">
            <w:pPr>
              <w:jc w:val="center"/>
              <w:rPr>
                <w:rFonts w:eastAsia="Arial Unicode MS"/>
                <w:b/>
                <w:sz w:val="20"/>
                <w:szCs w:val="20"/>
              </w:rPr>
            </w:pPr>
            <w:r w:rsidRPr="00AA0BC7">
              <w:rPr>
                <w:rFonts w:eastAsia="Arial Unicode MS"/>
                <w:b/>
                <w:sz w:val="20"/>
                <w:szCs w:val="20"/>
              </w:rPr>
              <w:t>oct.</w:t>
            </w:r>
          </w:p>
        </w:tc>
        <w:tc>
          <w:tcPr>
            <w:tcW w:w="700" w:type="dxa"/>
            <w:shd w:val="clear" w:color="auto" w:fill="FFFFFF" w:themeFill="background1"/>
            <w:vAlign w:val="center"/>
          </w:tcPr>
          <w:p w:rsidR="00AA0BC7" w:rsidRPr="00AA0BC7" w:rsidRDefault="00AA0BC7" w:rsidP="00A77970">
            <w:pPr>
              <w:jc w:val="center"/>
              <w:rPr>
                <w:rFonts w:eastAsia="Arial Unicode MS"/>
                <w:b/>
                <w:sz w:val="20"/>
                <w:szCs w:val="20"/>
              </w:rPr>
            </w:pPr>
            <w:r w:rsidRPr="00AA0BC7">
              <w:rPr>
                <w:rFonts w:eastAsia="Arial Unicode MS"/>
                <w:b/>
                <w:sz w:val="20"/>
                <w:szCs w:val="20"/>
              </w:rPr>
              <w:t>nov.</w:t>
            </w:r>
          </w:p>
        </w:tc>
        <w:tc>
          <w:tcPr>
            <w:tcW w:w="700" w:type="dxa"/>
            <w:shd w:val="clear" w:color="auto" w:fill="FFFFFF" w:themeFill="background1"/>
            <w:vAlign w:val="center"/>
          </w:tcPr>
          <w:p w:rsidR="00AA0BC7" w:rsidRPr="00AA0BC7" w:rsidRDefault="00AA0BC7" w:rsidP="00A77970">
            <w:pPr>
              <w:jc w:val="center"/>
              <w:rPr>
                <w:rFonts w:eastAsia="Arial Unicode MS"/>
                <w:b/>
                <w:sz w:val="20"/>
                <w:szCs w:val="20"/>
              </w:rPr>
            </w:pPr>
            <w:r w:rsidRPr="00AA0BC7">
              <w:rPr>
                <w:rFonts w:eastAsia="Arial Unicode MS"/>
                <w:b/>
                <w:sz w:val="20"/>
                <w:szCs w:val="20"/>
              </w:rPr>
              <w:t>dec.</w:t>
            </w:r>
          </w:p>
        </w:tc>
      </w:tr>
      <w:tr w:rsidR="00AA0BC7" w:rsidRPr="00AA0BC7" w:rsidTr="00AA0BC7">
        <w:trPr>
          <w:cantSplit/>
          <w:trHeight w:val="361"/>
        </w:trPr>
        <w:tc>
          <w:tcPr>
            <w:tcW w:w="1942" w:type="dxa"/>
            <w:vAlign w:val="center"/>
          </w:tcPr>
          <w:p w:rsidR="00AA0BC7" w:rsidRPr="00AA0BC7" w:rsidRDefault="00AA0BC7" w:rsidP="00A77970">
            <w:pPr>
              <w:ind w:left="227"/>
              <w:rPr>
                <w:b/>
              </w:rPr>
            </w:pPr>
            <w:r w:rsidRPr="00AA0BC7">
              <w:rPr>
                <w:b/>
              </w:rPr>
              <w:t xml:space="preserve">Total </w:t>
            </w:r>
          </w:p>
        </w:tc>
        <w:tc>
          <w:tcPr>
            <w:tcW w:w="699" w:type="dxa"/>
            <w:tcMar>
              <w:right w:w="85" w:type="dxa"/>
            </w:tcMar>
            <w:vAlign w:val="center"/>
          </w:tcPr>
          <w:p w:rsidR="00AA0BC7" w:rsidRPr="00AA0BC7" w:rsidRDefault="00AA0BC7" w:rsidP="00A77970">
            <w:pPr>
              <w:jc w:val="center"/>
              <w:rPr>
                <w:b/>
                <w:bCs/>
                <w:color w:val="000000"/>
                <w:sz w:val="20"/>
                <w:szCs w:val="20"/>
              </w:rPr>
            </w:pPr>
            <w:r w:rsidRPr="00AA0BC7">
              <w:rPr>
                <w:b/>
                <w:bCs/>
                <w:color w:val="000000"/>
                <w:sz w:val="20"/>
                <w:szCs w:val="20"/>
              </w:rPr>
              <w:t>128414</w:t>
            </w:r>
          </w:p>
        </w:tc>
        <w:tc>
          <w:tcPr>
            <w:tcW w:w="700" w:type="dxa"/>
            <w:tcMar>
              <w:right w:w="85" w:type="dxa"/>
            </w:tcMar>
            <w:vAlign w:val="center"/>
          </w:tcPr>
          <w:p w:rsidR="00AA0BC7" w:rsidRPr="00AA0BC7" w:rsidRDefault="00AA0BC7" w:rsidP="00A77970">
            <w:pPr>
              <w:jc w:val="center"/>
              <w:rPr>
                <w:b/>
                <w:bCs/>
                <w:color w:val="000000"/>
                <w:sz w:val="20"/>
                <w:szCs w:val="20"/>
              </w:rPr>
            </w:pPr>
            <w:r w:rsidRPr="00AA0BC7">
              <w:rPr>
                <w:b/>
                <w:bCs/>
                <w:color w:val="000000"/>
                <w:sz w:val="20"/>
                <w:szCs w:val="20"/>
              </w:rPr>
              <w:t>136825</w:t>
            </w:r>
          </w:p>
        </w:tc>
        <w:tc>
          <w:tcPr>
            <w:tcW w:w="700" w:type="dxa"/>
            <w:tcMar>
              <w:right w:w="85" w:type="dxa"/>
            </w:tcMar>
            <w:vAlign w:val="center"/>
          </w:tcPr>
          <w:p w:rsidR="00AA0BC7" w:rsidRPr="00AA0BC7" w:rsidRDefault="00AA0BC7" w:rsidP="00A77970">
            <w:pPr>
              <w:jc w:val="center"/>
              <w:rPr>
                <w:b/>
                <w:bCs/>
                <w:color w:val="000000"/>
                <w:sz w:val="20"/>
                <w:szCs w:val="20"/>
              </w:rPr>
            </w:pPr>
            <w:r w:rsidRPr="00AA0BC7">
              <w:rPr>
                <w:b/>
                <w:bCs/>
                <w:color w:val="000000"/>
                <w:sz w:val="20"/>
                <w:szCs w:val="20"/>
              </w:rPr>
              <w:t>168675</w:t>
            </w:r>
          </w:p>
        </w:tc>
        <w:tc>
          <w:tcPr>
            <w:tcW w:w="700" w:type="dxa"/>
            <w:tcMar>
              <w:right w:w="85" w:type="dxa"/>
            </w:tcMar>
            <w:vAlign w:val="center"/>
          </w:tcPr>
          <w:p w:rsidR="00AA0BC7" w:rsidRPr="00AA0BC7" w:rsidRDefault="00AA0BC7" w:rsidP="00A77970">
            <w:pPr>
              <w:jc w:val="center"/>
              <w:rPr>
                <w:b/>
                <w:bCs/>
                <w:color w:val="000000"/>
                <w:sz w:val="20"/>
                <w:szCs w:val="20"/>
              </w:rPr>
            </w:pPr>
            <w:r w:rsidRPr="00AA0BC7">
              <w:rPr>
                <w:b/>
                <w:bCs/>
                <w:color w:val="000000"/>
                <w:sz w:val="20"/>
                <w:szCs w:val="20"/>
              </w:rPr>
              <w:t>163981</w:t>
            </w:r>
          </w:p>
        </w:tc>
        <w:tc>
          <w:tcPr>
            <w:tcW w:w="700" w:type="dxa"/>
            <w:tcMar>
              <w:right w:w="85" w:type="dxa"/>
            </w:tcMar>
            <w:vAlign w:val="center"/>
          </w:tcPr>
          <w:p w:rsidR="00AA0BC7" w:rsidRPr="00AA0BC7" w:rsidRDefault="00AA0BC7" w:rsidP="00A77970">
            <w:pPr>
              <w:jc w:val="center"/>
              <w:rPr>
                <w:b/>
                <w:bCs/>
                <w:color w:val="000000"/>
                <w:sz w:val="20"/>
                <w:szCs w:val="20"/>
              </w:rPr>
            </w:pPr>
            <w:r w:rsidRPr="00AA0BC7">
              <w:rPr>
                <w:b/>
                <w:bCs/>
                <w:color w:val="000000"/>
                <w:sz w:val="20"/>
                <w:szCs w:val="20"/>
              </w:rPr>
              <w:t>199138</w:t>
            </w:r>
          </w:p>
        </w:tc>
        <w:tc>
          <w:tcPr>
            <w:tcW w:w="700" w:type="dxa"/>
            <w:tcMar>
              <w:right w:w="85" w:type="dxa"/>
            </w:tcMar>
            <w:vAlign w:val="center"/>
          </w:tcPr>
          <w:p w:rsidR="00AA0BC7" w:rsidRPr="00AA0BC7" w:rsidRDefault="00AA0BC7" w:rsidP="00A77970">
            <w:pPr>
              <w:jc w:val="center"/>
              <w:rPr>
                <w:b/>
                <w:bCs/>
                <w:color w:val="000000"/>
                <w:sz w:val="20"/>
                <w:szCs w:val="20"/>
              </w:rPr>
            </w:pPr>
            <w:r w:rsidRPr="00AA0BC7">
              <w:rPr>
                <w:b/>
                <w:bCs/>
                <w:color w:val="000000"/>
                <w:sz w:val="20"/>
                <w:szCs w:val="20"/>
              </w:rPr>
              <w:t>194323</w:t>
            </w:r>
          </w:p>
        </w:tc>
        <w:tc>
          <w:tcPr>
            <w:tcW w:w="700" w:type="dxa"/>
            <w:tcMar>
              <w:right w:w="85" w:type="dxa"/>
            </w:tcMar>
            <w:vAlign w:val="center"/>
          </w:tcPr>
          <w:p w:rsidR="00AA0BC7" w:rsidRPr="00AA0BC7" w:rsidRDefault="00AA0BC7" w:rsidP="00A77970">
            <w:pPr>
              <w:jc w:val="center"/>
              <w:rPr>
                <w:b/>
                <w:bCs/>
                <w:color w:val="000000"/>
                <w:sz w:val="20"/>
                <w:szCs w:val="20"/>
              </w:rPr>
            </w:pPr>
            <w:r w:rsidRPr="00AA0BC7">
              <w:rPr>
                <w:b/>
                <w:bCs/>
                <w:color w:val="000000"/>
                <w:sz w:val="20"/>
                <w:szCs w:val="20"/>
              </w:rPr>
              <w:t>185228</w:t>
            </w:r>
          </w:p>
        </w:tc>
        <w:tc>
          <w:tcPr>
            <w:tcW w:w="700" w:type="dxa"/>
            <w:tcMar>
              <w:right w:w="85" w:type="dxa"/>
            </w:tcMar>
            <w:vAlign w:val="center"/>
          </w:tcPr>
          <w:p w:rsidR="00AA0BC7" w:rsidRPr="00AA0BC7" w:rsidRDefault="00AA0BC7" w:rsidP="00A77970">
            <w:pPr>
              <w:jc w:val="center"/>
              <w:rPr>
                <w:b/>
                <w:bCs/>
                <w:color w:val="000000"/>
                <w:sz w:val="20"/>
                <w:szCs w:val="20"/>
              </w:rPr>
            </w:pPr>
            <w:r w:rsidRPr="00AA0BC7">
              <w:rPr>
                <w:b/>
                <w:bCs/>
                <w:color w:val="000000"/>
                <w:sz w:val="20"/>
                <w:szCs w:val="20"/>
              </w:rPr>
              <w:t>178079</w:t>
            </w:r>
          </w:p>
        </w:tc>
        <w:tc>
          <w:tcPr>
            <w:tcW w:w="700" w:type="dxa"/>
            <w:tcMar>
              <w:right w:w="85" w:type="dxa"/>
            </w:tcMar>
            <w:vAlign w:val="center"/>
          </w:tcPr>
          <w:p w:rsidR="00AA0BC7" w:rsidRPr="00AA0BC7" w:rsidRDefault="00AA0BC7" w:rsidP="00A77970">
            <w:pPr>
              <w:jc w:val="center"/>
              <w:rPr>
                <w:b/>
                <w:bCs/>
                <w:color w:val="000000"/>
                <w:sz w:val="20"/>
                <w:szCs w:val="20"/>
              </w:rPr>
            </w:pPr>
            <w:r w:rsidRPr="00AA0BC7">
              <w:rPr>
                <w:b/>
                <w:bCs/>
                <w:color w:val="000000"/>
                <w:sz w:val="20"/>
                <w:szCs w:val="20"/>
              </w:rPr>
              <w:t>199381</w:t>
            </w:r>
          </w:p>
        </w:tc>
        <w:tc>
          <w:tcPr>
            <w:tcW w:w="700" w:type="dxa"/>
            <w:tcMar>
              <w:right w:w="85" w:type="dxa"/>
            </w:tcMar>
            <w:vAlign w:val="center"/>
          </w:tcPr>
          <w:p w:rsidR="00AA0BC7" w:rsidRPr="00AA0BC7" w:rsidRDefault="00AA0BC7" w:rsidP="00A77970">
            <w:pPr>
              <w:jc w:val="center"/>
              <w:rPr>
                <w:b/>
                <w:bCs/>
                <w:color w:val="000000"/>
                <w:sz w:val="20"/>
                <w:szCs w:val="20"/>
              </w:rPr>
            </w:pPr>
            <w:r w:rsidRPr="00AA0BC7">
              <w:rPr>
                <w:b/>
                <w:bCs/>
                <w:color w:val="000000"/>
                <w:sz w:val="20"/>
                <w:szCs w:val="20"/>
              </w:rPr>
              <w:t>200129</w:t>
            </w:r>
          </w:p>
        </w:tc>
        <w:tc>
          <w:tcPr>
            <w:tcW w:w="700" w:type="dxa"/>
            <w:tcMar>
              <w:right w:w="85" w:type="dxa"/>
            </w:tcMar>
            <w:vAlign w:val="center"/>
          </w:tcPr>
          <w:p w:rsidR="00AA0BC7" w:rsidRPr="00AA0BC7" w:rsidRDefault="00AA0BC7" w:rsidP="00A77970">
            <w:pPr>
              <w:jc w:val="center"/>
              <w:rPr>
                <w:b/>
                <w:bCs/>
                <w:color w:val="000000"/>
                <w:sz w:val="20"/>
                <w:szCs w:val="20"/>
              </w:rPr>
            </w:pPr>
            <w:r w:rsidRPr="00AA0BC7">
              <w:rPr>
                <w:b/>
                <w:bCs/>
                <w:color w:val="000000"/>
                <w:sz w:val="20"/>
                <w:szCs w:val="20"/>
              </w:rPr>
              <w:t>179662</w:t>
            </w:r>
          </w:p>
        </w:tc>
        <w:tc>
          <w:tcPr>
            <w:tcW w:w="700" w:type="dxa"/>
            <w:tcMar>
              <w:right w:w="85" w:type="dxa"/>
            </w:tcMar>
            <w:vAlign w:val="center"/>
          </w:tcPr>
          <w:p w:rsidR="00AA0BC7" w:rsidRPr="00AA0BC7" w:rsidRDefault="00AA0BC7" w:rsidP="00A77970">
            <w:pPr>
              <w:jc w:val="center"/>
              <w:rPr>
                <w:b/>
                <w:bCs/>
                <w:sz w:val="20"/>
                <w:szCs w:val="20"/>
              </w:rPr>
            </w:pPr>
            <w:r w:rsidRPr="00AA0BC7">
              <w:rPr>
                <w:b/>
                <w:bCs/>
                <w:sz w:val="20"/>
                <w:szCs w:val="20"/>
              </w:rPr>
              <w:t>146394</w:t>
            </w:r>
          </w:p>
        </w:tc>
      </w:tr>
      <w:tr w:rsidR="00AA0BC7" w:rsidRPr="00AA0BC7" w:rsidTr="00AA0BC7">
        <w:trPr>
          <w:cantSplit/>
          <w:trHeight w:val="272"/>
        </w:trPr>
        <w:tc>
          <w:tcPr>
            <w:tcW w:w="1942" w:type="dxa"/>
            <w:tcBorders>
              <w:bottom w:val="single" w:sz="4" w:space="0" w:color="FFFFFF"/>
            </w:tcBorders>
            <w:vAlign w:val="center"/>
          </w:tcPr>
          <w:p w:rsidR="00AA0BC7" w:rsidRPr="00AA0BC7" w:rsidRDefault="00AA0BC7" w:rsidP="00A77970">
            <w:pPr>
              <w:ind w:left="680"/>
              <w:rPr>
                <w:rFonts w:eastAsia="Arial Unicode MS"/>
              </w:rPr>
            </w:pPr>
            <w:r w:rsidRPr="00AA0BC7">
              <w:t>din care:</w:t>
            </w:r>
          </w:p>
        </w:tc>
        <w:tc>
          <w:tcPr>
            <w:tcW w:w="699" w:type="dxa"/>
            <w:tcBorders>
              <w:bottom w:val="single" w:sz="4" w:space="0" w:color="FFFFFF"/>
            </w:tcBorders>
            <w:tcMar>
              <w:right w:w="85" w:type="dxa"/>
            </w:tcMar>
            <w:vAlign w:val="bottom"/>
          </w:tcPr>
          <w:p w:rsidR="00AA0BC7" w:rsidRPr="00AA0BC7" w:rsidRDefault="00AA0BC7" w:rsidP="00A77970">
            <w:pPr>
              <w:jc w:val="right"/>
              <w:rPr>
                <w:sz w:val="20"/>
                <w:szCs w:val="20"/>
              </w:rPr>
            </w:pPr>
          </w:p>
        </w:tc>
        <w:tc>
          <w:tcPr>
            <w:tcW w:w="700" w:type="dxa"/>
            <w:tcBorders>
              <w:bottom w:val="single" w:sz="4" w:space="0" w:color="FFFFFF"/>
            </w:tcBorders>
            <w:tcMar>
              <w:right w:w="85" w:type="dxa"/>
            </w:tcMar>
            <w:vAlign w:val="bottom"/>
          </w:tcPr>
          <w:p w:rsidR="00AA0BC7" w:rsidRPr="00AA0BC7" w:rsidRDefault="00AA0BC7" w:rsidP="00A77970">
            <w:pPr>
              <w:jc w:val="right"/>
              <w:rPr>
                <w:sz w:val="20"/>
                <w:szCs w:val="20"/>
              </w:rPr>
            </w:pPr>
          </w:p>
        </w:tc>
        <w:tc>
          <w:tcPr>
            <w:tcW w:w="700" w:type="dxa"/>
            <w:tcBorders>
              <w:bottom w:val="single" w:sz="4" w:space="0" w:color="FFFFFF"/>
            </w:tcBorders>
            <w:tcMar>
              <w:right w:w="85" w:type="dxa"/>
            </w:tcMar>
            <w:vAlign w:val="bottom"/>
          </w:tcPr>
          <w:p w:rsidR="00AA0BC7" w:rsidRPr="00AA0BC7" w:rsidRDefault="00AA0BC7" w:rsidP="00A77970">
            <w:pPr>
              <w:jc w:val="right"/>
              <w:rPr>
                <w:sz w:val="20"/>
                <w:szCs w:val="20"/>
              </w:rPr>
            </w:pPr>
          </w:p>
        </w:tc>
        <w:tc>
          <w:tcPr>
            <w:tcW w:w="700" w:type="dxa"/>
            <w:tcBorders>
              <w:bottom w:val="single" w:sz="4" w:space="0" w:color="FFFFFF"/>
            </w:tcBorders>
            <w:tcMar>
              <w:right w:w="85" w:type="dxa"/>
            </w:tcMar>
            <w:vAlign w:val="bottom"/>
          </w:tcPr>
          <w:p w:rsidR="00AA0BC7" w:rsidRPr="00AA0BC7" w:rsidRDefault="00AA0BC7" w:rsidP="00A77970">
            <w:pPr>
              <w:jc w:val="right"/>
              <w:rPr>
                <w:sz w:val="20"/>
                <w:szCs w:val="20"/>
              </w:rPr>
            </w:pPr>
          </w:p>
        </w:tc>
        <w:tc>
          <w:tcPr>
            <w:tcW w:w="700" w:type="dxa"/>
            <w:tcBorders>
              <w:bottom w:val="single" w:sz="4" w:space="0" w:color="FFFFFF"/>
            </w:tcBorders>
            <w:tcMar>
              <w:right w:w="85" w:type="dxa"/>
            </w:tcMar>
            <w:vAlign w:val="bottom"/>
          </w:tcPr>
          <w:p w:rsidR="00AA0BC7" w:rsidRPr="00AA0BC7" w:rsidRDefault="00AA0BC7" w:rsidP="00A77970">
            <w:pPr>
              <w:jc w:val="right"/>
              <w:rPr>
                <w:sz w:val="20"/>
                <w:szCs w:val="20"/>
              </w:rPr>
            </w:pPr>
          </w:p>
        </w:tc>
        <w:tc>
          <w:tcPr>
            <w:tcW w:w="700" w:type="dxa"/>
            <w:tcBorders>
              <w:bottom w:val="single" w:sz="4" w:space="0" w:color="FFFFFF"/>
            </w:tcBorders>
            <w:tcMar>
              <w:right w:w="85" w:type="dxa"/>
            </w:tcMar>
            <w:vAlign w:val="bottom"/>
          </w:tcPr>
          <w:p w:rsidR="00AA0BC7" w:rsidRPr="00AA0BC7" w:rsidRDefault="00AA0BC7" w:rsidP="00A77970">
            <w:pPr>
              <w:jc w:val="right"/>
              <w:rPr>
                <w:rFonts w:eastAsia="Arial Unicode MS"/>
                <w:sz w:val="20"/>
                <w:szCs w:val="20"/>
              </w:rPr>
            </w:pPr>
          </w:p>
        </w:tc>
        <w:tc>
          <w:tcPr>
            <w:tcW w:w="700" w:type="dxa"/>
            <w:tcBorders>
              <w:bottom w:val="single" w:sz="4" w:space="0" w:color="FFFFFF"/>
            </w:tcBorders>
            <w:tcMar>
              <w:right w:w="85" w:type="dxa"/>
            </w:tcMar>
            <w:vAlign w:val="bottom"/>
          </w:tcPr>
          <w:p w:rsidR="00AA0BC7" w:rsidRPr="00AA0BC7" w:rsidRDefault="00AA0BC7" w:rsidP="00A77970">
            <w:pPr>
              <w:jc w:val="right"/>
              <w:rPr>
                <w:rFonts w:eastAsia="Arial Unicode MS"/>
                <w:sz w:val="20"/>
                <w:szCs w:val="20"/>
              </w:rPr>
            </w:pPr>
          </w:p>
        </w:tc>
        <w:tc>
          <w:tcPr>
            <w:tcW w:w="700" w:type="dxa"/>
            <w:tcBorders>
              <w:bottom w:val="single" w:sz="4" w:space="0" w:color="FFFFFF"/>
            </w:tcBorders>
            <w:tcMar>
              <w:right w:w="85" w:type="dxa"/>
            </w:tcMar>
            <w:vAlign w:val="bottom"/>
          </w:tcPr>
          <w:p w:rsidR="00AA0BC7" w:rsidRPr="00AA0BC7" w:rsidRDefault="00AA0BC7" w:rsidP="00A77970">
            <w:pPr>
              <w:jc w:val="right"/>
              <w:rPr>
                <w:rFonts w:eastAsia="Arial Unicode MS"/>
                <w:sz w:val="20"/>
                <w:szCs w:val="20"/>
              </w:rPr>
            </w:pPr>
          </w:p>
        </w:tc>
        <w:tc>
          <w:tcPr>
            <w:tcW w:w="700" w:type="dxa"/>
            <w:tcBorders>
              <w:bottom w:val="single" w:sz="4" w:space="0" w:color="FFFFFF"/>
            </w:tcBorders>
            <w:tcMar>
              <w:right w:w="85" w:type="dxa"/>
            </w:tcMar>
            <w:vAlign w:val="bottom"/>
          </w:tcPr>
          <w:p w:rsidR="00AA0BC7" w:rsidRPr="00AA0BC7" w:rsidRDefault="00AA0BC7" w:rsidP="00A77970">
            <w:pPr>
              <w:jc w:val="right"/>
              <w:rPr>
                <w:rFonts w:eastAsia="Arial Unicode MS"/>
                <w:sz w:val="20"/>
                <w:szCs w:val="20"/>
              </w:rPr>
            </w:pPr>
          </w:p>
        </w:tc>
        <w:tc>
          <w:tcPr>
            <w:tcW w:w="700" w:type="dxa"/>
            <w:tcBorders>
              <w:bottom w:val="single" w:sz="4" w:space="0" w:color="FFFFFF"/>
            </w:tcBorders>
            <w:tcMar>
              <w:right w:w="85" w:type="dxa"/>
            </w:tcMar>
            <w:vAlign w:val="bottom"/>
          </w:tcPr>
          <w:p w:rsidR="00AA0BC7" w:rsidRPr="00AA0BC7" w:rsidRDefault="00AA0BC7" w:rsidP="00A77970">
            <w:pPr>
              <w:jc w:val="right"/>
              <w:rPr>
                <w:rFonts w:eastAsia="Arial Unicode MS"/>
                <w:sz w:val="20"/>
                <w:szCs w:val="20"/>
              </w:rPr>
            </w:pPr>
          </w:p>
        </w:tc>
        <w:tc>
          <w:tcPr>
            <w:tcW w:w="700" w:type="dxa"/>
            <w:tcBorders>
              <w:bottom w:val="single" w:sz="4" w:space="0" w:color="FFFFFF"/>
            </w:tcBorders>
            <w:tcMar>
              <w:right w:w="85" w:type="dxa"/>
            </w:tcMar>
            <w:vAlign w:val="bottom"/>
          </w:tcPr>
          <w:p w:rsidR="00AA0BC7" w:rsidRPr="00AA0BC7" w:rsidRDefault="00AA0BC7" w:rsidP="00A77970">
            <w:pPr>
              <w:jc w:val="right"/>
              <w:rPr>
                <w:rFonts w:eastAsia="Arial Unicode MS"/>
                <w:sz w:val="20"/>
                <w:szCs w:val="20"/>
              </w:rPr>
            </w:pPr>
          </w:p>
        </w:tc>
        <w:tc>
          <w:tcPr>
            <w:tcW w:w="700" w:type="dxa"/>
            <w:tcBorders>
              <w:bottom w:val="single" w:sz="4" w:space="0" w:color="FFFFFF"/>
            </w:tcBorders>
            <w:tcMar>
              <w:right w:w="85" w:type="dxa"/>
            </w:tcMar>
            <w:vAlign w:val="bottom"/>
          </w:tcPr>
          <w:p w:rsidR="00AA0BC7" w:rsidRPr="00AA0BC7" w:rsidRDefault="00AA0BC7" w:rsidP="00A77970">
            <w:pPr>
              <w:jc w:val="right"/>
              <w:rPr>
                <w:rFonts w:eastAsia="Arial Unicode MS"/>
                <w:sz w:val="20"/>
                <w:szCs w:val="20"/>
              </w:rPr>
            </w:pPr>
          </w:p>
        </w:tc>
      </w:tr>
      <w:tr w:rsidR="00AA0BC7" w:rsidRPr="00AA0BC7" w:rsidTr="00AA0BC7">
        <w:trPr>
          <w:cantSplit/>
          <w:trHeight w:val="272"/>
        </w:trPr>
        <w:tc>
          <w:tcPr>
            <w:tcW w:w="1942" w:type="dxa"/>
            <w:tcBorders>
              <w:top w:val="single" w:sz="4" w:space="0" w:color="FFFFFF"/>
            </w:tcBorders>
            <w:vAlign w:val="center"/>
          </w:tcPr>
          <w:p w:rsidR="00AA0BC7" w:rsidRPr="00AA0BC7" w:rsidRDefault="00AA0BC7" w:rsidP="00A77970">
            <w:pPr>
              <w:ind w:left="284"/>
              <w:rPr>
                <w:rFonts w:eastAsia="Arial Unicode MS"/>
              </w:rPr>
            </w:pPr>
            <w:r w:rsidRPr="00AA0BC7">
              <w:t>Hoteluri</w:t>
            </w:r>
          </w:p>
        </w:tc>
        <w:tc>
          <w:tcPr>
            <w:tcW w:w="699" w:type="dxa"/>
            <w:tcBorders>
              <w:top w:val="single" w:sz="4" w:space="0" w:color="FFFFFF"/>
            </w:tcBorders>
            <w:tcMar>
              <w:right w:w="85" w:type="dxa"/>
            </w:tcMar>
            <w:vAlign w:val="center"/>
          </w:tcPr>
          <w:p w:rsidR="00AA0BC7" w:rsidRPr="00AA0BC7" w:rsidRDefault="00AA0BC7" w:rsidP="00A77970">
            <w:pPr>
              <w:jc w:val="center"/>
              <w:rPr>
                <w:color w:val="000000"/>
                <w:sz w:val="20"/>
                <w:szCs w:val="20"/>
              </w:rPr>
            </w:pPr>
            <w:r w:rsidRPr="00AA0BC7">
              <w:rPr>
                <w:color w:val="000000"/>
                <w:sz w:val="20"/>
                <w:szCs w:val="20"/>
              </w:rPr>
              <w:t>122631</w:t>
            </w:r>
          </w:p>
        </w:tc>
        <w:tc>
          <w:tcPr>
            <w:tcW w:w="700" w:type="dxa"/>
            <w:tcBorders>
              <w:top w:val="single" w:sz="4" w:space="0" w:color="FFFFFF"/>
            </w:tcBorders>
            <w:tcMar>
              <w:right w:w="85" w:type="dxa"/>
            </w:tcMar>
            <w:vAlign w:val="center"/>
          </w:tcPr>
          <w:p w:rsidR="00AA0BC7" w:rsidRPr="00AA0BC7" w:rsidRDefault="00AA0BC7" w:rsidP="00A77970">
            <w:pPr>
              <w:jc w:val="center"/>
              <w:rPr>
                <w:color w:val="000000"/>
                <w:sz w:val="20"/>
                <w:szCs w:val="20"/>
              </w:rPr>
            </w:pPr>
            <w:r w:rsidRPr="00AA0BC7">
              <w:rPr>
                <w:color w:val="000000"/>
                <w:sz w:val="20"/>
                <w:szCs w:val="20"/>
              </w:rPr>
              <w:t>130278</w:t>
            </w:r>
          </w:p>
        </w:tc>
        <w:tc>
          <w:tcPr>
            <w:tcW w:w="700" w:type="dxa"/>
            <w:tcBorders>
              <w:top w:val="single" w:sz="4" w:space="0" w:color="FFFFFF"/>
            </w:tcBorders>
            <w:tcMar>
              <w:right w:w="85" w:type="dxa"/>
            </w:tcMar>
            <w:vAlign w:val="center"/>
          </w:tcPr>
          <w:p w:rsidR="00AA0BC7" w:rsidRPr="00AA0BC7" w:rsidRDefault="00AA0BC7" w:rsidP="00A77970">
            <w:pPr>
              <w:jc w:val="center"/>
              <w:rPr>
                <w:color w:val="000000"/>
                <w:sz w:val="20"/>
                <w:szCs w:val="20"/>
              </w:rPr>
            </w:pPr>
            <w:r w:rsidRPr="00AA0BC7">
              <w:rPr>
                <w:color w:val="000000"/>
                <w:sz w:val="20"/>
                <w:szCs w:val="20"/>
              </w:rPr>
              <w:t>160525</w:t>
            </w:r>
          </w:p>
        </w:tc>
        <w:tc>
          <w:tcPr>
            <w:tcW w:w="700" w:type="dxa"/>
            <w:tcBorders>
              <w:top w:val="single" w:sz="4" w:space="0" w:color="FFFFFF"/>
            </w:tcBorders>
            <w:tcMar>
              <w:right w:w="85" w:type="dxa"/>
            </w:tcMar>
            <w:vAlign w:val="center"/>
          </w:tcPr>
          <w:p w:rsidR="00AA0BC7" w:rsidRPr="00AA0BC7" w:rsidRDefault="00AA0BC7" w:rsidP="00A77970">
            <w:pPr>
              <w:jc w:val="center"/>
              <w:rPr>
                <w:color w:val="000000"/>
                <w:sz w:val="20"/>
                <w:szCs w:val="20"/>
              </w:rPr>
            </w:pPr>
            <w:r w:rsidRPr="00AA0BC7">
              <w:rPr>
                <w:color w:val="000000"/>
                <w:sz w:val="20"/>
                <w:szCs w:val="20"/>
              </w:rPr>
              <w:t>155599</w:t>
            </w:r>
          </w:p>
        </w:tc>
        <w:tc>
          <w:tcPr>
            <w:tcW w:w="700" w:type="dxa"/>
            <w:tcBorders>
              <w:top w:val="single" w:sz="4" w:space="0" w:color="FFFFFF"/>
            </w:tcBorders>
            <w:tcMar>
              <w:right w:w="85" w:type="dxa"/>
            </w:tcMar>
            <w:vAlign w:val="center"/>
          </w:tcPr>
          <w:p w:rsidR="00AA0BC7" w:rsidRPr="00AA0BC7" w:rsidRDefault="00AA0BC7" w:rsidP="00A77970">
            <w:pPr>
              <w:jc w:val="center"/>
              <w:rPr>
                <w:color w:val="000000"/>
                <w:sz w:val="20"/>
                <w:szCs w:val="20"/>
              </w:rPr>
            </w:pPr>
            <w:r w:rsidRPr="00AA0BC7">
              <w:rPr>
                <w:color w:val="000000"/>
                <w:sz w:val="20"/>
                <w:szCs w:val="20"/>
              </w:rPr>
              <w:t>189198</w:t>
            </w:r>
          </w:p>
        </w:tc>
        <w:tc>
          <w:tcPr>
            <w:tcW w:w="700" w:type="dxa"/>
            <w:tcBorders>
              <w:top w:val="single" w:sz="4" w:space="0" w:color="FFFFFF"/>
            </w:tcBorders>
            <w:tcMar>
              <w:right w:w="85" w:type="dxa"/>
            </w:tcMar>
            <w:vAlign w:val="center"/>
          </w:tcPr>
          <w:p w:rsidR="00AA0BC7" w:rsidRPr="00AA0BC7" w:rsidRDefault="00AA0BC7" w:rsidP="00A77970">
            <w:pPr>
              <w:jc w:val="center"/>
              <w:rPr>
                <w:color w:val="000000"/>
                <w:sz w:val="20"/>
                <w:szCs w:val="20"/>
              </w:rPr>
            </w:pPr>
            <w:r w:rsidRPr="00AA0BC7">
              <w:rPr>
                <w:color w:val="000000"/>
                <w:sz w:val="20"/>
                <w:szCs w:val="20"/>
              </w:rPr>
              <w:t>184871</w:t>
            </w:r>
          </w:p>
        </w:tc>
        <w:tc>
          <w:tcPr>
            <w:tcW w:w="700" w:type="dxa"/>
            <w:tcBorders>
              <w:top w:val="single" w:sz="4" w:space="0" w:color="FFFFFF"/>
            </w:tcBorders>
            <w:tcMar>
              <w:right w:w="85" w:type="dxa"/>
            </w:tcMar>
            <w:vAlign w:val="center"/>
          </w:tcPr>
          <w:p w:rsidR="00AA0BC7" w:rsidRPr="00AA0BC7" w:rsidRDefault="00AA0BC7" w:rsidP="00A77970">
            <w:pPr>
              <w:jc w:val="center"/>
              <w:rPr>
                <w:color w:val="000000"/>
                <w:sz w:val="20"/>
                <w:szCs w:val="20"/>
              </w:rPr>
            </w:pPr>
            <w:r w:rsidRPr="00AA0BC7">
              <w:rPr>
                <w:color w:val="000000"/>
                <w:sz w:val="20"/>
                <w:szCs w:val="20"/>
              </w:rPr>
              <w:t>174500</w:t>
            </w:r>
          </w:p>
        </w:tc>
        <w:tc>
          <w:tcPr>
            <w:tcW w:w="700" w:type="dxa"/>
            <w:tcBorders>
              <w:top w:val="single" w:sz="4" w:space="0" w:color="FFFFFF"/>
            </w:tcBorders>
            <w:tcMar>
              <w:right w:w="85" w:type="dxa"/>
            </w:tcMar>
            <w:vAlign w:val="center"/>
          </w:tcPr>
          <w:p w:rsidR="00AA0BC7" w:rsidRPr="00AA0BC7" w:rsidRDefault="00AA0BC7" w:rsidP="00A77970">
            <w:pPr>
              <w:jc w:val="center"/>
              <w:rPr>
                <w:color w:val="000000"/>
                <w:sz w:val="20"/>
                <w:szCs w:val="20"/>
              </w:rPr>
            </w:pPr>
            <w:r w:rsidRPr="00AA0BC7">
              <w:rPr>
                <w:color w:val="000000"/>
                <w:sz w:val="20"/>
                <w:szCs w:val="20"/>
              </w:rPr>
              <w:t>167026</w:t>
            </w:r>
          </w:p>
        </w:tc>
        <w:tc>
          <w:tcPr>
            <w:tcW w:w="700" w:type="dxa"/>
            <w:tcBorders>
              <w:top w:val="single" w:sz="4" w:space="0" w:color="FFFFFF"/>
            </w:tcBorders>
            <w:tcMar>
              <w:right w:w="85" w:type="dxa"/>
            </w:tcMar>
            <w:vAlign w:val="center"/>
          </w:tcPr>
          <w:p w:rsidR="00AA0BC7" w:rsidRPr="00AA0BC7" w:rsidRDefault="00AA0BC7" w:rsidP="00A77970">
            <w:pPr>
              <w:jc w:val="center"/>
              <w:rPr>
                <w:color w:val="000000"/>
                <w:sz w:val="20"/>
                <w:szCs w:val="20"/>
              </w:rPr>
            </w:pPr>
            <w:r w:rsidRPr="00AA0BC7">
              <w:rPr>
                <w:color w:val="000000"/>
                <w:sz w:val="20"/>
                <w:szCs w:val="20"/>
              </w:rPr>
              <w:t>189043</w:t>
            </w:r>
          </w:p>
        </w:tc>
        <w:tc>
          <w:tcPr>
            <w:tcW w:w="700" w:type="dxa"/>
            <w:tcBorders>
              <w:top w:val="single" w:sz="4" w:space="0" w:color="FFFFFF"/>
            </w:tcBorders>
            <w:tcMar>
              <w:right w:w="85" w:type="dxa"/>
            </w:tcMar>
            <w:vAlign w:val="center"/>
          </w:tcPr>
          <w:p w:rsidR="00AA0BC7" w:rsidRPr="00AA0BC7" w:rsidRDefault="00AA0BC7" w:rsidP="00A77970">
            <w:pPr>
              <w:jc w:val="center"/>
              <w:rPr>
                <w:color w:val="000000"/>
                <w:sz w:val="20"/>
                <w:szCs w:val="20"/>
              </w:rPr>
            </w:pPr>
            <w:r w:rsidRPr="00AA0BC7">
              <w:rPr>
                <w:color w:val="000000"/>
                <w:sz w:val="20"/>
                <w:szCs w:val="20"/>
              </w:rPr>
              <w:t>190362</w:t>
            </w:r>
          </w:p>
        </w:tc>
        <w:tc>
          <w:tcPr>
            <w:tcW w:w="700" w:type="dxa"/>
            <w:tcBorders>
              <w:top w:val="single" w:sz="4" w:space="0" w:color="FFFFFF"/>
            </w:tcBorders>
            <w:tcMar>
              <w:right w:w="85" w:type="dxa"/>
            </w:tcMar>
            <w:vAlign w:val="center"/>
          </w:tcPr>
          <w:p w:rsidR="00AA0BC7" w:rsidRPr="00AA0BC7" w:rsidRDefault="00AA0BC7" w:rsidP="00A77970">
            <w:pPr>
              <w:jc w:val="center"/>
              <w:rPr>
                <w:color w:val="000000"/>
                <w:sz w:val="20"/>
                <w:szCs w:val="20"/>
              </w:rPr>
            </w:pPr>
            <w:r w:rsidRPr="00AA0BC7">
              <w:rPr>
                <w:color w:val="000000"/>
                <w:sz w:val="20"/>
                <w:szCs w:val="20"/>
              </w:rPr>
              <w:t>170494</w:t>
            </w:r>
          </w:p>
        </w:tc>
        <w:tc>
          <w:tcPr>
            <w:tcW w:w="700" w:type="dxa"/>
            <w:tcBorders>
              <w:top w:val="single" w:sz="4" w:space="0" w:color="FFFFFF"/>
            </w:tcBorders>
            <w:tcMar>
              <w:right w:w="85" w:type="dxa"/>
            </w:tcMar>
            <w:vAlign w:val="center"/>
          </w:tcPr>
          <w:p w:rsidR="00AA0BC7" w:rsidRPr="00AA0BC7" w:rsidRDefault="00AA0BC7" w:rsidP="00A77970">
            <w:pPr>
              <w:jc w:val="center"/>
              <w:rPr>
                <w:sz w:val="20"/>
                <w:szCs w:val="20"/>
              </w:rPr>
            </w:pPr>
            <w:r w:rsidRPr="00AA0BC7">
              <w:rPr>
                <w:sz w:val="20"/>
                <w:szCs w:val="20"/>
              </w:rPr>
              <w:t>139640</w:t>
            </w:r>
          </w:p>
        </w:tc>
      </w:tr>
    </w:tbl>
    <w:p w:rsidR="0061627C" w:rsidRDefault="001A0ECE" w:rsidP="00A77970">
      <w:pPr>
        <w:jc w:val="both"/>
        <w:rPr>
          <w:kern w:val="28"/>
          <w:lang w:eastAsia="en-US"/>
        </w:rPr>
      </w:pPr>
      <w:bookmarkStart w:id="7" w:name="_Toc251680678"/>
      <w:bookmarkStart w:id="8" w:name="_Toc283308912"/>
      <w:r>
        <w:rPr>
          <w:kern w:val="28"/>
          <w:lang w:eastAsia="en-US"/>
        </w:rPr>
        <w:tab/>
      </w:r>
    </w:p>
    <w:p w:rsidR="00AA0BC7" w:rsidRDefault="0061627C" w:rsidP="00A77970">
      <w:pPr>
        <w:jc w:val="both"/>
        <w:rPr>
          <w:kern w:val="28"/>
          <w:lang w:eastAsia="en-US"/>
        </w:rPr>
      </w:pPr>
      <w:r>
        <w:rPr>
          <w:kern w:val="28"/>
          <w:lang w:eastAsia="en-US"/>
        </w:rPr>
        <w:tab/>
      </w:r>
      <w:r w:rsidR="00AA0BC7" w:rsidRPr="00AA0BC7">
        <w:rPr>
          <w:kern w:val="28"/>
          <w:lang w:eastAsia="en-US"/>
        </w:rPr>
        <w:t>În anul 2018 au fost cazaţi în unităţile de primire turistică 2</w:t>
      </w:r>
      <w:r w:rsidR="00AA0BC7">
        <w:rPr>
          <w:kern w:val="28"/>
          <w:lang w:eastAsia="en-US"/>
        </w:rPr>
        <w:t>.</w:t>
      </w:r>
      <w:r w:rsidR="00AA0BC7" w:rsidRPr="00AA0BC7">
        <w:rPr>
          <w:kern w:val="28"/>
          <w:lang w:eastAsia="en-US"/>
        </w:rPr>
        <w:t>080</w:t>
      </w:r>
      <w:r w:rsidR="00AA0BC7">
        <w:rPr>
          <w:kern w:val="28"/>
          <w:lang w:eastAsia="en-US"/>
        </w:rPr>
        <w:t>.</w:t>
      </w:r>
      <w:r w:rsidR="00AA0BC7" w:rsidRPr="00AA0BC7">
        <w:rPr>
          <w:kern w:val="28"/>
          <w:lang w:eastAsia="en-US"/>
        </w:rPr>
        <w:t xml:space="preserve">229 turişti, în creştere cu 1,8% faţă de anul precedent. Din aceştia, aproape 95 % s-au cazat în hoteluri. </w:t>
      </w:r>
      <w:r w:rsidR="007E3897" w:rsidRPr="007E3897">
        <w:rPr>
          <w:kern w:val="28"/>
          <w:lang w:eastAsia="en-US"/>
        </w:rPr>
        <w:t xml:space="preserve"> </w:t>
      </w:r>
      <w:bookmarkStart w:id="9" w:name="_Toc445282773"/>
    </w:p>
    <w:p w:rsidR="00AA0BC7" w:rsidRDefault="00AA0BC7" w:rsidP="00A77970">
      <w:pPr>
        <w:jc w:val="both"/>
        <w:rPr>
          <w:kern w:val="28"/>
          <w:lang w:eastAsia="en-US"/>
        </w:rPr>
      </w:pPr>
    </w:p>
    <w:p w:rsidR="00C95B18" w:rsidRPr="00AA0BC7" w:rsidRDefault="007E3897" w:rsidP="00A77970">
      <w:pPr>
        <w:jc w:val="both"/>
        <w:rPr>
          <w:kern w:val="28"/>
          <w:lang w:eastAsia="en-US"/>
        </w:rPr>
      </w:pPr>
      <w:r w:rsidRPr="0042550A">
        <w:rPr>
          <w:b/>
          <w:kern w:val="28"/>
          <w:lang w:eastAsia="en-US"/>
        </w:rPr>
        <w:t>Înnoptări în principalele structuri de primire turistică cu funcţiuni de cazare turistică</w:t>
      </w:r>
      <w:bookmarkEnd w:id="7"/>
      <w:bookmarkEnd w:id="8"/>
      <w:bookmarkEnd w:id="9"/>
      <w:r w:rsidR="00442161">
        <w:rPr>
          <w:b/>
          <w:kern w:val="28"/>
          <w:sz w:val="26"/>
          <w:szCs w:val="26"/>
          <w:lang w:eastAsia="en-US"/>
        </w:rPr>
        <w:tab/>
      </w:r>
    </w:p>
    <w:p w:rsidR="007E3897" w:rsidRPr="001A0ECE" w:rsidRDefault="00C95B18" w:rsidP="00A77970">
      <w:pPr>
        <w:jc w:val="right"/>
        <w:outlineLvl w:val="1"/>
        <w:rPr>
          <w:b/>
          <w:kern w:val="28"/>
          <w:sz w:val="26"/>
          <w:szCs w:val="26"/>
          <w:lang w:eastAsia="en-US"/>
        </w:rPr>
      </w:pPr>
      <w:r w:rsidRPr="007E3897">
        <w:rPr>
          <w:kern w:val="28"/>
          <w:sz w:val="18"/>
          <w:szCs w:val="18"/>
          <w:lang w:eastAsia="en-US"/>
        </w:rPr>
        <w:t>-</w:t>
      </w:r>
      <w:r>
        <w:rPr>
          <w:kern w:val="28"/>
          <w:sz w:val="18"/>
          <w:szCs w:val="18"/>
          <w:lang w:eastAsia="en-US"/>
        </w:rPr>
        <w:t>nu</w:t>
      </w:r>
      <w:r w:rsidR="007E3897" w:rsidRPr="007E3897">
        <w:rPr>
          <w:kern w:val="28"/>
          <w:sz w:val="18"/>
          <w:szCs w:val="18"/>
          <w:lang w:eastAsia="en-US"/>
        </w:rPr>
        <w:t>măr -</w:t>
      </w:r>
    </w:p>
    <w:tbl>
      <w:tblPr>
        <w:tblW w:w="10327" w:type="dxa"/>
        <w:tblInd w:w="-5" w:type="dxa"/>
        <w:tblLayout w:type="fixed"/>
        <w:tblCellMar>
          <w:left w:w="0" w:type="dxa"/>
          <w:right w:w="0" w:type="dxa"/>
        </w:tblCellMar>
        <w:tblLook w:val="0000"/>
      </w:tblPr>
      <w:tblGrid>
        <w:gridCol w:w="1560"/>
        <w:gridCol w:w="730"/>
        <w:gridCol w:w="731"/>
        <w:gridCol w:w="730"/>
        <w:gridCol w:w="731"/>
        <w:gridCol w:w="730"/>
        <w:gridCol w:w="731"/>
        <w:gridCol w:w="731"/>
        <w:gridCol w:w="730"/>
        <w:gridCol w:w="731"/>
        <w:gridCol w:w="730"/>
        <w:gridCol w:w="731"/>
        <w:gridCol w:w="731"/>
      </w:tblGrid>
      <w:tr w:rsidR="00AA0BC7" w:rsidRPr="00696642" w:rsidTr="00AA0BC7">
        <w:trPr>
          <w:cantSplit/>
          <w:trHeight w:val="272"/>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0BC7" w:rsidRPr="00AA0BC7" w:rsidRDefault="00AA0BC7" w:rsidP="00A77970">
            <w:pPr>
              <w:jc w:val="center"/>
              <w:rPr>
                <w:rFonts w:eastAsia="Arial Unicode MS"/>
                <w:b/>
              </w:rPr>
            </w:pPr>
            <w:r w:rsidRPr="00AA0BC7">
              <w:rPr>
                <w:b/>
              </w:rPr>
              <w:t>Tipuri de structuri de primire turistică</w:t>
            </w:r>
          </w:p>
        </w:tc>
        <w:tc>
          <w:tcPr>
            <w:tcW w:w="8767" w:type="dxa"/>
            <w:gridSpan w:val="1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0BC7" w:rsidRPr="00AA0BC7" w:rsidRDefault="00AA0BC7" w:rsidP="00A77970">
            <w:pPr>
              <w:jc w:val="center"/>
              <w:rPr>
                <w:rFonts w:eastAsia="Arial Unicode MS"/>
                <w:b/>
              </w:rPr>
            </w:pPr>
            <w:r w:rsidRPr="00AA0BC7">
              <w:rPr>
                <w:rFonts w:eastAsia="Arial Unicode MS"/>
                <w:b/>
              </w:rPr>
              <w:t>Anul 2018</w:t>
            </w:r>
          </w:p>
        </w:tc>
      </w:tr>
      <w:tr w:rsidR="00AA0BC7" w:rsidRPr="00696642" w:rsidTr="00AA0BC7">
        <w:trPr>
          <w:cantSplit/>
          <w:trHeight w:val="325"/>
        </w:trPr>
        <w:tc>
          <w:tcPr>
            <w:tcW w:w="15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0BC7" w:rsidRPr="00AA0BC7" w:rsidRDefault="00AA0BC7" w:rsidP="00A77970">
            <w:pPr>
              <w:rPr>
                <w:rFonts w:eastAsia="Arial Unicode MS"/>
                <w:b/>
              </w:rPr>
            </w:pP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0BC7" w:rsidRPr="00696642" w:rsidRDefault="00AA0BC7" w:rsidP="00A77970">
            <w:pPr>
              <w:jc w:val="center"/>
              <w:rPr>
                <w:rFonts w:eastAsia="Arial Unicode MS"/>
                <w:b/>
                <w:sz w:val="18"/>
                <w:szCs w:val="18"/>
              </w:rPr>
            </w:pPr>
            <w:r w:rsidRPr="00696642">
              <w:rPr>
                <w:rFonts w:eastAsia="Arial Unicode MS"/>
                <w:b/>
                <w:sz w:val="18"/>
                <w:szCs w:val="18"/>
              </w:rPr>
              <w:t>ian.</w:t>
            </w:r>
          </w:p>
        </w:tc>
        <w:tc>
          <w:tcPr>
            <w:tcW w:w="7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0BC7" w:rsidRPr="00696642" w:rsidRDefault="00AA0BC7" w:rsidP="00A77970">
            <w:pPr>
              <w:jc w:val="center"/>
              <w:rPr>
                <w:rFonts w:eastAsia="Arial Unicode MS"/>
                <w:b/>
                <w:sz w:val="18"/>
                <w:szCs w:val="18"/>
              </w:rPr>
            </w:pPr>
            <w:r w:rsidRPr="00696642">
              <w:rPr>
                <w:b/>
                <w:sz w:val="18"/>
                <w:szCs w:val="18"/>
              </w:rPr>
              <w:t>feb.</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0BC7" w:rsidRPr="00696642" w:rsidRDefault="00AA0BC7" w:rsidP="00A77970">
            <w:pPr>
              <w:jc w:val="center"/>
              <w:rPr>
                <w:rFonts w:eastAsia="Arial Unicode MS"/>
                <w:b/>
                <w:sz w:val="18"/>
                <w:szCs w:val="18"/>
              </w:rPr>
            </w:pPr>
            <w:r w:rsidRPr="00696642">
              <w:rPr>
                <w:b/>
                <w:sz w:val="18"/>
                <w:szCs w:val="18"/>
              </w:rPr>
              <w:t>mar.</w:t>
            </w:r>
          </w:p>
        </w:tc>
        <w:tc>
          <w:tcPr>
            <w:tcW w:w="7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0BC7" w:rsidRPr="00696642" w:rsidRDefault="00AA0BC7" w:rsidP="00A77970">
            <w:pPr>
              <w:jc w:val="center"/>
              <w:rPr>
                <w:rFonts w:eastAsia="Arial Unicode MS"/>
                <w:b/>
                <w:sz w:val="18"/>
                <w:szCs w:val="18"/>
              </w:rPr>
            </w:pPr>
            <w:r w:rsidRPr="00696642">
              <w:rPr>
                <w:b/>
                <w:sz w:val="18"/>
                <w:szCs w:val="18"/>
              </w:rPr>
              <w:t>apr.</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0BC7" w:rsidRPr="00696642" w:rsidRDefault="00AA0BC7" w:rsidP="00A77970">
            <w:pPr>
              <w:jc w:val="center"/>
              <w:rPr>
                <w:rFonts w:eastAsia="Arial Unicode MS"/>
                <w:b/>
                <w:sz w:val="18"/>
                <w:szCs w:val="18"/>
              </w:rPr>
            </w:pPr>
            <w:r w:rsidRPr="00696642">
              <w:rPr>
                <w:b/>
                <w:sz w:val="18"/>
                <w:szCs w:val="18"/>
              </w:rPr>
              <w:t>mai</w:t>
            </w:r>
          </w:p>
        </w:tc>
        <w:tc>
          <w:tcPr>
            <w:tcW w:w="7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0BC7" w:rsidRPr="00696642" w:rsidRDefault="00AA0BC7" w:rsidP="00A77970">
            <w:pPr>
              <w:jc w:val="center"/>
              <w:rPr>
                <w:rFonts w:eastAsia="Arial Unicode MS"/>
                <w:b/>
                <w:sz w:val="18"/>
                <w:szCs w:val="18"/>
              </w:rPr>
            </w:pPr>
            <w:r w:rsidRPr="00696642">
              <w:rPr>
                <w:rFonts w:eastAsia="Arial Unicode MS"/>
                <w:b/>
                <w:sz w:val="18"/>
                <w:szCs w:val="18"/>
              </w:rPr>
              <w:t>iun.</w:t>
            </w:r>
          </w:p>
        </w:tc>
        <w:tc>
          <w:tcPr>
            <w:tcW w:w="7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0BC7" w:rsidRPr="00696642" w:rsidRDefault="00AA0BC7" w:rsidP="00A77970">
            <w:pPr>
              <w:jc w:val="center"/>
              <w:rPr>
                <w:rFonts w:eastAsia="Arial Unicode MS"/>
                <w:b/>
                <w:sz w:val="18"/>
                <w:szCs w:val="18"/>
              </w:rPr>
            </w:pPr>
            <w:r w:rsidRPr="00696642">
              <w:rPr>
                <w:rFonts w:eastAsia="Arial Unicode MS"/>
                <w:b/>
                <w:sz w:val="18"/>
                <w:szCs w:val="18"/>
              </w:rPr>
              <w:t>iul.</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0BC7" w:rsidRPr="00696642" w:rsidRDefault="00AA0BC7" w:rsidP="00A77970">
            <w:pPr>
              <w:jc w:val="center"/>
              <w:rPr>
                <w:rFonts w:eastAsia="Arial Unicode MS"/>
                <w:b/>
                <w:sz w:val="18"/>
                <w:szCs w:val="18"/>
              </w:rPr>
            </w:pPr>
            <w:r w:rsidRPr="00696642">
              <w:rPr>
                <w:rFonts w:eastAsia="Arial Unicode MS"/>
                <w:b/>
                <w:sz w:val="18"/>
                <w:szCs w:val="18"/>
              </w:rPr>
              <w:t>aug.</w:t>
            </w:r>
          </w:p>
        </w:tc>
        <w:tc>
          <w:tcPr>
            <w:tcW w:w="7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0BC7" w:rsidRPr="00696642" w:rsidRDefault="00AA0BC7" w:rsidP="00A77970">
            <w:pPr>
              <w:jc w:val="center"/>
              <w:rPr>
                <w:rFonts w:eastAsia="Arial Unicode MS"/>
                <w:b/>
                <w:sz w:val="18"/>
                <w:szCs w:val="18"/>
              </w:rPr>
            </w:pPr>
            <w:r w:rsidRPr="00696642">
              <w:rPr>
                <w:rFonts w:eastAsia="Arial Unicode MS"/>
                <w:b/>
                <w:sz w:val="18"/>
                <w:szCs w:val="18"/>
              </w:rPr>
              <w:t>sep.</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0BC7" w:rsidRPr="00696642" w:rsidRDefault="00AA0BC7" w:rsidP="00A77970">
            <w:pPr>
              <w:jc w:val="center"/>
              <w:rPr>
                <w:rFonts w:eastAsia="Arial Unicode MS"/>
                <w:b/>
                <w:sz w:val="18"/>
                <w:szCs w:val="18"/>
              </w:rPr>
            </w:pPr>
            <w:r w:rsidRPr="00696642">
              <w:rPr>
                <w:rFonts w:eastAsia="Arial Unicode MS"/>
                <w:b/>
                <w:sz w:val="18"/>
                <w:szCs w:val="18"/>
              </w:rPr>
              <w:t>oct.</w:t>
            </w:r>
          </w:p>
        </w:tc>
        <w:tc>
          <w:tcPr>
            <w:tcW w:w="7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0BC7" w:rsidRPr="00696642" w:rsidRDefault="00AA0BC7" w:rsidP="00A77970">
            <w:pPr>
              <w:jc w:val="center"/>
              <w:rPr>
                <w:rFonts w:eastAsia="Arial Unicode MS"/>
                <w:b/>
                <w:sz w:val="18"/>
                <w:szCs w:val="18"/>
              </w:rPr>
            </w:pPr>
            <w:r w:rsidRPr="00696642">
              <w:rPr>
                <w:rFonts w:eastAsia="Arial Unicode MS"/>
                <w:b/>
                <w:sz w:val="18"/>
                <w:szCs w:val="18"/>
              </w:rPr>
              <w:t>nov.</w:t>
            </w:r>
          </w:p>
        </w:tc>
        <w:tc>
          <w:tcPr>
            <w:tcW w:w="7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0BC7" w:rsidRPr="00696642" w:rsidRDefault="00AA0BC7" w:rsidP="00A77970">
            <w:pPr>
              <w:jc w:val="center"/>
              <w:rPr>
                <w:rFonts w:eastAsia="Arial Unicode MS"/>
                <w:b/>
                <w:sz w:val="18"/>
                <w:szCs w:val="18"/>
              </w:rPr>
            </w:pPr>
            <w:r w:rsidRPr="00696642">
              <w:rPr>
                <w:rFonts w:eastAsia="Arial Unicode MS"/>
                <w:b/>
                <w:sz w:val="18"/>
                <w:szCs w:val="18"/>
              </w:rPr>
              <w:t>dec.</w:t>
            </w:r>
          </w:p>
        </w:tc>
      </w:tr>
      <w:tr w:rsidR="00AA0BC7" w:rsidRPr="00696642" w:rsidTr="00AA0BC7">
        <w:trPr>
          <w:cantSplit/>
          <w:trHeight w:val="361"/>
        </w:trPr>
        <w:tc>
          <w:tcPr>
            <w:tcW w:w="1560" w:type="dxa"/>
            <w:tcBorders>
              <w:top w:val="single" w:sz="4" w:space="0" w:color="auto"/>
              <w:left w:val="single" w:sz="4" w:space="0" w:color="auto"/>
              <w:bottom w:val="single" w:sz="4" w:space="0" w:color="auto"/>
              <w:right w:val="single" w:sz="4" w:space="0" w:color="auto"/>
            </w:tcBorders>
            <w:vAlign w:val="center"/>
          </w:tcPr>
          <w:p w:rsidR="00AA0BC7" w:rsidRPr="00AA0BC7" w:rsidRDefault="00AA0BC7" w:rsidP="00A77970">
            <w:pPr>
              <w:ind w:left="113"/>
              <w:rPr>
                <w:b/>
              </w:rPr>
            </w:pPr>
            <w:r w:rsidRPr="00AA0BC7">
              <w:rPr>
                <w:b/>
              </w:rPr>
              <w:t xml:space="preserve">Total </w:t>
            </w:r>
          </w:p>
        </w:tc>
        <w:tc>
          <w:tcPr>
            <w:tcW w:w="730" w:type="dxa"/>
            <w:tcBorders>
              <w:top w:val="single" w:sz="4" w:space="0" w:color="auto"/>
              <w:left w:val="single" w:sz="4" w:space="0" w:color="auto"/>
              <w:bottom w:val="single" w:sz="4" w:space="0" w:color="auto"/>
              <w:right w:val="single" w:sz="4" w:space="0" w:color="auto"/>
            </w:tcBorders>
            <w:tcMar>
              <w:right w:w="85" w:type="dxa"/>
            </w:tcMar>
            <w:vAlign w:val="center"/>
          </w:tcPr>
          <w:p w:rsidR="00AA0BC7" w:rsidRPr="00696642" w:rsidRDefault="00AA0BC7" w:rsidP="00A77970">
            <w:pPr>
              <w:jc w:val="center"/>
              <w:rPr>
                <w:b/>
                <w:bCs/>
                <w:sz w:val="18"/>
                <w:szCs w:val="18"/>
              </w:rPr>
            </w:pPr>
            <w:r w:rsidRPr="00696642">
              <w:rPr>
                <w:b/>
                <w:bCs/>
                <w:sz w:val="18"/>
                <w:szCs w:val="18"/>
              </w:rPr>
              <w:t>210507</w:t>
            </w:r>
          </w:p>
        </w:tc>
        <w:tc>
          <w:tcPr>
            <w:tcW w:w="731" w:type="dxa"/>
            <w:tcBorders>
              <w:top w:val="single" w:sz="4" w:space="0" w:color="auto"/>
              <w:left w:val="single" w:sz="4" w:space="0" w:color="auto"/>
              <w:bottom w:val="single" w:sz="4" w:space="0" w:color="auto"/>
              <w:right w:val="single" w:sz="4" w:space="0" w:color="auto"/>
            </w:tcBorders>
            <w:tcMar>
              <w:right w:w="85" w:type="dxa"/>
            </w:tcMar>
            <w:vAlign w:val="center"/>
          </w:tcPr>
          <w:p w:rsidR="00AA0BC7" w:rsidRPr="00696642" w:rsidRDefault="00AA0BC7" w:rsidP="00A77970">
            <w:pPr>
              <w:jc w:val="center"/>
              <w:rPr>
                <w:b/>
                <w:bCs/>
                <w:sz w:val="18"/>
                <w:szCs w:val="18"/>
              </w:rPr>
            </w:pPr>
            <w:r w:rsidRPr="00696642">
              <w:rPr>
                <w:b/>
                <w:bCs/>
                <w:sz w:val="18"/>
                <w:szCs w:val="18"/>
              </w:rPr>
              <w:t>221970</w:t>
            </w:r>
          </w:p>
        </w:tc>
        <w:tc>
          <w:tcPr>
            <w:tcW w:w="730" w:type="dxa"/>
            <w:tcBorders>
              <w:top w:val="single" w:sz="4" w:space="0" w:color="auto"/>
              <w:left w:val="single" w:sz="4" w:space="0" w:color="auto"/>
              <w:bottom w:val="single" w:sz="4" w:space="0" w:color="auto"/>
              <w:right w:val="single" w:sz="4" w:space="0" w:color="auto"/>
            </w:tcBorders>
            <w:tcMar>
              <w:right w:w="85" w:type="dxa"/>
            </w:tcMar>
            <w:vAlign w:val="center"/>
          </w:tcPr>
          <w:p w:rsidR="00AA0BC7" w:rsidRPr="00696642" w:rsidRDefault="00AA0BC7" w:rsidP="00A77970">
            <w:pPr>
              <w:jc w:val="center"/>
              <w:rPr>
                <w:b/>
                <w:bCs/>
                <w:sz w:val="18"/>
                <w:szCs w:val="18"/>
              </w:rPr>
            </w:pPr>
            <w:r w:rsidRPr="00696642">
              <w:rPr>
                <w:b/>
                <w:bCs/>
                <w:sz w:val="18"/>
                <w:szCs w:val="18"/>
              </w:rPr>
              <w:t>276005</w:t>
            </w:r>
          </w:p>
        </w:tc>
        <w:tc>
          <w:tcPr>
            <w:tcW w:w="731" w:type="dxa"/>
            <w:tcBorders>
              <w:top w:val="single" w:sz="4" w:space="0" w:color="auto"/>
              <w:left w:val="single" w:sz="4" w:space="0" w:color="auto"/>
              <w:bottom w:val="single" w:sz="4" w:space="0" w:color="auto"/>
              <w:right w:val="single" w:sz="4" w:space="0" w:color="auto"/>
            </w:tcBorders>
            <w:tcMar>
              <w:right w:w="85" w:type="dxa"/>
            </w:tcMar>
            <w:vAlign w:val="center"/>
          </w:tcPr>
          <w:p w:rsidR="00AA0BC7" w:rsidRPr="00696642" w:rsidRDefault="00AA0BC7" w:rsidP="00A77970">
            <w:pPr>
              <w:jc w:val="center"/>
              <w:rPr>
                <w:b/>
                <w:bCs/>
                <w:sz w:val="18"/>
                <w:szCs w:val="18"/>
              </w:rPr>
            </w:pPr>
            <w:r w:rsidRPr="00696642">
              <w:rPr>
                <w:b/>
                <w:bCs/>
                <w:sz w:val="18"/>
                <w:szCs w:val="18"/>
              </w:rPr>
              <w:t>267571</w:t>
            </w:r>
          </w:p>
        </w:tc>
        <w:tc>
          <w:tcPr>
            <w:tcW w:w="730" w:type="dxa"/>
            <w:tcBorders>
              <w:top w:val="single" w:sz="4" w:space="0" w:color="auto"/>
              <w:left w:val="single" w:sz="4" w:space="0" w:color="auto"/>
              <w:bottom w:val="single" w:sz="4" w:space="0" w:color="auto"/>
              <w:right w:val="single" w:sz="4" w:space="0" w:color="auto"/>
            </w:tcBorders>
            <w:tcMar>
              <w:right w:w="85" w:type="dxa"/>
            </w:tcMar>
            <w:vAlign w:val="center"/>
          </w:tcPr>
          <w:p w:rsidR="00AA0BC7" w:rsidRPr="00696642" w:rsidRDefault="00AA0BC7" w:rsidP="00A77970">
            <w:pPr>
              <w:jc w:val="center"/>
              <w:rPr>
                <w:b/>
                <w:bCs/>
                <w:sz w:val="18"/>
                <w:szCs w:val="18"/>
              </w:rPr>
            </w:pPr>
            <w:r w:rsidRPr="00696642">
              <w:rPr>
                <w:b/>
                <w:bCs/>
                <w:sz w:val="18"/>
                <w:szCs w:val="18"/>
              </w:rPr>
              <w:t>318676</w:t>
            </w:r>
          </w:p>
        </w:tc>
        <w:tc>
          <w:tcPr>
            <w:tcW w:w="731" w:type="dxa"/>
            <w:tcBorders>
              <w:top w:val="single" w:sz="4" w:space="0" w:color="auto"/>
              <w:left w:val="single" w:sz="4" w:space="0" w:color="auto"/>
              <w:bottom w:val="single" w:sz="4" w:space="0" w:color="auto"/>
              <w:right w:val="single" w:sz="4" w:space="0" w:color="auto"/>
            </w:tcBorders>
            <w:tcMar>
              <w:right w:w="85" w:type="dxa"/>
            </w:tcMar>
            <w:vAlign w:val="center"/>
          </w:tcPr>
          <w:p w:rsidR="00AA0BC7" w:rsidRPr="00696642" w:rsidRDefault="00AA0BC7" w:rsidP="00A77970">
            <w:pPr>
              <w:jc w:val="center"/>
              <w:rPr>
                <w:b/>
                <w:bCs/>
                <w:sz w:val="18"/>
                <w:szCs w:val="18"/>
              </w:rPr>
            </w:pPr>
            <w:r w:rsidRPr="00696642">
              <w:rPr>
                <w:b/>
                <w:bCs/>
                <w:sz w:val="18"/>
                <w:szCs w:val="18"/>
              </w:rPr>
              <w:t>314862</w:t>
            </w:r>
          </w:p>
        </w:tc>
        <w:tc>
          <w:tcPr>
            <w:tcW w:w="731" w:type="dxa"/>
            <w:tcBorders>
              <w:top w:val="single" w:sz="4" w:space="0" w:color="auto"/>
              <w:left w:val="single" w:sz="4" w:space="0" w:color="auto"/>
              <w:bottom w:val="single" w:sz="4" w:space="0" w:color="auto"/>
              <w:right w:val="single" w:sz="4" w:space="0" w:color="auto"/>
            </w:tcBorders>
            <w:tcMar>
              <w:right w:w="85" w:type="dxa"/>
            </w:tcMar>
            <w:vAlign w:val="center"/>
          </w:tcPr>
          <w:p w:rsidR="00AA0BC7" w:rsidRPr="00696642" w:rsidRDefault="00AA0BC7" w:rsidP="00A77970">
            <w:pPr>
              <w:jc w:val="center"/>
              <w:rPr>
                <w:b/>
                <w:bCs/>
                <w:sz w:val="18"/>
                <w:szCs w:val="18"/>
              </w:rPr>
            </w:pPr>
            <w:r w:rsidRPr="00696642">
              <w:rPr>
                <w:b/>
                <w:bCs/>
                <w:sz w:val="18"/>
                <w:szCs w:val="18"/>
              </w:rPr>
              <w:t>302903</w:t>
            </w:r>
          </w:p>
        </w:tc>
        <w:tc>
          <w:tcPr>
            <w:tcW w:w="730" w:type="dxa"/>
            <w:tcBorders>
              <w:top w:val="single" w:sz="4" w:space="0" w:color="auto"/>
              <w:left w:val="single" w:sz="4" w:space="0" w:color="auto"/>
              <w:bottom w:val="single" w:sz="4" w:space="0" w:color="auto"/>
              <w:right w:val="single" w:sz="4" w:space="0" w:color="auto"/>
            </w:tcBorders>
            <w:tcMar>
              <w:right w:w="85" w:type="dxa"/>
            </w:tcMar>
            <w:vAlign w:val="center"/>
          </w:tcPr>
          <w:p w:rsidR="00AA0BC7" w:rsidRPr="00696642" w:rsidRDefault="00AA0BC7" w:rsidP="00A77970">
            <w:pPr>
              <w:jc w:val="center"/>
              <w:rPr>
                <w:b/>
                <w:bCs/>
                <w:sz w:val="18"/>
                <w:szCs w:val="18"/>
              </w:rPr>
            </w:pPr>
            <w:r w:rsidRPr="00696642">
              <w:rPr>
                <w:b/>
                <w:bCs/>
                <w:sz w:val="18"/>
                <w:szCs w:val="18"/>
              </w:rPr>
              <w:t>295447</w:t>
            </w:r>
          </w:p>
        </w:tc>
        <w:tc>
          <w:tcPr>
            <w:tcW w:w="731" w:type="dxa"/>
            <w:tcBorders>
              <w:top w:val="single" w:sz="4" w:space="0" w:color="auto"/>
              <w:left w:val="single" w:sz="4" w:space="0" w:color="auto"/>
              <w:bottom w:val="single" w:sz="4" w:space="0" w:color="auto"/>
              <w:right w:val="single" w:sz="4" w:space="0" w:color="auto"/>
            </w:tcBorders>
            <w:tcMar>
              <w:right w:w="85" w:type="dxa"/>
            </w:tcMar>
            <w:vAlign w:val="center"/>
          </w:tcPr>
          <w:p w:rsidR="00AA0BC7" w:rsidRPr="00696642" w:rsidRDefault="00AA0BC7" w:rsidP="00A77970">
            <w:pPr>
              <w:jc w:val="center"/>
              <w:rPr>
                <w:b/>
                <w:bCs/>
                <w:sz w:val="18"/>
                <w:szCs w:val="18"/>
              </w:rPr>
            </w:pPr>
            <w:r w:rsidRPr="00696642">
              <w:rPr>
                <w:b/>
                <w:bCs/>
                <w:sz w:val="18"/>
                <w:szCs w:val="18"/>
              </w:rPr>
              <w:t>325032</w:t>
            </w:r>
          </w:p>
        </w:tc>
        <w:tc>
          <w:tcPr>
            <w:tcW w:w="730" w:type="dxa"/>
            <w:tcBorders>
              <w:top w:val="single" w:sz="4" w:space="0" w:color="auto"/>
              <w:left w:val="single" w:sz="4" w:space="0" w:color="auto"/>
              <w:bottom w:val="single" w:sz="4" w:space="0" w:color="auto"/>
              <w:right w:val="single" w:sz="4" w:space="0" w:color="auto"/>
            </w:tcBorders>
            <w:tcMar>
              <w:right w:w="85" w:type="dxa"/>
            </w:tcMar>
            <w:vAlign w:val="center"/>
          </w:tcPr>
          <w:p w:rsidR="00AA0BC7" w:rsidRPr="00696642" w:rsidRDefault="00AA0BC7" w:rsidP="00A77970">
            <w:pPr>
              <w:jc w:val="center"/>
              <w:rPr>
                <w:b/>
                <w:bCs/>
                <w:sz w:val="18"/>
                <w:szCs w:val="18"/>
              </w:rPr>
            </w:pPr>
            <w:r w:rsidRPr="00696642">
              <w:rPr>
                <w:b/>
                <w:bCs/>
                <w:sz w:val="18"/>
                <w:szCs w:val="18"/>
              </w:rPr>
              <w:t>320769</w:t>
            </w:r>
          </w:p>
        </w:tc>
        <w:tc>
          <w:tcPr>
            <w:tcW w:w="731"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AA0BC7" w:rsidRPr="00696642" w:rsidRDefault="00AA0BC7" w:rsidP="00A77970">
            <w:pPr>
              <w:jc w:val="center"/>
              <w:rPr>
                <w:b/>
                <w:bCs/>
                <w:sz w:val="18"/>
                <w:szCs w:val="18"/>
              </w:rPr>
            </w:pPr>
            <w:r w:rsidRPr="00696642">
              <w:rPr>
                <w:b/>
                <w:bCs/>
                <w:sz w:val="18"/>
                <w:szCs w:val="18"/>
              </w:rPr>
              <w:t>296532</w:t>
            </w:r>
          </w:p>
        </w:tc>
        <w:tc>
          <w:tcPr>
            <w:tcW w:w="731" w:type="dxa"/>
            <w:tcBorders>
              <w:top w:val="single" w:sz="4" w:space="0" w:color="auto"/>
              <w:left w:val="single" w:sz="4" w:space="0" w:color="auto"/>
              <w:bottom w:val="single" w:sz="4" w:space="0" w:color="auto"/>
              <w:right w:val="single" w:sz="4" w:space="0" w:color="auto"/>
            </w:tcBorders>
            <w:shd w:val="clear" w:color="auto" w:fill="auto"/>
            <w:tcMar>
              <w:right w:w="85" w:type="dxa"/>
            </w:tcMar>
            <w:vAlign w:val="center"/>
          </w:tcPr>
          <w:p w:rsidR="00AA0BC7" w:rsidRPr="00696642" w:rsidRDefault="00AA0BC7" w:rsidP="00A77970">
            <w:pPr>
              <w:jc w:val="center"/>
              <w:rPr>
                <w:b/>
                <w:bCs/>
                <w:sz w:val="18"/>
                <w:szCs w:val="18"/>
              </w:rPr>
            </w:pPr>
            <w:r w:rsidRPr="00696642">
              <w:rPr>
                <w:b/>
                <w:bCs/>
                <w:sz w:val="18"/>
                <w:szCs w:val="18"/>
              </w:rPr>
              <w:t>248543</w:t>
            </w:r>
          </w:p>
        </w:tc>
      </w:tr>
      <w:tr w:rsidR="00AA0BC7" w:rsidRPr="00696642" w:rsidTr="00AA0BC7">
        <w:trPr>
          <w:cantSplit/>
          <w:trHeight w:val="272"/>
        </w:trPr>
        <w:tc>
          <w:tcPr>
            <w:tcW w:w="1560" w:type="dxa"/>
            <w:tcBorders>
              <w:top w:val="single" w:sz="4" w:space="0" w:color="auto"/>
              <w:left w:val="single" w:sz="4" w:space="0" w:color="auto"/>
              <w:right w:val="single" w:sz="4" w:space="0" w:color="auto"/>
            </w:tcBorders>
            <w:vAlign w:val="center"/>
          </w:tcPr>
          <w:p w:rsidR="00AA0BC7" w:rsidRPr="00AA0BC7" w:rsidRDefault="00AA0BC7" w:rsidP="00A77970">
            <w:pPr>
              <w:ind w:left="113"/>
              <w:rPr>
                <w:rFonts w:eastAsia="Arial Unicode MS"/>
              </w:rPr>
            </w:pPr>
            <w:r w:rsidRPr="00AA0BC7">
              <w:t>din care:</w:t>
            </w:r>
          </w:p>
        </w:tc>
        <w:tc>
          <w:tcPr>
            <w:tcW w:w="730" w:type="dxa"/>
            <w:tcBorders>
              <w:top w:val="single" w:sz="4" w:space="0" w:color="auto"/>
              <w:left w:val="single" w:sz="4" w:space="0" w:color="auto"/>
              <w:right w:val="single" w:sz="4" w:space="0" w:color="auto"/>
            </w:tcBorders>
            <w:tcMar>
              <w:right w:w="85" w:type="dxa"/>
            </w:tcMar>
            <w:vAlign w:val="bottom"/>
          </w:tcPr>
          <w:p w:rsidR="00AA0BC7" w:rsidRPr="00696642" w:rsidRDefault="00AA0BC7" w:rsidP="00A77970">
            <w:pPr>
              <w:jc w:val="right"/>
              <w:rPr>
                <w:rFonts w:eastAsia="Arial Unicode MS"/>
                <w:sz w:val="18"/>
                <w:szCs w:val="18"/>
              </w:rPr>
            </w:pPr>
          </w:p>
        </w:tc>
        <w:tc>
          <w:tcPr>
            <w:tcW w:w="731" w:type="dxa"/>
            <w:tcBorders>
              <w:top w:val="single" w:sz="4" w:space="0" w:color="auto"/>
              <w:left w:val="single" w:sz="4" w:space="0" w:color="auto"/>
              <w:right w:val="single" w:sz="4" w:space="0" w:color="auto"/>
            </w:tcBorders>
            <w:tcMar>
              <w:right w:w="85" w:type="dxa"/>
            </w:tcMar>
            <w:vAlign w:val="bottom"/>
          </w:tcPr>
          <w:p w:rsidR="00AA0BC7" w:rsidRPr="00696642" w:rsidRDefault="00AA0BC7" w:rsidP="00A77970">
            <w:pPr>
              <w:jc w:val="right"/>
              <w:rPr>
                <w:rFonts w:eastAsia="Arial Unicode MS"/>
                <w:sz w:val="18"/>
                <w:szCs w:val="18"/>
              </w:rPr>
            </w:pPr>
          </w:p>
        </w:tc>
        <w:tc>
          <w:tcPr>
            <w:tcW w:w="730" w:type="dxa"/>
            <w:tcBorders>
              <w:top w:val="single" w:sz="4" w:space="0" w:color="auto"/>
              <w:left w:val="single" w:sz="4" w:space="0" w:color="auto"/>
              <w:right w:val="single" w:sz="4" w:space="0" w:color="auto"/>
            </w:tcBorders>
            <w:tcMar>
              <w:right w:w="85" w:type="dxa"/>
            </w:tcMar>
            <w:vAlign w:val="bottom"/>
          </w:tcPr>
          <w:p w:rsidR="00AA0BC7" w:rsidRPr="00696642" w:rsidRDefault="00AA0BC7" w:rsidP="00A77970">
            <w:pPr>
              <w:jc w:val="right"/>
              <w:rPr>
                <w:rFonts w:eastAsia="Arial Unicode MS"/>
                <w:sz w:val="18"/>
                <w:szCs w:val="18"/>
              </w:rPr>
            </w:pPr>
          </w:p>
        </w:tc>
        <w:tc>
          <w:tcPr>
            <w:tcW w:w="731" w:type="dxa"/>
            <w:tcBorders>
              <w:top w:val="single" w:sz="4" w:space="0" w:color="auto"/>
              <w:left w:val="single" w:sz="4" w:space="0" w:color="auto"/>
              <w:right w:val="single" w:sz="4" w:space="0" w:color="auto"/>
            </w:tcBorders>
            <w:tcMar>
              <w:right w:w="85" w:type="dxa"/>
            </w:tcMar>
            <w:vAlign w:val="bottom"/>
          </w:tcPr>
          <w:p w:rsidR="00AA0BC7" w:rsidRPr="00696642" w:rsidRDefault="00AA0BC7" w:rsidP="00A77970">
            <w:pPr>
              <w:jc w:val="right"/>
              <w:rPr>
                <w:rFonts w:eastAsia="Arial Unicode MS"/>
                <w:sz w:val="18"/>
                <w:szCs w:val="18"/>
              </w:rPr>
            </w:pPr>
          </w:p>
        </w:tc>
        <w:tc>
          <w:tcPr>
            <w:tcW w:w="730" w:type="dxa"/>
            <w:tcBorders>
              <w:top w:val="single" w:sz="4" w:space="0" w:color="auto"/>
              <w:left w:val="single" w:sz="4" w:space="0" w:color="auto"/>
              <w:right w:val="single" w:sz="4" w:space="0" w:color="auto"/>
            </w:tcBorders>
            <w:tcMar>
              <w:right w:w="85" w:type="dxa"/>
            </w:tcMar>
            <w:vAlign w:val="bottom"/>
          </w:tcPr>
          <w:p w:rsidR="00AA0BC7" w:rsidRPr="00696642" w:rsidRDefault="00AA0BC7" w:rsidP="00A77970">
            <w:pPr>
              <w:jc w:val="right"/>
              <w:rPr>
                <w:rFonts w:eastAsia="Arial Unicode MS"/>
                <w:sz w:val="18"/>
                <w:szCs w:val="18"/>
              </w:rPr>
            </w:pPr>
          </w:p>
        </w:tc>
        <w:tc>
          <w:tcPr>
            <w:tcW w:w="731" w:type="dxa"/>
            <w:tcBorders>
              <w:top w:val="single" w:sz="4" w:space="0" w:color="auto"/>
              <w:left w:val="single" w:sz="4" w:space="0" w:color="auto"/>
              <w:right w:val="single" w:sz="4" w:space="0" w:color="auto"/>
            </w:tcBorders>
            <w:tcMar>
              <w:right w:w="85" w:type="dxa"/>
            </w:tcMar>
            <w:vAlign w:val="bottom"/>
          </w:tcPr>
          <w:p w:rsidR="00AA0BC7" w:rsidRPr="00696642" w:rsidRDefault="00AA0BC7" w:rsidP="00A77970">
            <w:pPr>
              <w:jc w:val="right"/>
              <w:rPr>
                <w:rFonts w:eastAsia="Arial Unicode MS"/>
                <w:sz w:val="18"/>
                <w:szCs w:val="18"/>
              </w:rPr>
            </w:pPr>
          </w:p>
        </w:tc>
        <w:tc>
          <w:tcPr>
            <w:tcW w:w="731" w:type="dxa"/>
            <w:tcBorders>
              <w:top w:val="single" w:sz="4" w:space="0" w:color="auto"/>
              <w:left w:val="single" w:sz="4" w:space="0" w:color="auto"/>
              <w:right w:val="single" w:sz="4" w:space="0" w:color="auto"/>
            </w:tcBorders>
            <w:tcMar>
              <w:right w:w="85" w:type="dxa"/>
            </w:tcMar>
            <w:vAlign w:val="bottom"/>
          </w:tcPr>
          <w:p w:rsidR="00AA0BC7" w:rsidRPr="00696642" w:rsidRDefault="00AA0BC7" w:rsidP="00A77970">
            <w:pPr>
              <w:jc w:val="right"/>
              <w:rPr>
                <w:rFonts w:eastAsia="Arial Unicode MS"/>
                <w:sz w:val="18"/>
                <w:szCs w:val="18"/>
              </w:rPr>
            </w:pPr>
          </w:p>
        </w:tc>
        <w:tc>
          <w:tcPr>
            <w:tcW w:w="730" w:type="dxa"/>
            <w:tcBorders>
              <w:top w:val="single" w:sz="4" w:space="0" w:color="auto"/>
              <w:left w:val="single" w:sz="4" w:space="0" w:color="auto"/>
              <w:right w:val="single" w:sz="4" w:space="0" w:color="auto"/>
            </w:tcBorders>
            <w:tcMar>
              <w:right w:w="85" w:type="dxa"/>
            </w:tcMar>
            <w:vAlign w:val="bottom"/>
          </w:tcPr>
          <w:p w:rsidR="00AA0BC7" w:rsidRPr="00696642" w:rsidRDefault="00AA0BC7" w:rsidP="00A77970">
            <w:pPr>
              <w:jc w:val="right"/>
              <w:rPr>
                <w:rFonts w:eastAsia="Arial Unicode MS"/>
                <w:sz w:val="18"/>
                <w:szCs w:val="18"/>
              </w:rPr>
            </w:pPr>
          </w:p>
        </w:tc>
        <w:tc>
          <w:tcPr>
            <w:tcW w:w="731" w:type="dxa"/>
            <w:tcBorders>
              <w:top w:val="single" w:sz="4" w:space="0" w:color="auto"/>
              <w:left w:val="single" w:sz="4" w:space="0" w:color="auto"/>
              <w:right w:val="single" w:sz="4" w:space="0" w:color="auto"/>
            </w:tcBorders>
            <w:tcMar>
              <w:right w:w="85" w:type="dxa"/>
            </w:tcMar>
            <w:vAlign w:val="bottom"/>
          </w:tcPr>
          <w:p w:rsidR="00AA0BC7" w:rsidRPr="00696642" w:rsidRDefault="00AA0BC7" w:rsidP="00A77970">
            <w:pPr>
              <w:jc w:val="right"/>
              <w:rPr>
                <w:rFonts w:eastAsia="Arial Unicode MS"/>
                <w:sz w:val="18"/>
                <w:szCs w:val="18"/>
              </w:rPr>
            </w:pPr>
          </w:p>
        </w:tc>
        <w:tc>
          <w:tcPr>
            <w:tcW w:w="730" w:type="dxa"/>
            <w:tcBorders>
              <w:top w:val="single" w:sz="4" w:space="0" w:color="auto"/>
              <w:left w:val="single" w:sz="4" w:space="0" w:color="auto"/>
              <w:right w:val="single" w:sz="4" w:space="0" w:color="auto"/>
            </w:tcBorders>
            <w:tcMar>
              <w:right w:w="85" w:type="dxa"/>
            </w:tcMar>
            <w:vAlign w:val="bottom"/>
          </w:tcPr>
          <w:p w:rsidR="00AA0BC7" w:rsidRPr="00696642" w:rsidRDefault="00AA0BC7" w:rsidP="00A77970">
            <w:pPr>
              <w:jc w:val="right"/>
              <w:rPr>
                <w:rFonts w:eastAsia="Arial Unicode MS"/>
                <w:sz w:val="18"/>
                <w:szCs w:val="18"/>
              </w:rPr>
            </w:pPr>
          </w:p>
        </w:tc>
        <w:tc>
          <w:tcPr>
            <w:tcW w:w="731" w:type="dxa"/>
            <w:tcBorders>
              <w:top w:val="single" w:sz="4" w:space="0" w:color="auto"/>
              <w:left w:val="single" w:sz="4" w:space="0" w:color="auto"/>
              <w:right w:val="single" w:sz="4" w:space="0" w:color="auto"/>
            </w:tcBorders>
            <w:shd w:val="clear" w:color="auto" w:fill="auto"/>
            <w:tcMar>
              <w:right w:w="85" w:type="dxa"/>
            </w:tcMar>
            <w:vAlign w:val="bottom"/>
          </w:tcPr>
          <w:p w:rsidR="00AA0BC7" w:rsidRPr="00696642" w:rsidRDefault="00AA0BC7" w:rsidP="00A77970">
            <w:pPr>
              <w:jc w:val="right"/>
              <w:rPr>
                <w:rFonts w:eastAsia="Arial Unicode MS"/>
                <w:sz w:val="18"/>
                <w:szCs w:val="18"/>
              </w:rPr>
            </w:pPr>
          </w:p>
        </w:tc>
        <w:tc>
          <w:tcPr>
            <w:tcW w:w="731" w:type="dxa"/>
            <w:tcBorders>
              <w:top w:val="single" w:sz="4" w:space="0" w:color="auto"/>
              <w:left w:val="single" w:sz="4" w:space="0" w:color="auto"/>
              <w:right w:val="single" w:sz="4" w:space="0" w:color="auto"/>
            </w:tcBorders>
            <w:shd w:val="clear" w:color="auto" w:fill="auto"/>
            <w:tcMar>
              <w:right w:w="85" w:type="dxa"/>
            </w:tcMar>
            <w:vAlign w:val="bottom"/>
          </w:tcPr>
          <w:p w:rsidR="00AA0BC7" w:rsidRPr="00696642" w:rsidRDefault="00AA0BC7" w:rsidP="00A77970">
            <w:pPr>
              <w:jc w:val="right"/>
              <w:rPr>
                <w:rFonts w:eastAsia="Arial Unicode MS"/>
                <w:sz w:val="18"/>
                <w:szCs w:val="18"/>
              </w:rPr>
            </w:pPr>
          </w:p>
        </w:tc>
      </w:tr>
      <w:tr w:rsidR="00AA0BC7" w:rsidRPr="00696642" w:rsidTr="00AA0BC7">
        <w:trPr>
          <w:cantSplit/>
          <w:trHeight w:val="272"/>
        </w:trPr>
        <w:tc>
          <w:tcPr>
            <w:tcW w:w="1560" w:type="dxa"/>
            <w:tcBorders>
              <w:left w:val="single" w:sz="4" w:space="0" w:color="auto"/>
              <w:bottom w:val="single" w:sz="4" w:space="0" w:color="auto"/>
              <w:right w:val="single" w:sz="4" w:space="0" w:color="auto"/>
            </w:tcBorders>
            <w:vAlign w:val="center"/>
          </w:tcPr>
          <w:p w:rsidR="00AA0BC7" w:rsidRPr="00AA0BC7" w:rsidRDefault="00AA0BC7" w:rsidP="00A77970">
            <w:pPr>
              <w:ind w:left="113"/>
              <w:rPr>
                <w:rFonts w:eastAsia="Arial Unicode MS"/>
              </w:rPr>
            </w:pPr>
            <w:r w:rsidRPr="00AA0BC7">
              <w:t xml:space="preserve">  Hoteluri</w:t>
            </w:r>
          </w:p>
        </w:tc>
        <w:tc>
          <w:tcPr>
            <w:tcW w:w="730" w:type="dxa"/>
            <w:tcBorders>
              <w:left w:val="single" w:sz="4" w:space="0" w:color="auto"/>
              <w:bottom w:val="single" w:sz="4" w:space="0" w:color="auto"/>
              <w:right w:val="single" w:sz="4" w:space="0" w:color="auto"/>
            </w:tcBorders>
            <w:tcMar>
              <w:right w:w="85" w:type="dxa"/>
            </w:tcMar>
            <w:vAlign w:val="center"/>
          </w:tcPr>
          <w:p w:rsidR="00AA0BC7" w:rsidRPr="00696642" w:rsidRDefault="00AA0BC7" w:rsidP="00A77970">
            <w:pPr>
              <w:jc w:val="center"/>
              <w:rPr>
                <w:sz w:val="18"/>
                <w:szCs w:val="18"/>
              </w:rPr>
            </w:pPr>
            <w:r w:rsidRPr="00696642">
              <w:rPr>
                <w:sz w:val="18"/>
                <w:szCs w:val="18"/>
              </w:rPr>
              <w:t>198457</w:t>
            </w:r>
          </w:p>
        </w:tc>
        <w:tc>
          <w:tcPr>
            <w:tcW w:w="731" w:type="dxa"/>
            <w:tcBorders>
              <w:left w:val="single" w:sz="4" w:space="0" w:color="auto"/>
              <w:bottom w:val="single" w:sz="4" w:space="0" w:color="auto"/>
              <w:right w:val="single" w:sz="4" w:space="0" w:color="auto"/>
            </w:tcBorders>
            <w:tcMar>
              <w:right w:w="85" w:type="dxa"/>
            </w:tcMar>
            <w:vAlign w:val="center"/>
          </w:tcPr>
          <w:p w:rsidR="00AA0BC7" w:rsidRPr="00696642" w:rsidRDefault="00AA0BC7" w:rsidP="00A77970">
            <w:pPr>
              <w:jc w:val="center"/>
              <w:rPr>
                <w:sz w:val="18"/>
                <w:szCs w:val="18"/>
              </w:rPr>
            </w:pPr>
            <w:r w:rsidRPr="00696642">
              <w:rPr>
                <w:sz w:val="18"/>
                <w:szCs w:val="18"/>
              </w:rPr>
              <w:t>208581</w:t>
            </w:r>
          </w:p>
        </w:tc>
        <w:tc>
          <w:tcPr>
            <w:tcW w:w="730" w:type="dxa"/>
            <w:tcBorders>
              <w:left w:val="single" w:sz="4" w:space="0" w:color="auto"/>
              <w:bottom w:val="single" w:sz="4" w:space="0" w:color="auto"/>
              <w:right w:val="single" w:sz="4" w:space="0" w:color="auto"/>
            </w:tcBorders>
            <w:tcMar>
              <w:right w:w="85" w:type="dxa"/>
            </w:tcMar>
            <w:vAlign w:val="center"/>
          </w:tcPr>
          <w:p w:rsidR="00AA0BC7" w:rsidRPr="00696642" w:rsidRDefault="00AA0BC7" w:rsidP="00A77970">
            <w:pPr>
              <w:jc w:val="center"/>
              <w:rPr>
                <w:sz w:val="18"/>
                <w:szCs w:val="18"/>
              </w:rPr>
            </w:pPr>
            <w:r w:rsidRPr="00696642">
              <w:rPr>
                <w:sz w:val="18"/>
                <w:szCs w:val="18"/>
              </w:rPr>
              <w:t>260467</w:t>
            </w:r>
          </w:p>
        </w:tc>
        <w:tc>
          <w:tcPr>
            <w:tcW w:w="731" w:type="dxa"/>
            <w:tcBorders>
              <w:left w:val="single" w:sz="4" w:space="0" w:color="auto"/>
              <w:bottom w:val="single" w:sz="4" w:space="0" w:color="auto"/>
              <w:right w:val="single" w:sz="4" w:space="0" w:color="auto"/>
            </w:tcBorders>
            <w:tcMar>
              <w:right w:w="85" w:type="dxa"/>
            </w:tcMar>
            <w:vAlign w:val="center"/>
          </w:tcPr>
          <w:p w:rsidR="00AA0BC7" w:rsidRPr="00696642" w:rsidRDefault="00AA0BC7" w:rsidP="00A77970">
            <w:pPr>
              <w:jc w:val="center"/>
              <w:rPr>
                <w:sz w:val="18"/>
                <w:szCs w:val="18"/>
              </w:rPr>
            </w:pPr>
            <w:r w:rsidRPr="00696642">
              <w:rPr>
                <w:sz w:val="18"/>
                <w:szCs w:val="18"/>
              </w:rPr>
              <w:t>252298</w:t>
            </w:r>
          </w:p>
        </w:tc>
        <w:tc>
          <w:tcPr>
            <w:tcW w:w="730" w:type="dxa"/>
            <w:tcBorders>
              <w:left w:val="single" w:sz="4" w:space="0" w:color="auto"/>
              <w:bottom w:val="single" w:sz="4" w:space="0" w:color="auto"/>
              <w:right w:val="single" w:sz="4" w:space="0" w:color="auto"/>
            </w:tcBorders>
            <w:tcMar>
              <w:right w:w="85" w:type="dxa"/>
            </w:tcMar>
            <w:vAlign w:val="center"/>
          </w:tcPr>
          <w:p w:rsidR="00AA0BC7" w:rsidRPr="00696642" w:rsidRDefault="00AA0BC7" w:rsidP="00A77970">
            <w:pPr>
              <w:jc w:val="center"/>
              <w:rPr>
                <w:sz w:val="18"/>
                <w:szCs w:val="18"/>
              </w:rPr>
            </w:pPr>
            <w:r w:rsidRPr="00696642">
              <w:rPr>
                <w:sz w:val="18"/>
                <w:szCs w:val="18"/>
              </w:rPr>
              <w:t>300621</w:t>
            </w:r>
          </w:p>
        </w:tc>
        <w:tc>
          <w:tcPr>
            <w:tcW w:w="731" w:type="dxa"/>
            <w:tcBorders>
              <w:left w:val="single" w:sz="4" w:space="0" w:color="auto"/>
              <w:bottom w:val="single" w:sz="4" w:space="0" w:color="auto"/>
              <w:right w:val="single" w:sz="4" w:space="0" w:color="auto"/>
            </w:tcBorders>
            <w:tcMar>
              <w:right w:w="85" w:type="dxa"/>
            </w:tcMar>
            <w:vAlign w:val="center"/>
          </w:tcPr>
          <w:p w:rsidR="00AA0BC7" w:rsidRPr="00696642" w:rsidRDefault="00AA0BC7" w:rsidP="00A77970">
            <w:pPr>
              <w:jc w:val="center"/>
              <w:rPr>
                <w:sz w:val="18"/>
                <w:szCs w:val="18"/>
              </w:rPr>
            </w:pPr>
            <w:r w:rsidRPr="00696642">
              <w:rPr>
                <w:sz w:val="18"/>
                <w:szCs w:val="18"/>
              </w:rPr>
              <w:t>297083</w:t>
            </w:r>
          </w:p>
        </w:tc>
        <w:tc>
          <w:tcPr>
            <w:tcW w:w="731" w:type="dxa"/>
            <w:tcBorders>
              <w:left w:val="single" w:sz="4" w:space="0" w:color="auto"/>
              <w:bottom w:val="single" w:sz="4" w:space="0" w:color="auto"/>
              <w:right w:val="single" w:sz="4" w:space="0" w:color="auto"/>
            </w:tcBorders>
            <w:tcMar>
              <w:right w:w="85" w:type="dxa"/>
            </w:tcMar>
            <w:vAlign w:val="center"/>
          </w:tcPr>
          <w:p w:rsidR="00AA0BC7" w:rsidRPr="00696642" w:rsidRDefault="00AA0BC7" w:rsidP="00A77970">
            <w:pPr>
              <w:jc w:val="center"/>
              <w:rPr>
                <w:sz w:val="18"/>
                <w:szCs w:val="18"/>
              </w:rPr>
            </w:pPr>
            <w:r w:rsidRPr="00696642">
              <w:rPr>
                <w:sz w:val="18"/>
                <w:szCs w:val="18"/>
              </w:rPr>
              <w:t>282742</w:t>
            </w:r>
          </w:p>
        </w:tc>
        <w:tc>
          <w:tcPr>
            <w:tcW w:w="730" w:type="dxa"/>
            <w:tcBorders>
              <w:left w:val="single" w:sz="4" w:space="0" w:color="auto"/>
              <w:bottom w:val="single" w:sz="4" w:space="0" w:color="auto"/>
              <w:right w:val="single" w:sz="4" w:space="0" w:color="auto"/>
            </w:tcBorders>
            <w:tcMar>
              <w:right w:w="85" w:type="dxa"/>
            </w:tcMar>
            <w:vAlign w:val="center"/>
          </w:tcPr>
          <w:p w:rsidR="00AA0BC7" w:rsidRPr="00696642" w:rsidRDefault="00AA0BC7" w:rsidP="00A77970">
            <w:pPr>
              <w:jc w:val="center"/>
              <w:rPr>
                <w:sz w:val="18"/>
                <w:szCs w:val="18"/>
              </w:rPr>
            </w:pPr>
            <w:r w:rsidRPr="00696642">
              <w:rPr>
                <w:sz w:val="18"/>
                <w:szCs w:val="18"/>
              </w:rPr>
              <w:t>275823</w:t>
            </w:r>
          </w:p>
        </w:tc>
        <w:tc>
          <w:tcPr>
            <w:tcW w:w="731" w:type="dxa"/>
            <w:tcBorders>
              <w:left w:val="single" w:sz="4" w:space="0" w:color="auto"/>
              <w:bottom w:val="single" w:sz="4" w:space="0" w:color="auto"/>
              <w:right w:val="single" w:sz="4" w:space="0" w:color="auto"/>
            </w:tcBorders>
            <w:tcMar>
              <w:right w:w="85" w:type="dxa"/>
            </w:tcMar>
            <w:vAlign w:val="center"/>
          </w:tcPr>
          <w:p w:rsidR="00AA0BC7" w:rsidRPr="00696642" w:rsidRDefault="00AA0BC7" w:rsidP="00A77970">
            <w:pPr>
              <w:jc w:val="center"/>
              <w:rPr>
                <w:sz w:val="18"/>
                <w:szCs w:val="18"/>
              </w:rPr>
            </w:pPr>
            <w:r w:rsidRPr="00696642">
              <w:rPr>
                <w:sz w:val="18"/>
                <w:szCs w:val="18"/>
              </w:rPr>
              <w:t>303913</w:t>
            </w:r>
          </w:p>
        </w:tc>
        <w:tc>
          <w:tcPr>
            <w:tcW w:w="730" w:type="dxa"/>
            <w:tcBorders>
              <w:left w:val="single" w:sz="4" w:space="0" w:color="auto"/>
              <w:bottom w:val="single" w:sz="4" w:space="0" w:color="auto"/>
              <w:right w:val="single" w:sz="4" w:space="0" w:color="auto"/>
            </w:tcBorders>
            <w:tcMar>
              <w:right w:w="85" w:type="dxa"/>
            </w:tcMar>
            <w:vAlign w:val="center"/>
          </w:tcPr>
          <w:p w:rsidR="00AA0BC7" w:rsidRPr="00696642" w:rsidRDefault="00AA0BC7" w:rsidP="00A77970">
            <w:pPr>
              <w:jc w:val="center"/>
              <w:rPr>
                <w:sz w:val="18"/>
                <w:szCs w:val="18"/>
              </w:rPr>
            </w:pPr>
            <w:r w:rsidRPr="00696642">
              <w:rPr>
                <w:sz w:val="18"/>
                <w:szCs w:val="18"/>
              </w:rPr>
              <w:t>302027</w:t>
            </w:r>
          </w:p>
        </w:tc>
        <w:tc>
          <w:tcPr>
            <w:tcW w:w="731" w:type="dxa"/>
            <w:tcBorders>
              <w:left w:val="single" w:sz="4" w:space="0" w:color="auto"/>
              <w:bottom w:val="single" w:sz="4" w:space="0" w:color="auto"/>
              <w:right w:val="single" w:sz="4" w:space="0" w:color="auto"/>
            </w:tcBorders>
            <w:shd w:val="clear" w:color="auto" w:fill="auto"/>
            <w:tcMar>
              <w:right w:w="85" w:type="dxa"/>
            </w:tcMar>
            <w:vAlign w:val="center"/>
          </w:tcPr>
          <w:p w:rsidR="00AA0BC7" w:rsidRPr="00696642" w:rsidRDefault="00AA0BC7" w:rsidP="00A77970">
            <w:pPr>
              <w:jc w:val="center"/>
              <w:rPr>
                <w:sz w:val="18"/>
                <w:szCs w:val="18"/>
              </w:rPr>
            </w:pPr>
            <w:r w:rsidRPr="00696642">
              <w:rPr>
                <w:sz w:val="18"/>
                <w:szCs w:val="18"/>
              </w:rPr>
              <w:t>278260</w:t>
            </w:r>
          </w:p>
        </w:tc>
        <w:tc>
          <w:tcPr>
            <w:tcW w:w="731" w:type="dxa"/>
            <w:tcBorders>
              <w:left w:val="single" w:sz="4" w:space="0" w:color="auto"/>
              <w:bottom w:val="single" w:sz="4" w:space="0" w:color="auto"/>
              <w:right w:val="single" w:sz="4" w:space="0" w:color="auto"/>
            </w:tcBorders>
            <w:shd w:val="clear" w:color="auto" w:fill="auto"/>
            <w:tcMar>
              <w:right w:w="85" w:type="dxa"/>
            </w:tcMar>
            <w:vAlign w:val="center"/>
          </w:tcPr>
          <w:p w:rsidR="00AA0BC7" w:rsidRPr="00696642" w:rsidRDefault="00AA0BC7" w:rsidP="00A77970">
            <w:pPr>
              <w:jc w:val="center"/>
              <w:rPr>
                <w:sz w:val="18"/>
                <w:szCs w:val="18"/>
              </w:rPr>
            </w:pPr>
            <w:r w:rsidRPr="00696642">
              <w:rPr>
                <w:sz w:val="18"/>
                <w:szCs w:val="18"/>
              </w:rPr>
              <w:t>235650</w:t>
            </w:r>
          </w:p>
        </w:tc>
      </w:tr>
    </w:tbl>
    <w:p w:rsidR="0061627C" w:rsidRDefault="001A0ECE" w:rsidP="00A77970">
      <w:pPr>
        <w:jc w:val="both"/>
        <w:outlineLvl w:val="1"/>
        <w:rPr>
          <w:kern w:val="28"/>
          <w:lang w:eastAsia="en-US"/>
        </w:rPr>
      </w:pPr>
      <w:bookmarkStart w:id="10" w:name="_Toc251680679"/>
      <w:bookmarkStart w:id="11" w:name="_Toc283308913"/>
      <w:bookmarkStart w:id="12" w:name="_Toc445282774"/>
      <w:r>
        <w:rPr>
          <w:kern w:val="28"/>
          <w:lang w:eastAsia="en-US"/>
        </w:rPr>
        <w:tab/>
      </w:r>
    </w:p>
    <w:p w:rsidR="007E3897" w:rsidRPr="007E3897" w:rsidRDefault="0061627C" w:rsidP="00A77970">
      <w:pPr>
        <w:jc w:val="both"/>
        <w:outlineLvl w:val="1"/>
        <w:rPr>
          <w:b/>
          <w:kern w:val="28"/>
          <w:lang w:eastAsia="en-US"/>
        </w:rPr>
      </w:pPr>
      <w:r>
        <w:rPr>
          <w:kern w:val="28"/>
          <w:lang w:eastAsia="en-US"/>
        </w:rPr>
        <w:tab/>
      </w:r>
      <w:r w:rsidR="00AA0BC7" w:rsidRPr="007041C9">
        <w:t xml:space="preserve">Înnoptările înregistrate în </w:t>
      </w:r>
      <w:r w:rsidR="00AA0BC7">
        <w:t xml:space="preserve">anul </w:t>
      </w:r>
      <w:r w:rsidR="00AA0BC7" w:rsidRPr="007041C9">
        <w:t>2018 în structurile de primire turistică au însumat 3</w:t>
      </w:r>
      <w:r w:rsidR="00AA0BC7">
        <w:t>.</w:t>
      </w:r>
      <w:r w:rsidR="00AA0BC7" w:rsidRPr="007041C9">
        <w:t>398</w:t>
      </w:r>
      <w:r w:rsidR="00AA0BC7">
        <w:t>.</w:t>
      </w:r>
      <w:r w:rsidR="00AA0BC7" w:rsidRPr="007041C9">
        <w:t xml:space="preserve">817, în creştere cu 1,15% faţă de cele din anul 2017. Durata medie a şederii s-a menţinut la aceeaşi valoare de 1,6 zile, ca şi în anul </w:t>
      </w:r>
      <w:r w:rsidR="00AA0BC7">
        <w:t>precedent</w:t>
      </w:r>
      <w:r w:rsidR="00AA0BC7" w:rsidRPr="007041C9">
        <w:t>.</w:t>
      </w:r>
      <w:r w:rsidR="007E3897" w:rsidRPr="007E3897">
        <w:rPr>
          <w:kern w:val="28"/>
          <w:szCs w:val="20"/>
          <w:lang w:val="en-US" w:eastAsia="en-US"/>
        </w:rPr>
        <w:t>  </w:t>
      </w:r>
    </w:p>
    <w:p w:rsidR="001A5F90" w:rsidRPr="0042550A" w:rsidRDefault="001A5F90" w:rsidP="00A77970">
      <w:pPr>
        <w:outlineLvl w:val="1"/>
        <w:rPr>
          <w:b/>
          <w:kern w:val="28"/>
          <w:lang w:eastAsia="en-US"/>
        </w:rPr>
      </w:pPr>
    </w:p>
    <w:p w:rsidR="007E3897" w:rsidRPr="0042550A" w:rsidRDefault="007E3897" w:rsidP="00A77970">
      <w:pPr>
        <w:outlineLvl w:val="1"/>
        <w:rPr>
          <w:b/>
          <w:kern w:val="28"/>
          <w:lang w:eastAsia="en-US"/>
        </w:rPr>
      </w:pPr>
      <w:r w:rsidRPr="0042550A">
        <w:rPr>
          <w:b/>
          <w:kern w:val="28"/>
          <w:lang w:eastAsia="en-US"/>
        </w:rPr>
        <w:t>Indicele de utilizare netă a locurilor de cazare</w:t>
      </w:r>
      <w:bookmarkEnd w:id="10"/>
      <w:bookmarkEnd w:id="11"/>
      <w:bookmarkEnd w:id="12"/>
      <w:r w:rsidRPr="0042550A">
        <w:rPr>
          <w:b/>
          <w:kern w:val="28"/>
          <w:lang w:eastAsia="en-US"/>
        </w:rPr>
        <w:t xml:space="preserve"> în total unităţi de cazare</w:t>
      </w:r>
    </w:p>
    <w:p w:rsidR="007E3897" w:rsidRPr="007E3897" w:rsidRDefault="007E3897" w:rsidP="00A77970">
      <w:pPr>
        <w:ind w:left="8640" w:firstLine="720"/>
        <w:jc w:val="right"/>
        <w:rPr>
          <w:kern w:val="28"/>
          <w:sz w:val="18"/>
          <w:szCs w:val="18"/>
          <w:lang w:eastAsia="en-US"/>
        </w:rPr>
      </w:pPr>
      <w:r w:rsidRPr="007E3897">
        <w:rPr>
          <w:kern w:val="28"/>
          <w:sz w:val="18"/>
          <w:szCs w:val="18"/>
          <w:lang w:eastAsia="en-US"/>
        </w:rPr>
        <w:t xml:space="preserve">- </w:t>
      </w:r>
      <w:r w:rsidR="00285180">
        <w:rPr>
          <w:kern w:val="28"/>
          <w:sz w:val="18"/>
          <w:szCs w:val="18"/>
          <w:lang w:eastAsia="en-US"/>
        </w:rPr>
        <w:t>procent</w:t>
      </w:r>
      <w:r w:rsidRPr="007E3897">
        <w:rPr>
          <w:kern w:val="28"/>
          <w:sz w:val="18"/>
          <w:szCs w:val="18"/>
          <w:lang w:eastAsia="en-US"/>
        </w:rPr>
        <w:t xml:space="preserve"> -</w:t>
      </w:r>
    </w:p>
    <w:tbl>
      <w:tblPr>
        <w:tblW w:w="10327" w:type="dxa"/>
        <w:tblInd w:w="-5" w:type="dxa"/>
        <w:tblLayout w:type="fixed"/>
        <w:tblCellMar>
          <w:left w:w="0" w:type="dxa"/>
          <w:right w:w="0" w:type="dxa"/>
        </w:tblCellMar>
        <w:tblLook w:val="0000"/>
      </w:tblPr>
      <w:tblGrid>
        <w:gridCol w:w="2268"/>
        <w:gridCol w:w="671"/>
        <w:gridCol w:w="672"/>
        <w:gridCol w:w="671"/>
        <w:gridCol w:w="672"/>
        <w:gridCol w:w="671"/>
        <w:gridCol w:w="672"/>
        <w:gridCol w:w="672"/>
        <w:gridCol w:w="671"/>
        <w:gridCol w:w="672"/>
        <w:gridCol w:w="671"/>
        <w:gridCol w:w="672"/>
        <w:gridCol w:w="672"/>
      </w:tblGrid>
      <w:tr w:rsidR="001A5F90" w:rsidRPr="004251F1" w:rsidTr="001A5F90">
        <w:trPr>
          <w:cantSplit/>
          <w:trHeight w:val="272"/>
        </w:trPr>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5F90" w:rsidRPr="001A5F90" w:rsidRDefault="001A5F90" w:rsidP="00A77970">
            <w:pPr>
              <w:jc w:val="center"/>
              <w:rPr>
                <w:rFonts w:eastAsia="Arial Unicode MS"/>
                <w:b/>
              </w:rPr>
            </w:pPr>
          </w:p>
        </w:tc>
        <w:tc>
          <w:tcPr>
            <w:tcW w:w="8059" w:type="dxa"/>
            <w:gridSpan w:val="1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5F90" w:rsidRPr="001A5F90" w:rsidRDefault="001A5F90" w:rsidP="00A77970">
            <w:pPr>
              <w:jc w:val="center"/>
              <w:rPr>
                <w:rFonts w:eastAsia="Arial Unicode MS"/>
                <w:b/>
              </w:rPr>
            </w:pPr>
            <w:r w:rsidRPr="001A5F90">
              <w:rPr>
                <w:rFonts w:eastAsia="Arial Unicode MS"/>
                <w:b/>
              </w:rPr>
              <w:t>Anul 2018</w:t>
            </w:r>
          </w:p>
        </w:tc>
      </w:tr>
      <w:tr w:rsidR="001A5F90" w:rsidRPr="004251F1" w:rsidTr="001A5F90">
        <w:trPr>
          <w:cantSplit/>
          <w:trHeight w:val="325"/>
        </w:trPr>
        <w:tc>
          <w:tcPr>
            <w:tcW w:w="226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5F90" w:rsidRPr="001A5F90" w:rsidRDefault="001A5F90" w:rsidP="00A77970">
            <w:pPr>
              <w:rPr>
                <w:rFonts w:eastAsia="Arial Unicode MS"/>
                <w:b/>
              </w:rPr>
            </w:pPr>
          </w:p>
        </w:tc>
        <w:tc>
          <w:tcPr>
            <w:tcW w:w="6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5F90" w:rsidRPr="004251F1" w:rsidRDefault="001A5F90" w:rsidP="00A77970">
            <w:pPr>
              <w:jc w:val="center"/>
              <w:rPr>
                <w:rFonts w:eastAsia="Arial Unicode MS"/>
                <w:b/>
                <w:sz w:val="18"/>
                <w:szCs w:val="18"/>
              </w:rPr>
            </w:pPr>
            <w:r w:rsidRPr="004251F1">
              <w:rPr>
                <w:rFonts w:eastAsia="Arial Unicode MS"/>
                <w:b/>
                <w:sz w:val="18"/>
                <w:szCs w:val="18"/>
              </w:rPr>
              <w:t>ian.</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5F90" w:rsidRPr="004251F1" w:rsidRDefault="001A5F90" w:rsidP="00A77970">
            <w:pPr>
              <w:jc w:val="center"/>
              <w:rPr>
                <w:rFonts w:eastAsia="Arial Unicode MS"/>
                <w:b/>
                <w:sz w:val="18"/>
                <w:szCs w:val="18"/>
              </w:rPr>
            </w:pPr>
            <w:r w:rsidRPr="004251F1">
              <w:rPr>
                <w:b/>
                <w:sz w:val="18"/>
                <w:szCs w:val="18"/>
              </w:rPr>
              <w:t>feb.</w:t>
            </w:r>
          </w:p>
        </w:tc>
        <w:tc>
          <w:tcPr>
            <w:tcW w:w="6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5F90" w:rsidRPr="004251F1" w:rsidRDefault="001A5F90" w:rsidP="00A77970">
            <w:pPr>
              <w:jc w:val="center"/>
              <w:rPr>
                <w:rFonts w:eastAsia="Arial Unicode MS"/>
                <w:b/>
                <w:sz w:val="18"/>
                <w:szCs w:val="18"/>
              </w:rPr>
            </w:pPr>
            <w:r w:rsidRPr="004251F1">
              <w:rPr>
                <w:b/>
                <w:sz w:val="18"/>
                <w:szCs w:val="18"/>
              </w:rPr>
              <w:t>mar.</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5F90" w:rsidRPr="004251F1" w:rsidRDefault="001A5F90" w:rsidP="00A77970">
            <w:pPr>
              <w:jc w:val="center"/>
              <w:rPr>
                <w:rFonts w:eastAsia="Arial Unicode MS"/>
                <w:b/>
                <w:sz w:val="18"/>
                <w:szCs w:val="18"/>
              </w:rPr>
            </w:pPr>
            <w:r w:rsidRPr="004251F1">
              <w:rPr>
                <w:b/>
                <w:sz w:val="18"/>
                <w:szCs w:val="18"/>
              </w:rPr>
              <w:t>apr.</w:t>
            </w:r>
          </w:p>
        </w:tc>
        <w:tc>
          <w:tcPr>
            <w:tcW w:w="6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5F90" w:rsidRPr="004251F1" w:rsidRDefault="001A5F90" w:rsidP="00A77970">
            <w:pPr>
              <w:jc w:val="center"/>
              <w:rPr>
                <w:rFonts w:eastAsia="Arial Unicode MS"/>
                <w:b/>
                <w:sz w:val="18"/>
                <w:szCs w:val="18"/>
              </w:rPr>
            </w:pPr>
            <w:r w:rsidRPr="004251F1">
              <w:rPr>
                <w:b/>
                <w:sz w:val="18"/>
                <w:szCs w:val="18"/>
              </w:rPr>
              <w:t>mai</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5F90" w:rsidRPr="004251F1" w:rsidRDefault="001A5F90" w:rsidP="00A77970">
            <w:pPr>
              <w:jc w:val="center"/>
              <w:rPr>
                <w:rFonts w:eastAsia="Arial Unicode MS"/>
                <w:b/>
                <w:sz w:val="18"/>
                <w:szCs w:val="18"/>
              </w:rPr>
            </w:pPr>
            <w:r w:rsidRPr="004251F1">
              <w:rPr>
                <w:rFonts w:eastAsia="Arial Unicode MS"/>
                <w:b/>
                <w:sz w:val="18"/>
                <w:szCs w:val="18"/>
              </w:rPr>
              <w:t>iun.</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5F90" w:rsidRPr="004251F1" w:rsidRDefault="001A5F90" w:rsidP="00A77970">
            <w:pPr>
              <w:jc w:val="center"/>
              <w:rPr>
                <w:rFonts w:eastAsia="Arial Unicode MS"/>
                <w:b/>
                <w:sz w:val="18"/>
                <w:szCs w:val="18"/>
              </w:rPr>
            </w:pPr>
            <w:r w:rsidRPr="004251F1">
              <w:rPr>
                <w:rFonts w:eastAsia="Arial Unicode MS"/>
                <w:b/>
                <w:sz w:val="18"/>
                <w:szCs w:val="18"/>
              </w:rPr>
              <w:t>iul.</w:t>
            </w:r>
          </w:p>
        </w:tc>
        <w:tc>
          <w:tcPr>
            <w:tcW w:w="6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5F90" w:rsidRPr="004251F1" w:rsidRDefault="001A5F90" w:rsidP="00A77970">
            <w:pPr>
              <w:jc w:val="center"/>
              <w:rPr>
                <w:rFonts w:eastAsia="Arial Unicode MS"/>
                <w:b/>
                <w:sz w:val="18"/>
                <w:szCs w:val="18"/>
              </w:rPr>
            </w:pPr>
            <w:r w:rsidRPr="004251F1">
              <w:rPr>
                <w:rFonts w:eastAsia="Arial Unicode MS"/>
                <w:b/>
                <w:sz w:val="18"/>
                <w:szCs w:val="18"/>
              </w:rPr>
              <w:t>aug.</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5F90" w:rsidRPr="004251F1" w:rsidRDefault="001A5F90" w:rsidP="00A77970">
            <w:pPr>
              <w:jc w:val="center"/>
              <w:rPr>
                <w:rFonts w:eastAsia="Arial Unicode MS"/>
                <w:b/>
                <w:sz w:val="18"/>
                <w:szCs w:val="18"/>
              </w:rPr>
            </w:pPr>
            <w:r w:rsidRPr="004251F1">
              <w:rPr>
                <w:rFonts w:eastAsia="Arial Unicode MS"/>
                <w:b/>
                <w:sz w:val="18"/>
                <w:szCs w:val="18"/>
              </w:rPr>
              <w:t>sep.</w:t>
            </w:r>
          </w:p>
        </w:tc>
        <w:tc>
          <w:tcPr>
            <w:tcW w:w="6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5F90" w:rsidRPr="004251F1" w:rsidRDefault="001A5F90" w:rsidP="00A77970">
            <w:pPr>
              <w:jc w:val="center"/>
              <w:rPr>
                <w:rFonts w:eastAsia="Arial Unicode MS"/>
                <w:b/>
                <w:sz w:val="18"/>
                <w:szCs w:val="18"/>
              </w:rPr>
            </w:pPr>
            <w:r w:rsidRPr="004251F1">
              <w:rPr>
                <w:rFonts w:eastAsia="Arial Unicode MS"/>
                <w:b/>
                <w:sz w:val="18"/>
                <w:szCs w:val="18"/>
              </w:rPr>
              <w:t>oct.</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5F90" w:rsidRPr="004251F1" w:rsidRDefault="001A5F90" w:rsidP="00A77970">
            <w:pPr>
              <w:jc w:val="center"/>
              <w:rPr>
                <w:rFonts w:eastAsia="Arial Unicode MS"/>
                <w:b/>
                <w:sz w:val="18"/>
                <w:szCs w:val="18"/>
              </w:rPr>
            </w:pPr>
            <w:r w:rsidRPr="004251F1">
              <w:rPr>
                <w:rFonts w:eastAsia="Arial Unicode MS"/>
                <w:b/>
                <w:sz w:val="18"/>
                <w:szCs w:val="18"/>
              </w:rPr>
              <w:t>nov.</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5F90" w:rsidRPr="004251F1" w:rsidRDefault="001A5F90" w:rsidP="00A77970">
            <w:pPr>
              <w:jc w:val="center"/>
              <w:rPr>
                <w:rFonts w:eastAsia="Arial Unicode MS"/>
                <w:b/>
                <w:sz w:val="18"/>
                <w:szCs w:val="18"/>
              </w:rPr>
            </w:pPr>
            <w:r w:rsidRPr="004251F1">
              <w:rPr>
                <w:rFonts w:eastAsia="Arial Unicode MS"/>
                <w:b/>
                <w:sz w:val="18"/>
                <w:szCs w:val="18"/>
              </w:rPr>
              <w:t>dec.</w:t>
            </w:r>
          </w:p>
        </w:tc>
      </w:tr>
      <w:tr w:rsidR="001A5F90" w:rsidRPr="004251F1" w:rsidTr="001A5F90">
        <w:trPr>
          <w:cantSplit/>
          <w:trHeight w:val="361"/>
        </w:trPr>
        <w:tc>
          <w:tcPr>
            <w:tcW w:w="2268" w:type="dxa"/>
            <w:tcBorders>
              <w:top w:val="single" w:sz="4" w:space="0" w:color="auto"/>
              <w:left w:val="single" w:sz="4" w:space="0" w:color="auto"/>
              <w:bottom w:val="single" w:sz="4" w:space="0" w:color="auto"/>
              <w:right w:val="single" w:sz="4" w:space="0" w:color="auto"/>
            </w:tcBorders>
            <w:vAlign w:val="center"/>
          </w:tcPr>
          <w:p w:rsidR="001A5F90" w:rsidRPr="001A5F90" w:rsidRDefault="001A5F90" w:rsidP="00A77970">
            <w:pPr>
              <w:ind w:left="113"/>
              <w:rPr>
                <w:b/>
              </w:rPr>
            </w:pPr>
            <w:r w:rsidRPr="001A5F90">
              <w:rPr>
                <w:b/>
              </w:rPr>
              <w:t>Indicele de utilizare netă a locurilor de cazare</w:t>
            </w:r>
          </w:p>
        </w:tc>
        <w:tc>
          <w:tcPr>
            <w:tcW w:w="671" w:type="dxa"/>
            <w:tcBorders>
              <w:top w:val="single" w:sz="4" w:space="0" w:color="auto"/>
              <w:left w:val="single" w:sz="4" w:space="0" w:color="auto"/>
              <w:bottom w:val="single" w:sz="4" w:space="0" w:color="auto"/>
              <w:right w:val="single" w:sz="4" w:space="0" w:color="auto"/>
            </w:tcBorders>
            <w:tcMar>
              <w:right w:w="113" w:type="dxa"/>
            </w:tcMar>
            <w:vAlign w:val="center"/>
          </w:tcPr>
          <w:p w:rsidR="001A5F90" w:rsidRPr="001A5F90" w:rsidRDefault="001A5F90" w:rsidP="00A77970">
            <w:pPr>
              <w:jc w:val="center"/>
              <w:rPr>
                <w:b/>
                <w:bCs/>
              </w:rPr>
            </w:pPr>
            <w:r w:rsidRPr="001A5F90">
              <w:rPr>
                <w:b/>
                <w:bCs/>
              </w:rPr>
              <w:t>32,5</w:t>
            </w:r>
          </w:p>
        </w:tc>
        <w:tc>
          <w:tcPr>
            <w:tcW w:w="672" w:type="dxa"/>
            <w:tcBorders>
              <w:top w:val="single" w:sz="4" w:space="0" w:color="auto"/>
              <w:left w:val="single" w:sz="4" w:space="0" w:color="auto"/>
              <w:bottom w:val="single" w:sz="4" w:space="0" w:color="auto"/>
              <w:right w:val="single" w:sz="4" w:space="0" w:color="auto"/>
            </w:tcBorders>
            <w:tcMar>
              <w:right w:w="113" w:type="dxa"/>
            </w:tcMar>
            <w:vAlign w:val="center"/>
          </w:tcPr>
          <w:p w:rsidR="001A5F90" w:rsidRPr="001A5F90" w:rsidRDefault="001A5F90" w:rsidP="00A77970">
            <w:pPr>
              <w:jc w:val="center"/>
              <w:rPr>
                <w:b/>
                <w:bCs/>
              </w:rPr>
            </w:pPr>
            <w:r w:rsidRPr="001A5F90">
              <w:rPr>
                <w:b/>
                <w:bCs/>
              </w:rPr>
              <w:t>38,0</w:t>
            </w:r>
          </w:p>
        </w:tc>
        <w:tc>
          <w:tcPr>
            <w:tcW w:w="671" w:type="dxa"/>
            <w:tcBorders>
              <w:top w:val="single" w:sz="4" w:space="0" w:color="auto"/>
              <w:left w:val="single" w:sz="4" w:space="0" w:color="auto"/>
              <w:bottom w:val="single" w:sz="4" w:space="0" w:color="auto"/>
              <w:right w:val="single" w:sz="4" w:space="0" w:color="auto"/>
            </w:tcBorders>
            <w:tcMar>
              <w:right w:w="113" w:type="dxa"/>
            </w:tcMar>
            <w:vAlign w:val="center"/>
          </w:tcPr>
          <w:p w:rsidR="001A5F90" w:rsidRPr="001A5F90" w:rsidRDefault="001A5F90" w:rsidP="00A77970">
            <w:pPr>
              <w:jc w:val="center"/>
              <w:rPr>
                <w:b/>
                <w:bCs/>
              </w:rPr>
            </w:pPr>
            <w:r w:rsidRPr="001A5F90">
              <w:rPr>
                <w:b/>
                <w:bCs/>
              </w:rPr>
              <w:t>42,5</w:t>
            </w:r>
          </w:p>
        </w:tc>
        <w:tc>
          <w:tcPr>
            <w:tcW w:w="672" w:type="dxa"/>
            <w:tcBorders>
              <w:top w:val="single" w:sz="4" w:space="0" w:color="auto"/>
              <w:left w:val="single" w:sz="4" w:space="0" w:color="auto"/>
              <w:bottom w:val="single" w:sz="4" w:space="0" w:color="auto"/>
              <w:right w:val="single" w:sz="4" w:space="0" w:color="auto"/>
            </w:tcBorders>
            <w:tcMar>
              <w:right w:w="113" w:type="dxa"/>
            </w:tcMar>
            <w:vAlign w:val="center"/>
          </w:tcPr>
          <w:p w:rsidR="001A5F90" w:rsidRPr="001A5F90" w:rsidRDefault="001A5F90" w:rsidP="00A77970">
            <w:pPr>
              <w:jc w:val="center"/>
              <w:rPr>
                <w:b/>
                <w:bCs/>
              </w:rPr>
            </w:pPr>
            <w:r w:rsidRPr="001A5F90">
              <w:rPr>
                <w:b/>
                <w:bCs/>
              </w:rPr>
              <w:t>41,9</w:t>
            </w:r>
          </w:p>
        </w:tc>
        <w:tc>
          <w:tcPr>
            <w:tcW w:w="671" w:type="dxa"/>
            <w:tcBorders>
              <w:top w:val="single" w:sz="4" w:space="0" w:color="auto"/>
              <w:left w:val="single" w:sz="4" w:space="0" w:color="auto"/>
              <w:bottom w:val="single" w:sz="4" w:space="0" w:color="auto"/>
              <w:right w:val="single" w:sz="4" w:space="0" w:color="auto"/>
            </w:tcBorders>
            <w:tcMar>
              <w:right w:w="113" w:type="dxa"/>
            </w:tcMar>
            <w:vAlign w:val="center"/>
          </w:tcPr>
          <w:p w:rsidR="001A5F90" w:rsidRPr="001A5F90" w:rsidRDefault="001A5F90" w:rsidP="00A77970">
            <w:pPr>
              <w:jc w:val="center"/>
              <w:rPr>
                <w:b/>
                <w:bCs/>
              </w:rPr>
            </w:pPr>
            <w:r w:rsidRPr="001A5F90">
              <w:rPr>
                <w:b/>
                <w:bCs/>
              </w:rPr>
              <w:t>47,7</w:t>
            </w:r>
          </w:p>
        </w:tc>
        <w:tc>
          <w:tcPr>
            <w:tcW w:w="672" w:type="dxa"/>
            <w:tcBorders>
              <w:top w:val="single" w:sz="4" w:space="0" w:color="auto"/>
              <w:left w:val="single" w:sz="4" w:space="0" w:color="auto"/>
              <w:bottom w:val="single" w:sz="4" w:space="0" w:color="auto"/>
              <w:right w:val="single" w:sz="4" w:space="0" w:color="auto"/>
            </w:tcBorders>
            <w:tcMar>
              <w:right w:w="113" w:type="dxa"/>
            </w:tcMar>
            <w:vAlign w:val="center"/>
          </w:tcPr>
          <w:p w:rsidR="001A5F90" w:rsidRPr="001A5F90" w:rsidRDefault="001A5F90" w:rsidP="00A77970">
            <w:pPr>
              <w:jc w:val="center"/>
              <w:rPr>
                <w:b/>
                <w:bCs/>
              </w:rPr>
            </w:pPr>
            <w:r w:rsidRPr="001A5F90">
              <w:rPr>
                <w:b/>
                <w:bCs/>
              </w:rPr>
              <w:t>48,9</w:t>
            </w:r>
          </w:p>
        </w:tc>
        <w:tc>
          <w:tcPr>
            <w:tcW w:w="672" w:type="dxa"/>
            <w:tcBorders>
              <w:top w:val="single" w:sz="4" w:space="0" w:color="auto"/>
              <w:left w:val="single" w:sz="4" w:space="0" w:color="auto"/>
              <w:bottom w:val="single" w:sz="4" w:space="0" w:color="auto"/>
              <w:right w:val="single" w:sz="4" w:space="0" w:color="auto"/>
            </w:tcBorders>
            <w:tcMar>
              <w:right w:w="113" w:type="dxa"/>
            </w:tcMar>
            <w:vAlign w:val="center"/>
          </w:tcPr>
          <w:p w:rsidR="001A5F90" w:rsidRPr="001A5F90" w:rsidRDefault="001A5F90" w:rsidP="00A77970">
            <w:pPr>
              <w:jc w:val="center"/>
              <w:rPr>
                <w:b/>
                <w:bCs/>
              </w:rPr>
            </w:pPr>
            <w:r w:rsidRPr="001A5F90">
              <w:rPr>
                <w:b/>
                <w:bCs/>
              </w:rPr>
              <w:t>45,4</w:t>
            </w:r>
          </w:p>
        </w:tc>
        <w:tc>
          <w:tcPr>
            <w:tcW w:w="671" w:type="dxa"/>
            <w:tcBorders>
              <w:top w:val="single" w:sz="4" w:space="0" w:color="auto"/>
              <w:left w:val="single" w:sz="4" w:space="0" w:color="auto"/>
              <w:bottom w:val="single" w:sz="4" w:space="0" w:color="auto"/>
              <w:right w:val="single" w:sz="4" w:space="0" w:color="auto"/>
            </w:tcBorders>
            <w:tcMar>
              <w:right w:w="113" w:type="dxa"/>
            </w:tcMar>
            <w:vAlign w:val="center"/>
          </w:tcPr>
          <w:p w:rsidR="001A5F90" w:rsidRPr="001A5F90" w:rsidRDefault="001A5F90" w:rsidP="00A77970">
            <w:pPr>
              <w:jc w:val="center"/>
              <w:rPr>
                <w:b/>
                <w:bCs/>
              </w:rPr>
            </w:pPr>
            <w:r w:rsidRPr="001A5F90">
              <w:rPr>
                <w:b/>
                <w:bCs/>
              </w:rPr>
              <w:t>44,2</w:t>
            </w:r>
          </w:p>
        </w:tc>
        <w:tc>
          <w:tcPr>
            <w:tcW w:w="672" w:type="dxa"/>
            <w:tcBorders>
              <w:top w:val="single" w:sz="4" w:space="0" w:color="auto"/>
              <w:left w:val="single" w:sz="4" w:space="0" w:color="auto"/>
              <w:bottom w:val="single" w:sz="4" w:space="0" w:color="auto"/>
              <w:right w:val="single" w:sz="4" w:space="0" w:color="auto"/>
            </w:tcBorders>
            <w:tcMar>
              <w:right w:w="113" w:type="dxa"/>
            </w:tcMar>
            <w:vAlign w:val="center"/>
          </w:tcPr>
          <w:p w:rsidR="001A5F90" w:rsidRPr="001A5F90" w:rsidRDefault="001A5F90" w:rsidP="00A77970">
            <w:pPr>
              <w:jc w:val="center"/>
              <w:rPr>
                <w:b/>
                <w:bCs/>
              </w:rPr>
            </w:pPr>
            <w:r w:rsidRPr="001A5F90">
              <w:rPr>
                <w:b/>
                <w:bCs/>
              </w:rPr>
              <w:t>50,2</w:t>
            </w:r>
          </w:p>
        </w:tc>
        <w:tc>
          <w:tcPr>
            <w:tcW w:w="671" w:type="dxa"/>
            <w:tcBorders>
              <w:top w:val="single" w:sz="4" w:space="0" w:color="auto"/>
              <w:left w:val="single" w:sz="4" w:space="0" w:color="auto"/>
              <w:bottom w:val="single" w:sz="4" w:space="0" w:color="auto"/>
              <w:right w:val="single" w:sz="4" w:space="0" w:color="auto"/>
            </w:tcBorders>
            <w:tcMar>
              <w:right w:w="113" w:type="dxa"/>
            </w:tcMar>
            <w:vAlign w:val="center"/>
          </w:tcPr>
          <w:p w:rsidR="001A5F90" w:rsidRPr="001A5F90" w:rsidRDefault="001A5F90" w:rsidP="00A77970">
            <w:pPr>
              <w:jc w:val="center"/>
              <w:rPr>
                <w:b/>
                <w:bCs/>
              </w:rPr>
            </w:pPr>
            <w:r w:rsidRPr="001A5F90">
              <w:rPr>
                <w:b/>
                <w:bCs/>
              </w:rPr>
              <w:t>47,7</w:t>
            </w:r>
          </w:p>
        </w:tc>
        <w:tc>
          <w:tcPr>
            <w:tcW w:w="672" w:type="dxa"/>
            <w:tcBorders>
              <w:top w:val="single" w:sz="4" w:space="0" w:color="auto"/>
              <w:left w:val="single" w:sz="4" w:space="0" w:color="auto"/>
              <w:bottom w:val="single" w:sz="4" w:space="0" w:color="auto"/>
              <w:right w:val="single" w:sz="4" w:space="0" w:color="auto"/>
            </w:tcBorders>
            <w:shd w:val="clear" w:color="auto" w:fill="auto"/>
            <w:tcMar>
              <w:right w:w="113" w:type="dxa"/>
            </w:tcMar>
            <w:vAlign w:val="center"/>
          </w:tcPr>
          <w:p w:rsidR="001A5F90" w:rsidRPr="001A5F90" w:rsidRDefault="001A5F90" w:rsidP="00A77970">
            <w:pPr>
              <w:jc w:val="center"/>
              <w:rPr>
                <w:b/>
                <w:bCs/>
              </w:rPr>
            </w:pPr>
            <w:r w:rsidRPr="001A5F90">
              <w:rPr>
                <w:b/>
                <w:bCs/>
              </w:rPr>
              <w:t>45,5</w:t>
            </w:r>
          </w:p>
        </w:tc>
        <w:tc>
          <w:tcPr>
            <w:tcW w:w="672" w:type="dxa"/>
            <w:tcBorders>
              <w:top w:val="single" w:sz="4" w:space="0" w:color="auto"/>
              <w:left w:val="single" w:sz="4" w:space="0" w:color="auto"/>
              <w:bottom w:val="single" w:sz="4" w:space="0" w:color="auto"/>
              <w:right w:val="single" w:sz="4" w:space="0" w:color="auto"/>
            </w:tcBorders>
            <w:shd w:val="clear" w:color="auto" w:fill="auto"/>
            <w:tcMar>
              <w:right w:w="113" w:type="dxa"/>
            </w:tcMar>
            <w:vAlign w:val="center"/>
          </w:tcPr>
          <w:p w:rsidR="001A5F90" w:rsidRPr="001A5F90" w:rsidRDefault="001A5F90" w:rsidP="00A77970">
            <w:pPr>
              <w:jc w:val="center"/>
              <w:rPr>
                <w:b/>
              </w:rPr>
            </w:pPr>
            <w:r w:rsidRPr="001A5F90">
              <w:rPr>
                <w:b/>
              </w:rPr>
              <w:t>37,0</w:t>
            </w:r>
          </w:p>
        </w:tc>
      </w:tr>
    </w:tbl>
    <w:p w:rsidR="007E3897" w:rsidRPr="007E3897" w:rsidRDefault="007E3897" w:rsidP="00A77970">
      <w:pPr>
        <w:ind w:firstLine="720"/>
        <w:jc w:val="both"/>
        <w:rPr>
          <w:kern w:val="28"/>
          <w:szCs w:val="20"/>
          <w:lang w:eastAsia="en-US"/>
        </w:rPr>
      </w:pPr>
    </w:p>
    <w:p w:rsidR="007E3897" w:rsidRDefault="001A0ECE" w:rsidP="00A77970">
      <w:pPr>
        <w:jc w:val="both"/>
      </w:pPr>
      <w:r>
        <w:rPr>
          <w:b/>
          <w:kern w:val="28"/>
          <w:lang w:eastAsia="en-US"/>
        </w:rPr>
        <w:tab/>
      </w:r>
      <w:r w:rsidR="001A5F90" w:rsidRPr="00D43C93">
        <w:rPr>
          <w:b/>
        </w:rPr>
        <w:t>Indicele de utilizare netă a locurilor de cazare</w:t>
      </w:r>
      <w:r w:rsidR="001A5F90" w:rsidRPr="00D43C93">
        <w:t>, calculat ca raport între numărul de înnoptări şi capacitatea turistică în funcţiune exprimată în locuri-zile, a înregistrat ce</w:t>
      </w:r>
      <w:r w:rsidR="001A5F90">
        <w:t>le mai mari valori în luna septembrie a fiecărui an: 51,8% în 2017 şi 50,2% în 2018.</w:t>
      </w:r>
    </w:p>
    <w:p w:rsidR="00B94DC6" w:rsidRDefault="00B94DC6" w:rsidP="00A77970">
      <w:pPr>
        <w:jc w:val="both"/>
      </w:pPr>
    </w:p>
    <w:p w:rsidR="00B94DC6" w:rsidRDefault="00B94DC6" w:rsidP="00A77970">
      <w:pPr>
        <w:jc w:val="both"/>
      </w:pPr>
    </w:p>
    <w:p w:rsidR="00B94DC6" w:rsidRPr="007E3897" w:rsidRDefault="00B94DC6" w:rsidP="00A77970">
      <w:pPr>
        <w:jc w:val="both"/>
        <w:rPr>
          <w:kern w:val="28"/>
          <w:lang w:eastAsia="en-US"/>
        </w:rPr>
      </w:pPr>
    </w:p>
    <w:p w:rsidR="00D466FA" w:rsidRDefault="00BB0C96" w:rsidP="00A77970">
      <w:pPr>
        <w:pStyle w:val="ListParagraph"/>
        <w:numPr>
          <w:ilvl w:val="0"/>
          <w:numId w:val="2"/>
        </w:numPr>
        <w:tabs>
          <w:tab w:val="left" w:pos="993"/>
        </w:tabs>
        <w:jc w:val="both"/>
      </w:pPr>
      <w:r w:rsidRPr="00756F46">
        <w:t>Transporturi</w:t>
      </w:r>
    </w:p>
    <w:p w:rsidR="007E3897" w:rsidRPr="005257AF" w:rsidRDefault="007E3897" w:rsidP="00A77970">
      <w:pPr>
        <w:tabs>
          <w:tab w:val="left" w:pos="993"/>
        </w:tabs>
        <w:jc w:val="both"/>
      </w:pPr>
    </w:p>
    <w:p w:rsidR="007E3897" w:rsidRPr="00285180" w:rsidRDefault="00285180" w:rsidP="00A77970">
      <w:pPr>
        <w:ind w:firstLine="709"/>
        <w:jc w:val="both"/>
        <w:outlineLvl w:val="1"/>
        <w:rPr>
          <w:b/>
          <w:lang w:val="en-US" w:eastAsia="en-US"/>
        </w:rPr>
      </w:pPr>
      <w:bookmarkStart w:id="13" w:name="_Toc445282767"/>
      <w:bookmarkStart w:id="14" w:name="_Toc283308919"/>
      <w:r w:rsidRPr="00285180">
        <w:rPr>
          <w:kern w:val="28"/>
          <w:lang w:val="en-US" w:eastAsia="en-US"/>
        </w:rPr>
        <w:t>Conform informațiilor furnizate de Direcţia Regim Permise de Conducere şi Înmatriculare a Vehiculelor, din cadrul Ministerului Afacerilor Interne</w:t>
      </w:r>
      <w:r>
        <w:rPr>
          <w:b/>
          <w:lang w:eastAsia="en-US"/>
        </w:rPr>
        <w:t>, evoluția numărului de v</w:t>
      </w:r>
      <w:r w:rsidR="007E3897" w:rsidRPr="005257AF">
        <w:rPr>
          <w:b/>
          <w:lang w:eastAsia="en-US"/>
        </w:rPr>
        <w:t>ehicule rutiere înmatriculate în circulaţie la începutul anului,</w:t>
      </w:r>
      <w:bookmarkEnd w:id="13"/>
      <w:r w:rsidR="007E3897" w:rsidRPr="005257AF">
        <w:rPr>
          <w:b/>
          <w:lang w:eastAsia="en-US"/>
        </w:rPr>
        <w:t xml:space="preserve"> </w:t>
      </w:r>
      <w:bookmarkStart w:id="15" w:name="_Toc445282768"/>
      <w:r w:rsidR="007E3897" w:rsidRPr="00285180">
        <w:rPr>
          <w:lang w:eastAsia="en-US"/>
        </w:rPr>
        <w:t>pe tipuri de vehicule şi forme de proprietate</w:t>
      </w:r>
      <w:bookmarkEnd w:id="14"/>
      <w:bookmarkEnd w:id="15"/>
      <w:r>
        <w:rPr>
          <w:b/>
          <w:lang w:eastAsia="en-US"/>
        </w:rPr>
        <w:t xml:space="preserve">, </w:t>
      </w:r>
      <w:r w:rsidRPr="00285180">
        <w:rPr>
          <w:lang w:eastAsia="en-US"/>
        </w:rPr>
        <w:t>este reflectatată în următorul tabel</w:t>
      </w:r>
      <w:r w:rsidRPr="00285180">
        <w:rPr>
          <w:lang w:val="en-US" w:eastAsia="en-US"/>
        </w:rPr>
        <w:t>:</w:t>
      </w:r>
    </w:p>
    <w:p w:rsidR="007E3897" w:rsidRPr="007E3897" w:rsidRDefault="007E3897" w:rsidP="00A77970">
      <w:pPr>
        <w:jc w:val="right"/>
        <w:rPr>
          <w:kern w:val="28"/>
          <w:sz w:val="18"/>
          <w:szCs w:val="18"/>
          <w:lang w:eastAsia="en-US"/>
        </w:rPr>
      </w:pPr>
      <w:r w:rsidRPr="007E3897">
        <w:rPr>
          <w:kern w:val="28"/>
          <w:sz w:val="18"/>
          <w:szCs w:val="18"/>
          <w:lang w:eastAsia="en-US"/>
        </w:rPr>
        <w:t>- număr -</w:t>
      </w:r>
    </w:p>
    <w:tbl>
      <w:tblPr>
        <w:tblW w:w="1021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29"/>
        <w:gridCol w:w="1275"/>
        <w:gridCol w:w="768"/>
        <w:gridCol w:w="768"/>
        <w:gridCol w:w="768"/>
        <w:gridCol w:w="768"/>
        <w:gridCol w:w="768"/>
        <w:gridCol w:w="768"/>
        <w:gridCol w:w="768"/>
        <w:gridCol w:w="768"/>
        <w:gridCol w:w="769"/>
      </w:tblGrid>
      <w:tr w:rsidR="001A5F90" w:rsidRPr="002649C1" w:rsidTr="001A5F90">
        <w:trPr>
          <w:trHeight w:val="703"/>
        </w:trPr>
        <w:tc>
          <w:tcPr>
            <w:tcW w:w="2029" w:type="dxa"/>
            <w:tcBorders>
              <w:top w:val="single" w:sz="4" w:space="0" w:color="auto"/>
            </w:tcBorders>
            <w:shd w:val="clear" w:color="auto" w:fill="FFFFFF" w:themeFill="background1"/>
            <w:vAlign w:val="center"/>
          </w:tcPr>
          <w:p w:rsidR="001A5F90" w:rsidRPr="002649C1" w:rsidRDefault="001A5F90" w:rsidP="00A77970">
            <w:pPr>
              <w:jc w:val="center"/>
              <w:rPr>
                <w:b/>
                <w:bCs/>
                <w:sz w:val="18"/>
                <w:szCs w:val="18"/>
              </w:rPr>
            </w:pPr>
            <w:r w:rsidRPr="002649C1">
              <w:rPr>
                <w:b/>
                <w:bCs/>
                <w:sz w:val="18"/>
                <w:szCs w:val="18"/>
              </w:rPr>
              <w:t>Tipuri de vehicule rutiere</w:t>
            </w:r>
          </w:p>
        </w:tc>
        <w:tc>
          <w:tcPr>
            <w:tcW w:w="1275" w:type="dxa"/>
            <w:tcBorders>
              <w:top w:val="single" w:sz="4" w:space="0" w:color="auto"/>
            </w:tcBorders>
            <w:shd w:val="clear" w:color="auto" w:fill="FFFFFF" w:themeFill="background1"/>
            <w:vAlign w:val="center"/>
          </w:tcPr>
          <w:p w:rsidR="001A5F90" w:rsidRPr="002649C1" w:rsidRDefault="001A5F90" w:rsidP="00A77970">
            <w:pPr>
              <w:jc w:val="center"/>
              <w:rPr>
                <w:b/>
                <w:bCs/>
                <w:sz w:val="18"/>
                <w:szCs w:val="18"/>
              </w:rPr>
            </w:pPr>
            <w:r w:rsidRPr="002649C1">
              <w:rPr>
                <w:b/>
                <w:bCs/>
                <w:sz w:val="18"/>
                <w:szCs w:val="18"/>
              </w:rPr>
              <w:t>Forma de proprietate</w:t>
            </w:r>
          </w:p>
        </w:tc>
        <w:tc>
          <w:tcPr>
            <w:tcW w:w="768" w:type="dxa"/>
            <w:tcBorders>
              <w:top w:val="single" w:sz="4" w:space="0" w:color="auto"/>
            </w:tcBorders>
            <w:shd w:val="clear" w:color="auto" w:fill="FFFFFF" w:themeFill="background1"/>
            <w:vAlign w:val="center"/>
          </w:tcPr>
          <w:p w:rsidR="001A5F90" w:rsidRPr="002649C1" w:rsidRDefault="001A5F90" w:rsidP="00A77970">
            <w:pPr>
              <w:jc w:val="center"/>
              <w:rPr>
                <w:b/>
                <w:bCs/>
                <w:sz w:val="18"/>
                <w:szCs w:val="18"/>
              </w:rPr>
            </w:pPr>
            <w:r w:rsidRPr="002649C1">
              <w:rPr>
                <w:b/>
                <w:bCs/>
                <w:sz w:val="18"/>
                <w:szCs w:val="18"/>
              </w:rPr>
              <w:t>Anul 2010</w:t>
            </w:r>
          </w:p>
        </w:tc>
        <w:tc>
          <w:tcPr>
            <w:tcW w:w="768" w:type="dxa"/>
            <w:tcBorders>
              <w:top w:val="single" w:sz="4" w:space="0" w:color="auto"/>
            </w:tcBorders>
            <w:shd w:val="clear" w:color="auto" w:fill="FFFFFF" w:themeFill="background1"/>
            <w:vAlign w:val="center"/>
          </w:tcPr>
          <w:p w:rsidR="001A5F90" w:rsidRPr="002649C1" w:rsidRDefault="001A5F90" w:rsidP="00A77970">
            <w:pPr>
              <w:jc w:val="center"/>
              <w:rPr>
                <w:b/>
                <w:bCs/>
                <w:sz w:val="18"/>
                <w:szCs w:val="18"/>
              </w:rPr>
            </w:pPr>
            <w:r w:rsidRPr="002649C1">
              <w:rPr>
                <w:b/>
                <w:bCs/>
                <w:sz w:val="18"/>
                <w:szCs w:val="18"/>
              </w:rPr>
              <w:t>Anul 2011</w:t>
            </w:r>
          </w:p>
        </w:tc>
        <w:tc>
          <w:tcPr>
            <w:tcW w:w="768" w:type="dxa"/>
            <w:tcBorders>
              <w:top w:val="single" w:sz="4" w:space="0" w:color="auto"/>
            </w:tcBorders>
            <w:shd w:val="clear" w:color="auto" w:fill="FFFFFF" w:themeFill="background1"/>
            <w:vAlign w:val="center"/>
          </w:tcPr>
          <w:p w:rsidR="001A5F90" w:rsidRPr="002649C1" w:rsidRDefault="001A5F90" w:rsidP="00A77970">
            <w:pPr>
              <w:jc w:val="center"/>
              <w:rPr>
                <w:b/>
                <w:bCs/>
                <w:sz w:val="18"/>
                <w:szCs w:val="18"/>
              </w:rPr>
            </w:pPr>
            <w:r w:rsidRPr="002649C1">
              <w:rPr>
                <w:b/>
                <w:bCs/>
                <w:sz w:val="18"/>
                <w:szCs w:val="18"/>
              </w:rPr>
              <w:t>Anul 2012</w:t>
            </w:r>
          </w:p>
        </w:tc>
        <w:tc>
          <w:tcPr>
            <w:tcW w:w="768" w:type="dxa"/>
            <w:tcBorders>
              <w:top w:val="single" w:sz="4" w:space="0" w:color="auto"/>
            </w:tcBorders>
            <w:shd w:val="clear" w:color="auto" w:fill="FFFFFF" w:themeFill="background1"/>
            <w:vAlign w:val="center"/>
          </w:tcPr>
          <w:p w:rsidR="001A5F90" w:rsidRPr="002649C1" w:rsidRDefault="001A5F90" w:rsidP="00A77970">
            <w:pPr>
              <w:jc w:val="center"/>
              <w:rPr>
                <w:b/>
                <w:bCs/>
                <w:sz w:val="18"/>
                <w:szCs w:val="18"/>
              </w:rPr>
            </w:pPr>
            <w:r w:rsidRPr="002649C1">
              <w:rPr>
                <w:b/>
                <w:bCs/>
                <w:sz w:val="18"/>
                <w:szCs w:val="18"/>
              </w:rPr>
              <w:t>Anul 2013</w:t>
            </w:r>
          </w:p>
        </w:tc>
        <w:tc>
          <w:tcPr>
            <w:tcW w:w="768" w:type="dxa"/>
            <w:tcBorders>
              <w:top w:val="single" w:sz="4" w:space="0" w:color="auto"/>
            </w:tcBorders>
            <w:shd w:val="clear" w:color="auto" w:fill="FFFFFF" w:themeFill="background1"/>
            <w:vAlign w:val="center"/>
          </w:tcPr>
          <w:p w:rsidR="001A5F90" w:rsidRPr="002649C1" w:rsidRDefault="001A5F90" w:rsidP="00A77970">
            <w:pPr>
              <w:jc w:val="center"/>
              <w:rPr>
                <w:b/>
                <w:bCs/>
                <w:sz w:val="18"/>
                <w:szCs w:val="18"/>
              </w:rPr>
            </w:pPr>
            <w:r w:rsidRPr="002649C1">
              <w:rPr>
                <w:b/>
                <w:bCs/>
                <w:sz w:val="18"/>
                <w:szCs w:val="18"/>
              </w:rPr>
              <w:t>Anul 2014</w:t>
            </w:r>
          </w:p>
        </w:tc>
        <w:tc>
          <w:tcPr>
            <w:tcW w:w="768" w:type="dxa"/>
            <w:tcBorders>
              <w:top w:val="single" w:sz="4" w:space="0" w:color="auto"/>
            </w:tcBorders>
            <w:shd w:val="clear" w:color="auto" w:fill="FFFFFF" w:themeFill="background1"/>
            <w:vAlign w:val="center"/>
          </w:tcPr>
          <w:p w:rsidR="001A5F90" w:rsidRPr="002649C1" w:rsidRDefault="001A5F90" w:rsidP="00A77970">
            <w:pPr>
              <w:jc w:val="center"/>
              <w:rPr>
                <w:b/>
                <w:bCs/>
                <w:sz w:val="18"/>
                <w:szCs w:val="18"/>
              </w:rPr>
            </w:pPr>
            <w:r w:rsidRPr="002649C1">
              <w:rPr>
                <w:b/>
                <w:bCs/>
                <w:sz w:val="18"/>
                <w:szCs w:val="18"/>
              </w:rPr>
              <w:t>Anul 2015</w:t>
            </w:r>
          </w:p>
        </w:tc>
        <w:tc>
          <w:tcPr>
            <w:tcW w:w="768" w:type="dxa"/>
            <w:tcBorders>
              <w:top w:val="single" w:sz="4" w:space="0" w:color="auto"/>
            </w:tcBorders>
            <w:shd w:val="clear" w:color="auto" w:fill="FFFFFF" w:themeFill="background1"/>
            <w:vAlign w:val="center"/>
          </w:tcPr>
          <w:p w:rsidR="001A5F90" w:rsidRPr="002649C1" w:rsidRDefault="001A5F90" w:rsidP="00A77970">
            <w:pPr>
              <w:jc w:val="center"/>
              <w:rPr>
                <w:b/>
                <w:bCs/>
                <w:sz w:val="18"/>
                <w:szCs w:val="18"/>
              </w:rPr>
            </w:pPr>
            <w:r w:rsidRPr="002649C1">
              <w:rPr>
                <w:b/>
                <w:bCs/>
                <w:sz w:val="18"/>
                <w:szCs w:val="18"/>
              </w:rPr>
              <w:t>Anul 2016</w:t>
            </w:r>
          </w:p>
        </w:tc>
        <w:tc>
          <w:tcPr>
            <w:tcW w:w="768" w:type="dxa"/>
            <w:tcBorders>
              <w:top w:val="single" w:sz="4" w:space="0" w:color="auto"/>
            </w:tcBorders>
            <w:shd w:val="clear" w:color="auto" w:fill="FFFFFF" w:themeFill="background1"/>
            <w:vAlign w:val="center"/>
          </w:tcPr>
          <w:p w:rsidR="001A5F90" w:rsidRPr="002649C1" w:rsidRDefault="001A5F90" w:rsidP="00A77970">
            <w:pPr>
              <w:jc w:val="center"/>
              <w:rPr>
                <w:b/>
                <w:bCs/>
                <w:sz w:val="18"/>
                <w:szCs w:val="18"/>
              </w:rPr>
            </w:pPr>
            <w:r w:rsidRPr="002649C1">
              <w:rPr>
                <w:b/>
                <w:bCs/>
                <w:sz w:val="18"/>
                <w:szCs w:val="18"/>
              </w:rPr>
              <w:t>Anul 2017</w:t>
            </w:r>
          </w:p>
        </w:tc>
        <w:tc>
          <w:tcPr>
            <w:tcW w:w="769" w:type="dxa"/>
            <w:tcBorders>
              <w:top w:val="single" w:sz="4" w:space="0" w:color="auto"/>
            </w:tcBorders>
            <w:shd w:val="clear" w:color="auto" w:fill="FFFFFF" w:themeFill="background1"/>
            <w:vAlign w:val="center"/>
          </w:tcPr>
          <w:p w:rsidR="001A5F90" w:rsidRPr="002649C1" w:rsidRDefault="001A5F90" w:rsidP="00A77970">
            <w:pPr>
              <w:jc w:val="center"/>
              <w:rPr>
                <w:b/>
                <w:bCs/>
                <w:sz w:val="18"/>
                <w:szCs w:val="18"/>
              </w:rPr>
            </w:pPr>
            <w:r w:rsidRPr="002649C1">
              <w:rPr>
                <w:b/>
                <w:bCs/>
                <w:sz w:val="18"/>
                <w:szCs w:val="18"/>
              </w:rPr>
              <w:t>Anul 2018</w:t>
            </w:r>
          </w:p>
        </w:tc>
      </w:tr>
      <w:tr w:rsidR="001A5F90" w:rsidRPr="002649C1" w:rsidTr="001A5F90">
        <w:trPr>
          <w:trHeight w:val="255"/>
        </w:trPr>
        <w:tc>
          <w:tcPr>
            <w:tcW w:w="2029" w:type="dxa"/>
            <w:vMerge w:val="restart"/>
            <w:shd w:val="clear" w:color="auto" w:fill="auto"/>
            <w:vAlign w:val="center"/>
          </w:tcPr>
          <w:p w:rsidR="001A5F90" w:rsidRPr="002649C1" w:rsidRDefault="001A5F90" w:rsidP="00A77970">
            <w:pPr>
              <w:rPr>
                <w:b/>
                <w:bCs/>
                <w:sz w:val="18"/>
                <w:szCs w:val="18"/>
              </w:rPr>
            </w:pPr>
            <w:r w:rsidRPr="002649C1">
              <w:rPr>
                <w:b/>
                <w:bCs/>
                <w:sz w:val="18"/>
                <w:szCs w:val="18"/>
              </w:rPr>
              <w:t>Autobuze şi microbuze</w:t>
            </w:r>
          </w:p>
        </w:tc>
        <w:tc>
          <w:tcPr>
            <w:tcW w:w="1275" w:type="dxa"/>
            <w:shd w:val="clear" w:color="auto" w:fill="auto"/>
            <w:tcMar>
              <w:left w:w="57" w:type="dxa"/>
              <w:right w:w="57" w:type="dxa"/>
            </w:tcMar>
            <w:vAlign w:val="bottom"/>
          </w:tcPr>
          <w:p w:rsidR="001A5F90" w:rsidRPr="002649C1" w:rsidRDefault="001A5F90" w:rsidP="00A77970">
            <w:pPr>
              <w:rPr>
                <w:b/>
                <w:bCs/>
                <w:sz w:val="18"/>
                <w:szCs w:val="18"/>
              </w:rPr>
            </w:pPr>
            <w:r w:rsidRPr="002649C1">
              <w:rPr>
                <w:b/>
                <w:bCs/>
                <w:sz w:val="18"/>
                <w:szCs w:val="18"/>
              </w:rPr>
              <w:t>Total</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10984</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10110</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9094</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8629</w:t>
            </w:r>
          </w:p>
        </w:tc>
        <w:tc>
          <w:tcPr>
            <w:tcW w:w="768" w:type="dxa"/>
            <w:shd w:val="clear" w:color="auto" w:fill="auto"/>
            <w:tcMar>
              <w:left w:w="57" w:type="dxa"/>
              <w:right w:w="57" w:type="dxa"/>
            </w:tcMar>
            <w:vAlign w:val="bottom"/>
          </w:tcPr>
          <w:p w:rsidR="001A5F90" w:rsidRPr="002649C1" w:rsidRDefault="001A5F90" w:rsidP="00A77970">
            <w:pPr>
              <w:jc w:val="right"/>
              <w:rPr>
                <w:sz w:val="18"/>
                <w:szCs w:val="18"/>
              </w:rPr>
            </w:pPr>
            <w:r w:rsidRPr="002649C1">
              <w:rPr>
                <w:sz w:val="18"/>
                <w:szCs w:val="18"/>
              </w:rPr>
              <w:t>8571</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8637</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8655</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8906</w:t>
            </w:r>
          </w:p>
        </w:tc>
        <w:tc>
          <w:tcPr>
            <w:tcW w:w="769" w:type="dxa"/>
            <w:tcMar>
              <w:left w:w="57" w:type="dxa"/>
              <w:right w:w="57" w:type="dxa"/>
            </w:tcMar>
            <w:vAlign w:val="bottom"/>
          </w:tcPr>
          <w:p w:rsidR="001A5F90" w:rsidRPr="002649C1" w:rsidRDefault="001A5F90" w:rsidP="00A77970">
            <w:pPr>
              <w:jc w:val="right"/>
              <w:rPr>
                <w:sz w:val="18"/>
                <w:szCs w:val="18"/>
              </w:rPr>
            </w:pPr>
            <w:r w:rsidRPr="002649C1">
              <w:rPr>
                <w:sz w:val="18"/>
                <w:szCs w:val="18"/>
              </w:rPr>
              <w:t>8847</w:t>
            </w:r>
          </w:p>
        </w:tc>
      </w:tr>
      <w:tr w:rsidR="001A5F90" w:rsidRPr="002649C1" w:rsidTr="001A5F90">
        <w:trPr>
          <w:trHeight w:val="255"/>
        </w:trPr>
        <w:tc>
          <w:tcPr>
            <w:tcW w:w="2029" w:type="dxa"/>
            <w:vMerge/>
            <w:shd w:val="clear" w:color="auto" w:fill="auto"/>
            <w:vAlign w:val="center"/>
          </w:tcPr>
          <w:p w:rsidR="001A5F90" w:rsidRPr="002649C1" w:rsidRDefault="001A5F90" w:rsidP="00A77970">
            <w:pPr>
              <w:rPr>
                <w:b/>
                <w:bCs/>
                <w:sz w:val="18"/>
                <w:szCs w:val="18"/>
              </w:rPr>
            </w:pPr>
          </w:p>
        </w:tc>
        <w:tc>
          <w:tcPr>
            <w:tcW w:w="1275" w:type="dxa"/>
            <w:shd w:val="clear" w:color="auto" w:fill="auto"/>
            <w:tcMar>
              <w:left w:w="57" w:type="dxa"/>
              <w:right w:w="57" w:type="dxa"/>
            </w:tcMar>
            <w:vAlign w:val="bottom"/>
          </w:tcPr>
          <w:p w:rsidR="001A5F90" w:rsidRPr="002649C1" w:rsidRDefault="001A5F90" w:rsidP="00A77970">
            <w:pPr>
              <w:rPr>
                <w:bCs/>
                <w:sz w:val="18"/>
                <w:szCs w:val="18"/>
              </w:rPr>
            </w:pPr>
            <w:r w:rsidRPr="002649C1">
              <w:rPr>
                <w:bCs/>
                <w:sz w:val="18"/>
                <w:szCs w:val="18"/>
              </w:rPr>
              <w:t>Persoane fizice</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344</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341</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342</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334</w:t>
            </w:r>
          </w:p>
        </w:tc>
        <w:tc>
          <w:tcPr>
            <w:tcW w:w="768" w:type="dxa"/>
            <w:shd w:val="clear" w:color="auto" w:fill="auto"/>
            <w:tcMar>
              <w:left w:w="57" w:type="dxa"/>
              <w:right w:w="57" w:type="dxa"/>
            </w:tcMar>
            <w:vAlign w:val="bottom"/>
          </w:tcPr>
          <w:p w:rsidR="001A5F90" w:rsidRPr="002649C1" w:rsidRDefault="001A5F90" w:rsidP="00A77970">
            <w:pPr>
              <w:jc w:val="right"/>
              <w:rPr>
                <w:sz w:val="18"/>
                <w:szCs w:val="18"/>
              </w:rPr>
            </w:pPr>
            <w:r w:rsidRPr="002649C1">
              <w:rPr>
                <w:sz w:val="18"/>
                <w:szCs w:val="18"/>
              </w:rPr>
              <w:t>319</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330</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340</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349</w:t>
            </w:r>
          </w:p>
        </w:tc>
        <w:tc>
          <w:tcPr>
            <w:tcW w:w="769" w:type="dxa"/>
            <w:tcMar>
              <w:left w:w="57" w:type="dxa"/>
              <w:right w:w="57" w:type="dxa"/>
            </w:tcMar>
            <w:vAlign w:val="bottom"/>
          </w:tcPr>
          <w:p w:rsidR="001A5F90" w:rsidRPr="002649C1" w:rsidRDefault="001A5F90" w:rsidP="00A77970">
            <w:pPr>
              <w:jc w:val="right"/>
              <w:rPr>
                <w:sz w:val="18"/>
                <w:szCs w:val="18"/>
              </w:rPr>
            </w:pPr>
            <w:r w:rsidRPr="002649C1">
              <w:rPr>
                <w:sz w:val="18"/>
                <w:szCs w:val="18"/>
              </w:rPr>
              <w:t>347</w:t>
            </w:r>
          </w:p>
        </w:tc>
      </w:tr>
      <w:tr w:rsidR="001A5F90" w:rsidRPr="002649C1" w:rsidTr="001A5F90">
        <w:trPr>
          <w:trHeight w:val="255"/>
        </w:trPr>
        <w:tc>
          <w:tcPr>
            <w:tcW w:w="2029" w:type="dxa"/>
            <w:vMerge w:val="restart"/>
            <w:shd w:val="clear" w:color="auto" w:fill="auto"/>
            <w:vAlign w:val="center"/>
          </w:tcPr>
          <w:p w:rsidR="001A5F90" w:rsidRPr="002649C1" w:rsidRDefault="001A5F90" w:rsidP="00A77970">
            <w:pPr>
              <w:rPr>
                <w:b/>
                <w:bCs/>
                <w:sz w:val="18"/>
                <w:szCs w:val="18"/>
              </w:rPr>
            </w:pPr>
            <w:r w:rsidRPr="002649C1">
              <w:rPr>
                <w:b/>
                <w:bCs/>
                <w:sz w:val="18"/>
                <w:szCs w:val="18"/>
              </w:rPr>
              <w:t>Autoturisme</w:t>
            </w:r>
          </w:p>
        </w:tc>
        <w:tc>
          <w:tcPr>
            <w:tcW w:w="1275" w:type="dxa"/>
            <w:shd w:val="clear" w:color="auto" w:fill="auto"/>
            <w:tcMar>
              <w:left w:w="57" w:type="dxa"/>
              <w:right w:w="57" w:type="dxa"/>
            </w:tcMar>
            <w:vAlign w:val="bottom"/>
          </w:tcPr>
          <w:p w:rsidR="001A5F90" w:rsidRPr="002649C1" w:rsidRDefault="001A5F90" w:rsidP="00A77970">
            <w:pPr>
              <w:rPr>
                <w:b/>
                <w:bCs/>
                <w:sz w:val="18"/>
                <w:szCs w:val="18"/>
              </w:rPr>
            </w:pPr>
            <w:r w:rsidRPr="002649C1">
              <w:rPr>
                <w:b/>
                <w:bCs/>
                <w:sz w:val="18"/>
                <w:szCs w:val="18"/>
              </w:rPr>
              <w:t>Total</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988847</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941084</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906292</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892986</w:t>
            </w:r>
          </w:p>
        </w:tc>
        <w:tc>
          <w:tcPr>
            <w:tcW w:w="768" w:type="dxa"/>
            <w:shd w:val="clear" w:color="auto" w:fill="auto"/>
            <w:tcMar>
              <w:left w:w="57" w:type="dxa"/>
              <w:right w:w="57" w:type="dxa"/>
            </w:tcMar>
            <w:vAlign w:val="bottom"/>
          </w:tcPr>
          <w:p w:rsidR="001A5F90" w:rsidRPr="002649C1" w:rsidRDefault="001A5F90" w:rsidP="00A77970">
            <w:pPr>
              <w:jc w:val="right"/>
              <w:rPr>
                <w:sz w:val="18"/>
                <w:szCs w:val="18"/>
              </w:rPr>
            </w:pPr>
            <w:r w:rsidRPr="002649C1">
              <w:rPr>
                <w:sz w:val="18"/>
                <w:szCs w:val="18"/>
              </w:rPr>
              <w:t>901129</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924213</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957068</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1004137</w:t>
            </w:r>
          </w:p>
        </w:tc>
        <w:tc>
          <w:tcPr>
            <w:tcW w:w="769" w:type="dxa"/>
            <w:tcMar>
              <w:left w:w="57" w:type="dxa"/>
              <w:right w:w="57" w:type="dxa"/>
            </w:tcMar>
            <w:vAlign w:val="bottom"/>
          </w:tcPr>
          <w:p w:rsidR="001A5F90" w:rsidRPr="002649C1" w:rsidRDefault="001A5F90" w:rsidP="00A77970">
            <w:pPr>
              <w:jc w:val="right"/>
              <w:rPr>
                <w:sz w:val="18"/>
                <w:szCs w:val="18"/>
              </w:rPr>
            </w:pPr>
            <w:r w:rsidRPr="002649C1">
              <w:rPr>
                <w:sz w:val="18"/>
                <w:szCs w:val="18"/>
              </w:rPr>
              <w:t>1058317</w:t>
            </w:r>
          </w:p>
        </w:tc>
      </w:tr>
      <w:tr w:rsidR="001A5F90" w:rsidRPr="002649C1" w:rsidTr="001A5F90">
        <w:trPr>
          <w:trHeight w:val="255"/>
        </w:trPr>
        <w:tc>
          <w:tcPr>
            <w:tcW w:w="2029" w:type="dxa"/>
            <w:vMerge/>
            <w:shd w:val="clear" w:color="auto" w:fill="auto"/>
            <w:vAlign w:val="center"/>
          </w:tcPr>
          <w:p w:rsidR="001A5F90" w:rsidRPr="002649C1" w:rsidRDefault="001A5F90" w:rsidP="00A77970">
            <w:pPr>
              <w:rPr>
                <w:b/>
                <w:bCs/>
                <w:sz w:val="18"/>
                <w:szCs w:val="18"/>
              </w:rPr>
            </w:pPr>
          </w:p>
        </w:tc>
        <w:tc>
          <w:tcPr>
            <w:tcW w:w="1275" w:type="dxa"/>
            <w:shd w:val="clear" w:color="auto" w:fill="auto"/>
            <w:tcMar>
              <w:left w:w="57" w:type="dxa"/>
              <w:right w:w="57" w:type="dxa"/>
            </w:tcMar>
            <w:vAlign w:val="bottom"/>
          </w:tcPr>
          <w:p w:rsidR="001A5F90" w:rsidRPr="002649C1" w:rsidRDefault="001A5F90" w:rsidP="00A77970">
            <w:pPr>
              <w:rPr>
                <w:bCs/>
                <w:sz w:val="18"/>
                <w:szCs w:val="18"/>
              </w:rPr>
            </w:pPr>
            <w:r w:rsidRPr="002649C1">
              <w:rPr>
                <w:bCs/>
                <w:sz w:val="18"/>
                <w:szCs w:val="18"/>
              </w:rPr>
              <w:t>Persoane fizice</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520402</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532068</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545837</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566250</w:t>
            </w:r>
          </w:p>
        </w:tc>
        <w:tc>
          <w:tcPr>
            <w:tcW w:w="768" w:type="dxa"/>
            <w:shd w:val="clear" w:color="auto" w:fill="auto"/>
            <w:tcMar>
              <w:left w:w="57" w:type="dxa"/>
              <w:right w:w="57" w:type="dxa"/>
            </w:tcMar>
            <w:vAlign w:val="bottom"/>
          </w:tcPr>
          <w:p w:rsidR="001A5F90" w:rsidRPr="002649C1" w:rsidRDefault="001A5F90" w:rsidP="00A77970">
            <w:pPr>
              <w:jc w:val="right"/>
              <w:rPr>
                <w:sz w:val="18"/>
                <w:szCs w:val="18"/>
              </w:rPr>
            </w:pPr>
            <w:r w:rsidRPr="002649C1">
              <w:rPr>
                <w:sz w:val="18"/>
                <w:szCs w:val="18"/>
              </w:rPr>
              <w:t>587233</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607269</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628858</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655876</w:t>
            </w:r>
          </w:p>
        </w:tc>
        <w:tc>
          <w:tcPr>
            <w:tcW w:w="769" w:type="dxa"/>
            <w:tcMar>
              <w:left w:w="57" w:type="dxa"/>
              <w:right w:w="57" w:type="dxa"/>
            </w:tcMar>
            <w:vAlign w:val="bottom"/>
          </w:tcPr>
          <w:p w:rsidR="001A5F90" w:rsidRPr="002649C1" w:rsidRDefault="001A5F90" w:rsidP="00A77970">
            <w:pPr>
              <w:jc w:val="right"/>
              <w:rPr>
                <w:sz w:val="18"/>
                <w:szCs w:val="18"/>
              </w:rPr>
            </w:pPr>
            <w:r w:rsidRPr="002649C1">
              <w:rPr>
                <w:sz w:val="18"/>
                <w:szCs w:val="18"/>
              </w:rPr>
              <w:t>693483</w:t>
            </w:r>
          </w:p>
        </w:tc>
      </w:tr>
      <w:tr w:rsidR="001A5F90" w:rsidRPr="002649C1" w:rsidTr="001A5F90">
        <w:trPr>
          <w:trHeight w:val="190"/>
        </w:trPr>
        <w:tc>
          <w:tcPr>
            <w:tcW w:w="2029" w:type="dxa"/>
            <w:vMerge w:val="restart"/>
            <w:shd w:val="clear" w:color="auto" w:fill="auto"/>
            <w:vAlign w:val="center"/>
          </w:tcPr>
          <w:p w:rsidR="001A5F90" w:rsidRPr="002649C1" w:rsidRDefault="001A5F90" w:rsidP="00A77970">
            <w:pPr>
              <w:rPr>
                <w:b/>
                <w:bCs/>
                <w:sz w:val="18"/>
                <w:szCs w:val="18"/>
              </w:rPr>
            </w:pPr>
            <w:r w:rsidRPr="002649C1">
              <w:rPr>
                <w:b/>
                <w:bCs/>
                <w:sz w:val="18"/>
                <w:szCs w:val="18"/>
              </w:rPr>
              <w:t>Mopede şi motociclete (inclusiv mototricicluri şi cvadricicluri)</w:t>
            </w:r>
          </w:p>
        </w:tc>
        <w:tc>
          <w:tcPr>
            <w:tcW w:w="1275" w:type="dxa"/>
            <w:shd w:val="clear" w:color="auto" w:fill="auto"/>
            <w:tcMar>
              <w:left w:w="57" w:type="dxa"/>
              <w:right w:w="57" w:type="dxa"/>
            </w:tcMar>
            <w:vAlign w:val="bottom"/>
          </w:tcPr>
          <w:p w:rsidR="001A5F90" w:rsidRPr="002649C1" w:rsidRDefault="001A5F90" w:rsidP="00A77970">
            <w:pPr>
              <w:rPr>
                <w:b/>
                <w:bCs/>
                <w:sz w:val="18"/>
                <w:szCs w:val="18"/>
              </w:rPr>
            </w:pPr>
            <w:r w:rsidRPr="002649C1">
              <w:rPr>
                <w:b/>
                <w:bCs/>
                <w:sz w:val="18"/>
                <w:szCs w:val="18"/>
              </w:rPr>
              <w:t>Total</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16562</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17496</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18172</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18957</w:t>
            </w:r>
          </w:p>
        </w:tc>
        <w:tc>
          <w:tcPr>
            <w:tcW w:w="768" w:type="dxa"/>
            <w:shd w:val="clear" w:color="auto" w:fill="auto"/>
            <w:tcMar>
              <w:left w:w="57" w:type="dxa"/>
              <w:right w:w="57" w:type="dxa"/>
            </w:tcMar>
            <w:vAlign w:val="bottom"/>
          </w:tcPr>
          <w:p w:rsidR="001A5F90" w:rsidRPr="002649C1" w:rsidRDefault="001A5F90" w:rsidP="00A77970">
            <w:pPr>
              <w:jc w:val="right"/>
              <w:rPr>
                <w:sz w:val="18"/>
                <w:szCs w:val="18"/>
              </w:rPr>
            </w:pPr>
            <w:r w:rsidRPr="002649C1">
              <w:rPr>
                <w:sz w:val="18"/>
                <w:szCs w:val="18"/>
              </w:rPr>
              <w:t>19767</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20433</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21185</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22233</w:t>
            </w:r>
          </w:p>
        </w:tc>
        <w:tc>
          <w:tcPr>
            <w:tcW w:w="769" w:type="dxa"/>
            <w:tcMar>
              <w:left w:w="57" w:type="dxa"/>
              <w:right w:w="57" w:type="dxa"/>
            </w:tcMar>
            <w:vAlign w:val="bottom"/>
          </w:tcPr>
          <w:p w:rsidR="001A5F90" w:rsidRPr="002649C1" w:rsidRDefault="001A5F90" w:rsidP="00A77970">
            <w:pPr>
              <w:jc w:val="right"/>
              <w:rPr>
                <w:sz w:val="18"/>
                <w:szCs w:val="18"/>
              </w:rPr>
            </w:pPr>
            <w:r w:rsidRPr="002649C1">
              <w:rPr>
                <w:sz w:val="18"/>
                <w:szCs w:val="18"/>
              </w:rPr>
              <w:t>23623</w:t>
            </w:r>
          </w:p>
        </w:tc>
      </w:tr>
      <w:tr w:rsidR="001A5F90" w:rsidRPr="002649C1" w:rsidTr="001A5F90">
        <w:trPr>
          <w:trHeight w:val="255"/>
        </w:trPr>
        <w:tc>
          <w:tcPr>
            <w:tcW w:w="2029" w:type="dxa"/>
            <w:vMerge/>
            <w:shd w:val="clear" w:color="auto" w:fill="auto"/>
            <w:vAlign w:val="center"/>
          </w:tcPr>
          <w:p w:rsidR="001A5F90" w:rsidRPr="002649C1" w:rsidRDefault="001A5F90" w:rsidP="00A77970">
            <w:pPr>
              <w:rPr>
                <w:b/>
                <w:bCs/>
                <w:sz w:val="18"/>
                <w:szCs w:val="18"/>
              </w:rPr>
            </w:pPr>
          </w:p>
        </w:tc>
        <w:tc>
          <w:tcPr>
            <w:tcW w:w="1275" w:type="dxa"/>
            <w:shd w:val="clear" w:color="auto" w:fill="auto"/>
            <w:tcMar>
              <w:left w:w="57" w:type="dxa"/>
              <w:right w:w="57" w:type="dxa"/>
            </w:tcMar>
            <w:vAlign w:val="bottom"/>
          </w:tcPr>
          <w:p w:rsidR="001A5F90" w:rsidRPr="002649C1" w:rsidRDefault="001A5F90" w:rsidP="00A77970">
            <w:pPr>
              <w:rPr>
                <w:bCs/>
                <w:sz w:val="18"/>
                <w:szCs w:val="18"/>
              </w:rPr>
            </w:pPr>
            <w:r w:rsidRPr="002649C1">
              <w:rPr>
                <w:bCs/>
                <w:sz w:val="18"/>
                <w:szCs w:val="18"/>
              </w:rPr>
              <w:t>Persoane fizice</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10744</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11937</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12828</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13676</w:t>
            </w:r>
          </w:p>
        </w:tc>
        <w:tc>
          <w:tcPr>
            <w:tcW w:w="768" w:type="dxa"/>
            <w:shd w:val="clear" w:color="auto" w:fill="auto"/>
            <w:tcMar>
              <w:left w:w="57" w:type="dxa"/>
              <w:right w:w="57" w:type="dxa"/>
            </w:tcMar>
            <w:vAlign w:val="bottom"/>
          </w:tcPr>
          <w:p w:rsidR="001A5F90" w:rsidRPr="002649C1" w:rsidRDefault="001A5F90" w:rsidP="00A77970">
            <w:pPr>
              <w:jc w:val="right"/>
              <w:rPr>
                <w:sz w:val="18"/>
                <w:szCs w:val="18"/>
              </w:rPr>
            </w:pPr>
            <w:r w:rsidRPr="002649C1">
              <w:rPr>
                <w:sz w:val="18"/>
                <w:szCs w:val="18"/>
              </w:rPr>
              <w:t>14456</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15084</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15712</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16580</w:t>
            </w:r>
          </w:p>
        </w:tc>
        <w:tc>
          <w:tcPr>
            <w:tcW w:w="769" w:type="dxa"/>
            <w:tcMar>
              <w:left w:w="57" w:type="dxa"/>
              <w:right w:w="57" w:type="dxa"/>
            </w:tcMar>
            <w:vAlign w:val="bottom"/>
          </w:tcPr>
          <w:p w:rsidR="001A5F90" w:rsidRPr="002649C1" w:rsidRDefault="001A5F90" w:rsidP="00A77970">
            <w:pPr>
              <w:jc w:val="right"/>
              <w:rPr>
                <w:sz w:val="18"/>
                <w:szCs w:val="18"/>
              </w:rPr>
            </w:pPr>
            <w:r w:rsidRPr="002649C1">
              <w:rPr>
                <w:sz w:val="18"/>
                <w:szCs w:val="18"/>
              </w:rPr>
              <w:t>17680</w:t>
            </w:r>
          </w:p>
        </w:tc>
      </w:tr>
      <w:tr w:rsidR="001A5F90" w:rsidRPr="002649C1" w:rsidTr="001A5F90">
        <w:trPr>
          <w:trHeight w:val="255"/>
        </w:trPr>
        <w:tc>
          <w:tcPr>
            <w:tcW w:w="2029" w:type="dxa"/>
            <w:vMerge w:val="restart"/>
            <w:shd w:val="clear" w:color="auto" w:fill="auto"/>
            <w:vAlign w:val="center"/>
          </w:tcPr>
          <w:p w:rsidR="001A5F90" w:rsidRPr="002649C1" w:rsidRDefault="001A5F90" w:rsidP="00A77970">
            <w:pPr>
              <w:rPr>
                <w:b/>
                <w:bCs/>
                <w:sz w:val="18"/>
                <w:szCs w:val="18"/>
              </w:rPr>
            </w:pPr>
            <w:r w:rsidRPr="002649C1">
              <w:rPr>
                <w:b/>
                <w:bCs/>
                <w:sz w:val="18"/>
                <w:szCs w:val="18"/>
              </w:rPr>
              <w:t>Autovehicule de marfă</w:t>
            </w:r>
          </w:p>
        </w:tc>
        <w:tc>
          <w:tcPr>
            <w:tcW w:w="1275" w:type="dxa"/>
            <w:shd w:val="clear" w:color="auto" w:fill="auto"/>
            <w:tcMar>
              <w:left w:w="57" w:type="dxa"/>
              <w:right w:w="57" w:type="dxa"/>
            </w:tcMar>
            <w:vAlign w:val="bottom"/>
          </w:tcPr>
          <w:p w:rsidR="001A5F90" w:rsidRPr="002649C1" w:rsidRDefault="001A5F90" w:rsidP="00A77970">
            <w:pPr>
              <w:rPr>
                <w:b/>
                <w:bCs/>
                <w:sz w:val="18"/>
                <w:szCs w:val="18"/>
              </w:rPr>
            </w:pPr>
            <w:r w:rsidRPr="002649C1">
              <w:rPr>
                <w:b/>
                <w:bCs/>
                <w:sz w:val="18"/>
                <w:szCs w:val="18"/>
              </w:rPr>
              <w:t>Total</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177419</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163686</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155757</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145351</w:t>
            </w:r>
          </w:p>
        </w:tc>
        <w:tc>
          <w:tcPr>
            <w:tcW w:w="768" w:type="dxa"/>
            <w:shd w:val="clear" w:color="auto" w:fill="auto"/>
            <w:tcMar>
              <w:left w:w="57" w:type="dxa"/>
              <w:right w:w="57" w:type="dxa"/>
            </w:tcMar>
            <w:vAlign w:val="bottom"/>
          </w:tcPr>
          <w:p w:rsidR="001A5F90" w:rsidRPr="002649C1" w:rsidRDefault="001A5F90" w:rsidP="00A77970">
            <w:pPr>
              <w:jc w:val="right"/>
              <w:rPr>
                <w:sz w:val="18"/>
                <w:szCs w:val="18"/>
              </w:rPr>
            </w:pPr>
            <w:r w:rsidRPr="002649C1">
              <w:rPr>
                <w:sz w:val="18"/>
                <w:szCs w:val="18"/>
              </w:rPr>
              <w:t>143955</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146389</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152164</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161614</w:t>
            </w:r>
          </w:p>
        </w:tc>
        <w:tc>
          <w:tcPr>
            <w:tcW w:w="769" w:type="dxa"/>
            <w:tcMar>
              <w:left w:w="57" w:type="dxa"/>
              <w:right w:w="57" w:type="dxa"/>
            </w:tcMar>
            <w:vAlign w:val="bottom"/>
          </w:tcPr>
          <w:p w:rsidR="001A5F90" w:rsidRPr="002649C1" w:rsidRDefault="001A5F90" w:rsidP="00A77970">
            <w:pPr>
              <w:jc w:val="right"/>
              <w:rPr>
                <w:sz w:val="18"/>
                <w:szCs w:val="18"/>
              </w:rPr>
            </w:pPr>
            <w:r w:rsidRPr="002649C1">
              <w:rPr>
                <w:sz w:val="18"/>
                <w:szCs w:val="18"/>
              </w:rPr>
              <w:t>170747</w:t>
            </w:r>
          </w:p>
        </w:tc>
      </w:tr>
      <w:tr w:rsidR="001A5F90" w:rsidRPr="002649C1" w:rsidTr="001A5F90">
        <w:trPr>
          <w:trHeight w:val="255"/>
        </w:trPr>
        <w:tc>
          <w:tcPr>
            <w:tcW w:w="2029" w:type="dxa"/>
            <w:vMerge/>
            <w:shd w:val="clear" w:color="auto" w:fill="auto"/>
            <w:vAlign w:val="center"/>
          </w:tcPr>
          <w:p w:rsidR="001A5F90" w:rsidRPr="002649C1" w:rsidRDefault="001A5F90" w:rsidP="00A77970">
            <w:pPr>
              <w:rPr>
                <w:b/>
                <w:bCs/>
                <w:sz w:val="18"/>
                <w:szCs w:val="18"/>
              </w:rPr>
            </w:pPr>
          </w:p>
        </w:tc>
        <w:tc>
          <w:tcPr>
            <w:tcW w:w="1275" w:type="dxa"/>
            <w:shd w:val="clear" w:color="auto" w:fill="auto"/>
            <w:tcMar>
              <w:left w:w="57" w:type="dxa"/>
              <w:right w:w="57" w:type="dxa"/>
            </w:tcMar>
            <w:vAlign w:val="bottom"/>
          </w:tcPr>
          <w:p w:rsidR="001A5F90" w:rsidRPr="002649C1" w:rsidRDefault="001A5F90" w:rsidP="00A77970">
            <w:pPr>
              <w:rPr>
                <w:bCs/>
                <w:sz w:val="18"/>
                <w:szCs w:val="18"/>
              </w:rPr>
            </w:pPr>
            <w:r w:rsidRPr="002649C1">
              <w:rPr>
                <w:bCs/>
                <w:sz w:val="18"/>
                <w:szCs w:val="18"/>
              </w:rPr>
              <w:t>Persoane fizice</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21067</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21784</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23057</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24465</w:t>
            </w:r>
          </w:p>
        </w:tc>
        <w:tc>
          <w:tcPr>
            <w:tcW w:w="768" w:type="dxa"/>
            <w:shd w:val="clear" w:color="auto" w:fill="auto"/>
            <w:tcMar>
              <w:left w:w="57" w:type="dxa"/>
              <w:right w:w="57" w:type="dxa"/>
            </w:tcMar>
            <w:vAlign w:val="bottom"/>
          </w:tcPr>
          <w:p w:rsidR="001A5F90" w:rsidRPr="002649C1" w:rsidRDefault="001A5F90" w:rsidP="00A77970">
            <w:pPr>
              <w:jc w:val="right"/>
              <w:rPr>
                <w:sz w:val="18"/>
                <w:szCs w:val="18"/>
              </w:rPr>
            </w:pPr>
            <w:r w:rsidRPr="002649C1">
              <w:rPr>
                <w:sz w:val="18"/>
                <w:szCs w:val="18"/>
              </w:rPr>
              <w:t>25565</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27013</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28275</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29778</w:t>
            </w:r>
          </w:p>
        </w:tc>
        <w:tc>
          <w:tcPr>
            <w:tcW w:w="769" w:type="dxa"/>
            <w:tcMar>
              <w:left w:w="57" w:type="dxa"/>
              <w:right w:w="57" w:type="dxa"/>
            </w:tcMar>
            <w:vAlign w:val="bottom"/>
          </w:tcPr>
          <w:p w:rsidR="001A5F90" w:rsidRPr="002649C1" w:rsidRDefault="001A5F90" w:rsidP="00A77970">
            <w:pPr>
              <w:jc w:val="right"/>
              <w:rPr>
                <w:sz w:val="18"/>
                <w:szCs w:val="18"/>
              </w:rPr>
            </w:pPr>
            <w:r w:rsidRPr="002649C1">
              <w:rPr>
                <w:sz w:val="18"/>
                <w:szCs w:val="18"/>
              </w:rPr>
              <w:t>31560</w:t>
            </w:r>
          </w:p>
        </w:tc>
      </w:tr>
      <w:tr w:rsidR="001A5F90" w:rsidRPr="002649C1" w:rsidTr="001A5F90">
        <w:trPr>
          <w:trHeight w:val="255"/>
        </w:trPr>
        <w:tc>
          <w:tcPr>
            <w:tcW w:w="2029" w:type="dxa"/>
            <w:tcBorders>
              <w:bottom w:val="single" w:sz="4" w:space="0" w:color="FFFFFF"/>
            </w:tcBorders>
            <w:shd w:val="clear" w:color="auto" w:fill="auto"/>
            <w:vAlign w:val="center"/>
          </w:tcPr>
          <w:p w:rsidR="001A5F90" w:rsidRPr="002649C1" w:rsidRDefault="001A5F90" w:rsidP="00A77970">
            <w:pPr>
              <w:rPr>
                <w:b/>
                <w:bCs/>
                <w:sz w:val="18"/>
                <w:szCs w:val="18"/>
              </w:rPr>
            </w:pPr>
            <w:r w:rsidRPr="002649C1">
              <w:rPr>
                <w:b/>
                <w:bCs/>
                <w:sz w:val="18"/>
                <w:szCs w:val="18"/>
              </w:rPr>
              <w:t>din care,</w:t>
            </w:r>
          </w:p>
          <w:p w:rsidR="001A5F90" w:rsidRPr="002649C1" w:rsidRDefault="001A5F90" w:rsidP="00A77970">
            <w:pPr>
              <w:rPr>
                <w:b/>
                <w:bCs/>
                <w:sz w:val="18"/>
                <w:szCs w:val="18"/>
              </w:rPr>
            </w:pPr>
            <w:r w:rsidRPr="002649C1">
              <w:rPr>
                <w:b/>
                <w:bCs/>
                <w:sz w:val="18"/>
                <w:szCs w:val="18"/>
              </w:rPr>
              <w:t xml:space="preserve">  - autocamioane</w:t>
            </w:r>
          </w:p>
        </w:tc>
        <w:tc>
          <w:tcPr>
            <w:tcW w:w="1275" w:type="dxa"/>
            <w:tcBorders>
              <w:bottom w:val="single" w:sz="4" w:space="0" w:color="FFFFFF"/>
            </w:tcBorders>
            <w:shd w:val="clear" w:color="auto" w:fill="auto"/>
            <w:tcMar>
              <w:left w:w="57" w:type="dxa"/>
              <w:right w:w="57" w:type="dxa"/>
            </w:tcMar>
            <w:vAlign w:val="bottom"/>
          </w:tcPr>
          <w:p w:rsidR="001A5F90" w:rsidRPr="002649C1" w:rsidRDefault="001A5F90" w:rsidP="00A77970">
            <w:pPr>
              <w:rPr>
                <w:b/>
                <w:bCs/>
                <w:sz w:val="18"/>
                <w:szCs w:val="18"/>
              </w:rPr>
            </w:pPr>
            <w:r w:rsidRPr="002649C1">
              <w:rPr>
                <w:b/>
                <w:bCs/>
                <w:sz w:val="18"/>
                <w:szCs w:val="18"/>
              </w:rPr>
              <w:t>Total</w:t>
            </w:r>
          </w:p>
        </w:tc>
        <w:tc>
          <w:tcPr>
            <w:tcW w:w="768" w:type="dxa"/>
            <w:tcBorders>
              <w:bottom w:val="single" w:sz="4" w:space="0" w:color="FFFFFF"/>
            </w:tcBorders>
            <w:tcMar>
              <w:left w:w="57" w:type="dxa"/>
              <w:right w:w="57" w:type="dxa"/>
            </w:tcMar>
            <w:vAlign w:val="bottom"/>
          </w:tcPr>
          <w:p w:rsidR="001A5F90" w:rsidRPr="002649C1" w:rsidRDefault="001A5F90" w:rsidP="00A77970">
            <w:pPr>
              <w:jc w:val="right"/>
              <w:rPr>
                <w:sz w:val="18"/>
                <w:szCs w:val="18"/>
              </w:rPr>
            </w:pPr>
            <w:r w:rsidRPr="002649C1">
              <w:rPr>
                <w:sz w:val="18"/>
                <w:szCs w:val="18"/>
              </w:rPr>
              <w:t>170617</w:t>
            </w:r>
          </w:p>
        </w:tc>
        <w:tc>
          <w:tcPr>
            <w:tcW w:w="768" w:type="dxa"/>
            <w:tcBorders>
              <w:bottom w:val="single" w:sz="4" w:space="0" w:color="FFFFFF"/>
            </w:tcBorders>
            <w:tcMar>
              <w:left w:w="57" w:type="dxa"/>
              <w:right w:w="57" w:type="dxa"/>
            </w:tcMar>
            <w:vAlign w:val="bottom"/>
          </w:tcPr>
          <w:p w:rsidR="001A5F90" w:rsidRPr="002649C1" w:rsidRDefault="001A5F90" w:rsidP="00A77970">
            <w:pPr>
              <w:jc w:val="right"/>
              <w:rPr>
                <w:sz w:val="18"/>
                <w:szCs w:val="18"/>
              </w:rPr>
            </w:pPr>
            <w:r w:rsidRPr="002649C1">
              <w:rPr>
                <w:sz w:val="18"/>
                <w:szCs w:val="18"/>
              </w:rPr>
              <w:t>157680</w:t>
            </w:r>
          </w:p>
        </w:tc>
        <w:tc>
          <w:tcPr>
            <w:tcW w:w="768" w:type="dxa"/>
            <w:tcBorders>
              <w:bottom w:val="single" w:sz="4" w:space="0" w:color="FFFFFF"/>
            </w:tcBorders>
            <w:tcMar>
              <w:left w:w="57" w:type="dxa"/>
              <w:right w:w="57" w:type="dxa"/>
            </w:tcMar>
            <w:vAlign w:val="bottom"/>
          </w:tcPr>
          <w:p w:rsidR="001A5F90" w:rsidRPr="002649C1" w:rsidRDefault="001A5F90" w:rsidP="00A77970">
            <w:pPr>
              <w:jc w:val="right"/>
              <w:rPr>
                <w:sz w:val="18"/>
                <w:szCs w:val="18"/>
              </w:rPr>
            </w:pPr>
            <w:r w:rsidRPr="002649C1">
              <w:rPr>
                <w:sz w:val="18"/>
                <w:szCs w:val="18"/>
              </w:rPr>
              <w:t>150525</w:t>
            </w:r>
          </w:p>
        </w:tc>
        <w:tc>
          <w:tcPr>
            <w:tcW w:w="768" w:type="dxa"/>
            <w:tcBorders>
              <w:bottom w:val="single" w:sz="4" w:space="0" w:color="FFFFFF"/>
            </w:tcBorders>
            <w:tcMar>
              <w:left w:w="57" w:type="dxa"/>
              <w:right w:w="57" w:type="dxa"/>
            </w:tcMar>
            <w:vAlign w:val="bottom"/>
          </w:tcPr>
          <w:p w:rsidR="001A5F90" w:rsidRPr="002649C1" w:rsidRDefault="001A5F90" w:rsidP="00A77970">
            <w:pPr>
              <w:jc w:val="right"/>
              <w:rPr>
                <w:sz w:val="18"/>
                <w:szCs w:val="18"/>
              </w:rPr>
            </w:pPr>
            <w:r w:rsidRPr="002649C1">
              <w:rPr>
                <w:sz w:val="18"/>
                <w:szCs w:val="18"/>
              </w:rPr>
              <w:t>127506</w:t>
            </w:r>
          </w:p>
        </w:tc>
        <w:tc>
          <w:tcPr>
            <w:tcW w:w="768" w:type="dxa"/>
            <w:tcBorders>
              <w:bottom w:val="single" w:sz="4" w:space="0" w:color="FFFFFF"/>
            </w:tcBorders>
            <w:shd w:val="clear" w:color="auto" w:fill="auto"/>
            <w:tcMar>
              <w:left w:w="57" w:type="dxa"/>
              <w:right w:w="57" w:type="dxa"/>
            </w:tcMar>
            <w:vAlign w:val="bottom"/>
          </w:tcPr>
          <w:p w:rsidR="001A5F90" w:rsidRPr="002649C1" w:rsidRDefault="001A5F90" w:rsidP="00A77970">
            <w:pPr>
              <w:jc w:val="right"/>
              <w:rPr>
                <w:sz w:val="18"/>
                <w:szCs w:val="18"/>
              </w:rPr>
            </w:pPr>
            <w:r w:rsidRPr="002649C1">
              <w:rPr>
                <w:sz w:val="18"/>
                <w:szCs w:val="18"/>
              </w:rPr>
              <w:t>125361</w:t>
            </w:r>
          </w:p>
        </w:tc>
        <w:tc>
          <w:tcPr>
            <w:tcW w:w="768" w:type="dxa"/>
            <w:tcBorders>
              <w:bottom w:val="single" w:sz="4" w:space="0" w:color="FFFFFF"/>
            </w:tcBorders>
            <w:tcMar>
              <w:left w:w="57" w:type="dxa"/>
              <w:right w:w="57" w:type="dxa"/>
            </w:tcMar>
            <w:vAlign w:val="bottom"/>
          </w:tcPr>
          <w:p w:rsidR="001A5F90" w:rsidRPr="002649C1" w:rsidRDefault="001A5F90" w:rsidP="00A77970">
            <w:pPr>
              <w:jc w:val="right"/>
              <w:rPr>
                <w:sz w:val="18"/>
                <w:szCs w:val="18"/>
              </w:rPr>
            </w:pPr>
            <w:r w:rsidRPr="002649C1">
              <w:rPr>
                <w:sz w:val="18"/>
                <w:szCs w:val="18"/>
              </w:rPr>
              <w:t>126636</w:t>
            </w:r>
          </w:p>
        </w:tc>
        <w:tc>
          <w:tcPr>
            <w:tcW w:w="768" w:type="dxa"/>
            <w:tcBorders>
              <w:bottom w:val="single" w:sz="4" w:space="0" w:color="FFFFFF"/>
            </w:tcBorders>
            <w:tcMar>
              <w:left w:w="57" w:type="dxa"/>
              <w:right w:w="57" w:type="dxa"/>
            </w:tcMar>
            <w:vAlign w:val="bottom"/>
          </w:tcPr>
          <w:p w:rsidR="001A5F90" w:rsidRPr="002649C1" w:rsidRDefault="001A5F90" w:rsidP="00A77970">
            <w:pPr>
              <w:jc w:val="right"/>
              <w:rPr>
                <w:sz w:val="18"/>
                <w:szCs w:val="18"/>
              </w:rPr>
            </w:pPr>
            <w:r w:rsidRPr="002649C1">
              <w:rPr>
                <w:sz w:val="18"/>
                <w:szCs w:val="18"/>
              </w:rPr>
              <w:t>130697</w:t>
            </w:r>
          </w:p>
        </w:tc>
        <w:tc>
          <w:tcPr>
            <w:tcW w:w="768" w:type="dxa"/>
            <w:tcBorders>
              <w:bottom w:val="single" w:sz="4" w:space="0" w:color="FFFFFF"/>
            </w:tcBorders>
            <w:tcMar>
              <w:left w:w="57" w:type="dxa"/>
              <w:right w:w="57" w:type="dxa"/>
            </w:tcMar>
            <w:vAlign w:val="bottom"/>
          </w:tcPr>
          <w:p w:rsidR="001A5F90" w:rsidRPr="002649C1" w:rsidRDefault="001A5F90" w:rsidP="00A77970">
            <w:pPr>
              <w:jc w:val="right"/>
              <w:rPr>
                <w:sz w:val="18"/>
                <w:szCs w:val="18"/>
              </w:rPr>
            </w:pPr>
            <w:r w:rsidRPr="002649C1">
              <w:rPr>
                <w:sz w:val="18"/>
                <w:szCs w:val="18"/>
              </w:rPr>
              <w:t>138157</w:t>
            </w:r>
          </w:p>
        </w:tc>
        <w:tc>
          <w:tcPr>
            <w:tcW w:w="769" w:type="dxa"/>
            <w:tcBorders>
              <w:bottom w:val="single" w:sz="4" w:space="0" w:color="FFFFFF"/>
            </w:tcBorders>
            <w:tcMar>
              <w:left w:w="57" w:type="dxa"/>
              <w:right w:w="57" w:type="dxa"/>
            </w:tcMar>
            <w:vAlign w:val="bottom"/>
          </w:tcPr>
          <w:p w:rsidR="001A5F90" w:rsidRPr="002649C1" w:rsidRDefault="001A5F90" w:rsidP="00A77970">
            <w:pPr>
              <w:jc w:val="right"/>
              <w:rPr>
                <w:sz w:val="18"/>
                <w:szCs w:val="18"/>
              </w:rPr>
            </w:pPr>
            <w:r w:rsidRPr="002649C1">
              <w:rPr>
                <w:sz w:val="18"/>
                <w:szCs w:val="18"/>
              </w:rPr>
              <w:t>146382</w:t>
            </w:r>
          </w:p>
        </w:tc>
      </w:tr>
      <w:tr w:rsidR="001A5F90" w:rsidRPr="002649C1" w:rsidTr="001A5F90">
        <w:trPr>
          <w:trHeight w:val="255"/>
        </w:trPr>
        <w:tc>
          <w:tcPr>
            <w:tcW w:w="2029" w:type="dxa"/>
            <w:tcBorders>
              <w:top w:val="single" w:sz="4" w:space="0" w:color="FFFFFF"/>
            </w:tcBorders>
            <w:shd w:val="clear" w:color="auto" w:fill="auto"/>
            <w:vAlign w:val="center"/>
          </w:tcPr>
          <w:p w:rsidR="001A5F90" w:rsidRPr="002649C1" w:rsidRDefault="001A5F90" w:rsidP="00A77970">
            <w:pPr>
              <w:rPr>
                <w:b/>
                <w:bCs/>
                <w:sz w:val="18"/>
                <w:szCs w:val="18"/>
              </w:rPr>
            </w:pPr>
            <w:r w:rsidRPr="002649C1">
              <w:rPr>
                <w:b/>
                <w:bCs/>
                <w:sz w:val="18"/>
                <w:szCs w:val="18"/>
              </w:rPr>
              <w:t xml:space="preserve">  - autotractoare</w:t>
            </w:r>
          </w:p>
        </w:tc>
        <w:tc>
          <w:tcPr>
            <w:tcW w:w="1275" w:type="dxa"/>
            <w:tcBorders>
              <w:top w:val="single" w:sz="4" w:space="0" w:color="FFFFFF"/>
            </w:tcBorders>
            <w:shd w:val="clear" w:color="auto" w:fill="auto"/>
            <w:tcMar>
              <w:left w:w="57" w:type="dxa"/>
              <w:right w:w="57" w:type="dxa"/>
            </w:tcMar>
            <w:vAlign w:val="bottom"/>
          </w:tcPr>
          <w:p w:rsidR="001A5F90" w:rsidRPr="002649C1" w:rsidRDefault="001A5F90" w:rsidP="00A77970">
            <w:pPr>
              <w:rPr>
                <w:b/>
                <w:bCs/>
                <w:sz w:val="18"/>
                <w:szCs w:val="18"/>
              </w:rPr>
            </w:pPr>
            <w:r w:rsidRPr="002649C1">
              <w:rPr>
                <w:b/>
                <w:bCs/>
                <w:sz w:val="18"/>
                <w:szCs w:val="18"/>
              </w:rPr>
              <w:t>Total</w:t>
            </w:r>
          </w:p>
        </w:tc>
        <w:tc>
          <w:tcPr>
            <w:tcW w:w="768" w:type="dxa"/>
            <w:tcBorders>
              <w:top w:val="single" w:sz="4" w:space="0" w:color="FFFFFF"/>
            </w:tcBorders>
            <w:tcMar>
              <w:left w:w="57" w:type="dxa"/>
              <w:right w:w="57" w:type="dxa"/>
            </w:tcMar>
            <w:vAlign w:val="bottom"/>
          </w:tcPr>
          <w:p w:rsidR="001A5F90" w:rsidRPr="002649C1" w:rsidRDefault="001A5F90" w:rsidP="00A77970">
            <w:pPr>
              <w:jc w:val="right"/>
              <w:rPr>
                <w:sz w:val="18"/>
                <w:szCs w:val="18"/>
              </w:rPr>
            </w:pPr>
            <w:r w:rsidRPr="002649C1">
              <w:rPr>
                <w:sz w:val="18"/>
                <w:szCs w:val="18"/>
              </w:rPr>
              <w:t>6802</w:t>
            </w:r>
          </w:p>
        </w:tc>
        <w:tc>
          <w:tcPr>
            <w:tcW w:w="768" w:type="dxa"/>
            <w:tcBorders>
              <w:top w:val="single" w:sz="4" w:space="0" w:color="FFFFFF"/>
            </w:tcBorders>
            <w:tcMar>
              <w:left w:w="57" w:type="dxa"/>
              <w:right w:w="57" w:type="dxa"/>
            </w:tcMar>
            <w:vAlign w:val="bottom"/>
          </w:tcPr>
          <w:p w:rsidR="001A5F90" w:rsidRPr="002649C1" w:rsidRDefault="001A5F90" w:rsidP="00A77970">
            <w:pPr>
              <w:jc w:val="right"/>
              <w:rPr>
                <w:sz w:val="18"/>
                <w:szCs w:val="18"/>
              </w:rPr>
            </w:pPr>
            <w:r w:rsidRPr="002649C1">
              <w:rPr>
                <w:sz w:val="18"/>
                <w:szCs w:val="18"/>
              </w:rPr>
              <w:t>6006</w:t>
            </w:r>
          </w:p>
        </w:tc>
        <w:tc>
          <w:tcPr>
            <w:tcW w:w="768" w:type="dxa"/>
            <w:tcBorders>
              <w:top w:val="single" w:sz="4" w:space="0" w:color="FFFFFF"/>
            </w:tcBorders>
            <w:tcMar>
              <w:left w:w="57" w:type="dxa"/>
              <w:right w:w="57" w:type="dxa"/>
            </w:tcMar>
            <w:vAlign w:val="bottom"/>
          </w:tcPr>
          <w:p w:rsidR="001A5F90" w:rsidRPr="002649C1" w:rsidRDefault="001A5F90" w:rsidP="00A77970">
            <w:pPr>
              <w:jc w:val="right"/>
              <w:rPr>
                <w:sz w:val="18"/>
                <w:szCs w:val="18"/>
              </w:rPr>
            </w:pPr>
            <w:r w:rsidRPr="002649C1">
              <w:rPr>
                <w:sz w:val="18"/>
                <w:szCs w:val="18"/>
              </w:rPr>
              <w:t>5232</w:t>
            </w:r>
          </w:p>
        </w:tc>
        <w:tc>
          <w:tcPr>
            <w:tcW w:w="768" w:type="dxa"/>
            <w:tcBorders>
              <w:top w:val="single" w:sz="4" w:space="0" w:color="FFFFFF"/>
            </w:tcBorders>
            <w:tcMar>
              <w:left w:w="57" w:type="dxa"/>
              <w:right w:w="57" w:type="dxa"/>
            </w:tcMar>
            <w:vAlign w:val="bottom"/>
          </w:tcPr>
          <w:p w:rsidR="001A5F90" w:rsidRPr="002649C1" w:rsidRDefault="001A5F90" w:rsidP="00A77970">
            <w:pPr>
              <w:jc w:val="right"/>
              <w:rPr>
                <w:sz w:val="18"/>
                <w:szCs w:val="18"/>
              </w:rPr>
            </w:pPr>
            <w:r w:rsidRPr="002649C1">
              <w:rPr>
                <w:sz w:val="18"/>
                <w:szCs w:val="18"/>
              </w:rPr>
              <w:t>17845</w:t>
            </w:r>
          </w:p>
        </w:tc>
        <w:tc>
          <w:tcPr>
            <w:tcW w:w="768" w:type="dxa"/>
            <w:tcBorders>
              <w:top w:val="single" w:sz="4" w:space="0" w:color="FFFFFF"/>
            </w:tcBorders>
            <w:shd w:val="clear" w:color="auto" w:fill="auto"/>
            <w:tcMar>
              <w:left w:w="57" w:type="dxa"/>
              <w:right w:w="57" w:type="dxa"/>
            </w:tcMar>
            <w:vAlign w:val="bottom"/>
          </w:tcPr>
          <w:p w:rsidR="001A5F90" w:rsidRPr="002649C1" w:rsidRDefault="001A5F90" w:rsidP="00A77970">
            <w:pPr>
              <w:jc w:val="right"/>
              <w:rPr>
                <w:sz w:val="18"/>
                <w:szCs w:val="18"/>
              </w:rPr>
            </w:pPr>
            <w:r w:rsidRPr="002649C1">
              <w:rPr>
                <w:sz w:val="18"/>
                <w:szCs w:val="18"/>
              </w:rPr>
              <w:t>18594</w:t>
            </w:r>
          </w:p>
        </w:tc>
        <w:tc>
          <w:tcPr>
            <w:tcW w:w="768" w:type="dxa"/>
            <w:tcBorders>
              <w:top w:val="single" w:sz="4" w:space="0" w:color="FFFFFF"/>
            </w:tcBorders>
            <w:tcMar>
              <w:left w:w="57" w:type="dxa"/>
              <w:right w:w="57" w:type="dxa"/>
            </w:tcMar>
            <w:vAlign w:val="bottom"/>
          </w:tcPr>
          <w:p w:rsidR="001A5F90" w:rsidRPr="002649C1" w:rsidRDefault="001A5F90" w:rsidP="00A77970">
            <w:pPr>
              <w:jc w:val="right"/>
              <w:rPr>
                <w:sz w:val="18"/>
                <w:szCs w:val="18"/>
              </w:rPr>
            </w:pPr>
            <w:r w:rsidRPr="002649C1">
              <w:rPr>
                <w:sz w:val="18"/>
                <w:szCs w:val="18"/>
              </w:rPr>
              <w:t>19753</w:t>
            </w:r>
          </w:p>
        </w:tc>
        <w:tc>
          <w:tcPr>
            <w:tcW w:w="768" w:type="dxa"/>
            <w:tcBorders>
              <w:top w:val="single" w:sz="4" w:space="0" w:color="FFFFFF"/>
            </w:tcBorders>
            <w:tcMar>
              <w:left w:w="57" w:type="dxa"/>
              <w:right w:w="57" w:type="dxa"/>
            </w:tcMar>
            <w:vAlign w:val="bottom"/>
          </w:tcPr>
          <w:p w:rsidR="001A5F90" w:rsidRPr="002649C1" w:rsidRDefault="001A5F90" w:rsidP="00A77970">
            <w:pPr>
              <w:jc w:val="right"/>
              <w:rPr>
                <w:sz w:val="18"/>
                <w:szCs w:val="18"/>
              </w:rPr>
            </w:pPr>
            <w:r w:rsidRPr="002649C1">
              <w:rPr>
                <w:sz w:val="18"/>
                <w:szCs w:val="18"/>
              </w:rPr>
              <w:t>21467</w:t>
            </w:r>
          </w:p>
        </w:tc>
        <w:tc>
          <w:tcPr>
            <w:tcW w:w="768" w:type="dxa"/>
            <w:tcBorders>
              <w:top w:val="single" w:sz="4" w:space="0" w:color="FFFFFF"/>
            </w:tcBorders>
            <w:tcMar>
              <w:left w:w="57" w:type="dxa"/>
              <w:right w:w="57" w:type="dxa"/>
            </w:tcMar>
            <w:vAlign w:val="bottom"/>
          </w:tcPr>
          <w:p w:rsidR="001A5F90" w:rsidRPr="002649C1" w:rsidRDefault="001A5F90" w:rsidP="00A77970">
            <w:pPr>
              <w:jc w:val="right"/>
              <w:rPr>
                <w:sz w:val="18"/>
                <w:szCs w:val="18"/>
              </w:rPr>
            </w:pPr>
            <w:r w:rsidRPr="002649C1">
              <w:rPr>
                <w:sz w:val="18"/>
                <w:szCs w:val="18"/>
              </w:rPr>
              <w:t>23457</w:t>
            </w:r>
          </w:p>
        </w:tc>
        <w:tc>
          <w:tcPr>
            <w:tcW w:w="769" w:type="dxa"/>
            <w:tcBorders>
              <w:top w:val="single" w:sz="4" w:space="0" w:color="FFFFFF"/>
            </w:tcBorders>
            <w:tcMar>
              <w:left w:w="57" w:type="dxa"/>
              <w:right w:w="57" w:type="dxa"/>
            </w:tcMar>
            <w:vAlign w:val="bottom"/>
          </w:tcPr>
          <w:p w:rsidR="001A5F90" w:rsidRPr="002649C1" w:rsidRDefault="001A5F90" w:rsidP="00A77970">
            <w:pPr>
              <w:jc w:val="right"/>
              <w:rPr>
                <w:sz w:val="18"/>
                <w:szCs w:val="18"/>
              </w:rPr>
            </w:pPr>
            <w:r w:rsidRPr="002649C1">
              <w:rPr>
                <w:sz w:val="18"/>
                <w:szCs w:val="18"/>
              </w:rPr>
              <w:t>24365</w:t>
            </w:r>
          </w:p>
        </w:tc>
      </w:tr>
      <w:tr w:rsidR="001A5F90" w:rsidRPr="002649C1" w:rsidTr="001A5F90">
        <w:trPr>
          <w:trHeight w:val="329"/>
        </w:trPr>
        <w:tc>
          <w:tcPr>
            <w:tcW w:w="2029" w:type="dxa"/>
            <w:vMerge w:val="restart"/>
            <w:shd w:val="clear" w:color="auto" w:fill="auto"/>
            <w:vAlign w:val="center"/>
          </w:tcPr>
          <w:p w:rsidR="001A5F90" w:rsidRPr="002649C1" w:rsidRDefault="001A5F90" w:rsidP="00A77970">
            <w:pPr>
              <w:rPr>
                <w:b/>
                <w:bCs/>
                <w:sz w:val="18"/>
                <w:szCs w:val="18"/>
              </w:rPr>
            </w:pPr>
            <w:r w:rsidRPr="002649C1">
              <w:rPr>
                <w:b/>
                <w:bCs/>
                <w:sz w:val="18"/>
                <w:szCs w:val="18"/>
              </w:rPr>
              <w:t>Vehicule rutiere pentru scopuri speciale</w:t>
            </w:r>
          </w:p>
        </w:tc>
        <w:tc>
          <w:tcPr>
            <w:tcW w:w="1275" w:type="dxa"/>
            <w:shd w:val="clear" w:color="auto" w:fill="auto"/>
            <w:tcMar>
              <w:left w:w="57" w:type="dxa"/>
              <w:right w:w="57" w:type="dxa"/>
            </w:tcMar>
            <w:vAlign w:val="bottom"/>
          </w:tcPr>
          <w:p w:rsidR="001A5F90" w:rsidRPr="002649C1" w:rsidRDefault="001A5F90" w:rsidP="00A77970">
            <w:pPr>
              <w:rPr>
                <w:b/>
                <w:bCs/>
                <w:sz w:val="18"/>
                <w:szCs w:val="18"/>
              </w:rPr>
            </w:pPr>
            <w:r w:rsidRPr="002649C1">
              <w:rPr>
                <w:b/>
                <w:bCs/>
                <w:sz w:val="18"/>
                <w:szCs w:val="18"/>
              </w:rPr>
              <w:t>Total</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13839</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11605</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10916</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10266</w:t>
            </w:r>
          </w:p>
        </w:tc>
        <w:tc>
          <w:tcPr>
            <w:tcW w:w="768" w:type="dxa"/>
            <w:shd w:val="clear" w:color="auto" w:fill="auto"/>
            <w:tcMar>
              <w:left w:w="57" w:type="dxa"/>
              <w:right w:w="57" w:type="dxa"/>
            </w:tcMar>
            <w:vAlign w:val="bottom"/>
          </w:tcPr>
          <w:p w:rsidR="001A5F90" w:rsidRPr="002649C1" w:rsidRDefault="001A5F90" w:rsidP="00A77970">
            <w:pPr>
              <w:jc w:val="right"/>
              <w:rPr>
                <w:sz w:val="18"/>
                <w:szCs w:val="18"/>
              </w:rPr>
            </w:pPr>
            <w:r w:rsidRPr="002649C1">
              <w:rPr>
                <w:sz w:val="18"/>
                <w:szCs w:val="18"/>
              </w:rPr>
              <w:t>10080</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10039</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10199</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10353</w:t>
            </w:r>
          </w:p>
        </w:tc>
        <w:tc>
          <w:tcPr>
            <w:tcW w:w="769" w:type="dxa"/>
            <w:tcMar>
              <w:left w:w="57" w:type="dxa"/>
              <w:right w:w="57" w:type="dxa"/>
            </w:tcMar>
            <w:vAlign w:val="bottom"/>
          </w:tcPr>
          <w:p w:rsidR="001A5F90" w:rsidRPr="002649C1" w:rsidRDefault="001A5F90" w:rsidP="00A77970">
            <w:pPr>
              <w:jc w:val="right"/>
              <w:rPr>
                <w:sz w:val="18"/>
                <w:szCs w:val="18"/>
              </w:rPr>
            </w:pPr>
            <w:r w:rsidRPr="002649C1">
              <w:rPr>
                <w:sz w:val="18"/>
                <w:szCs w:val="18"/>
              </w:rPr>
              <w:t>10634</w:t>
            </w:r>
          </w:p>
        </w:tc>
      </w:tr>
      <w:tr w:rsidR="001A5F90" w:rsidRPr="002649C1" w:rsidTr="001A5F90">
        <w:trPr>
          <w:trHeight w:val="255"/>
        </w:trPr>
        <w:tc>
          <w:tcPr>
            <w:tcW w:w="2029" w:type="dxa"/>
            <w:vMerge/>
            <w:shd w:val="clear" w:color="auto" w:fill="auto"/>
            <w:vAlign w:val="center"/>
          </w:tcPr>
          <w:p w:rsidR="001A5F90" w:rsidRPr="002649C1" w:rsidRDefault="001A5F90" w:rsidP="00A77970">
            <w:pPr>
              <w:rPr>
                <w:b/>
                <w:bCs/>
                <w:sz w:val="18"/>
                <w:szCs w:val="18"/>
              </w:rPr>
            </w:pPr>
          </w:p>
        </w:tc>
        <w:tc>
          <w:tcPr>
            <w:tcW w:w="1275" w:type="dxa"/>
            <w:shd w:val="clear" w:color="auto" w:fill="auto"/>
            <w:tcMar>
              <w:left w:w="57" w:type="dxa"/>
              <w:right w:w="57" w:type="dxa"/>
            </w:tcMar>
            <w:vAlign w:val="bottom"/>
          </w:tcPr>
          <w:p w:rsidR="001A5F90" w:rsidRPr="002649C1" w:rsidRDefault="001A5F90" w:rsidP="00A77970">
            <w:pPr>
              <w:rPr>
                <w:bCs/>
                <w:sz w:val="18"/>
                <w:szCs w:val="18"/>
              </w:rPr>
            </w:pPr>
            <w:r w:rsidRPr="002649C1">
              <w:rPr>
                <w:bCs/>
                <w:sz w:val="18"/>
                <w:szCs w:val="18"/>
              </w:rPr>
              <w:t>Persoane fizice</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205</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231</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254</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308</w:t>
            </w:r>
          </w:p>
        </w:tc>
        <w:tc>
          <w:tcPr>
            <w:tcW w:w="768" w:type="dxa"/>
            <w:shd w:val="clear" w:color="auto" w:fill="auto"/>
            <w:tcMar>
              <w:left w:w="57" w:type="dxa"/>
              <w:right w:w="57" w:type="dxa"/>
            </w:tcMar>
            <w:vAlign w:val="bottom"/>
          </w:tcPr>
          <w:p w:rsidR="001A5F90" w:rsidRPr="002649C1" w:rsidRDefault="001A5F90" w:rsidP="00A77970">
            <w:pPr>
              <w:jc w:val="right"/>
              <w:rPr>
                <w:sz w:val="18"/>
                <w:szCs w:val="18"/>
              </w:rPr>
            </w:pPr>
            <w:r w:rsidRPr="002649C1">
              <w:rPr>
                <w:sz w:val="18"/>
                <w:szCs w:val="18"/>
              </w:rPr>
              <w:t>305</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339</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373</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427</w:t>
            </w:r>
          </w:p>
        </w:tc>
        <w:tc>
          <w:tcPr>
            <w:tcW w:w="769" w:type="dxa"/>
            <w:tcMar>
              <w:left w:w="57" w:type="dxa"/>
              <w:right w:w="57" w:type="dxa"/>
            </w:tcMar>
            <w:vAlign w:val="bottom"/>
          </w:tcPr>
          <w:p w:rsidR="001A5F90" w:rsidRPr="002649C1" w:rsidRDefault="001A5F90" w:rsidP="00A77970">
            <w:pPr>
              <w:jc w:val="right"/>
              <w:rPr>
                <w:sz w:val="18"/>
                <w:szCs w:val="18"/>
              </w:rPr>
            </w:pPr>
            <w:r w:rsidRPr="002649C1">
              <w:rPr>
                <w:sz w:val="18"/>
                <w:szCs w:val="18"/>
              </w:rPr>
              <w:t>593</w:t>
            </w:r>
          </w:p>
        </w:tc>
      </w:tr>
      <w:tr w:rsidR="001A5F90" w:rsidRPr="002649C1" w:rsidTr="001A5F90">
        <w:trPr>
          <w:trHeight w:val="255"/>
        </w:trPr>
        <w:tc>
          <w:tcPr>
            <w:tcW w:w="2029" w:type="dxa"/>
            <w:vMerge w:val="restart"/>
            <w:shd w:val="clear" w:color="auto" w:fill="auto"/>
            <w:vAlign w:val="center"/>
          </w:tcPr>
          <w:p w:rsidR="001A5F90" w:rsidRPr="002649C1" w:rsidRDefault="001A5F90" w:rsidP="00A77970">
            <w:pPr>
              <w:rPr>
                <w:b/>
                <w:bCs/>
                <w:sz w:val="18"/>
                <w:szCs w:val="18"/>
              </w:rPr>
            </w:pPr>
            <w:r w:rsidRPr="002649C1">
              <w:rPr>
                <w:b/>
                <w:bCs/>
                <w:sz w:val="18"/>
                <w:szCs w:val="18"/>
              </w:rPr>
              <w:t>Tractoare</w:t>
            </w:r>
          </w:p>
        </w:tc>
        <w:tc>
          <w:tcPr>
            <w:tcW w:w="1275" w:type="dxa"/>
            <w:shd w:val="clear" w:color="auto" w:fill="auto"/>
            <w:tcMar>
              <w:left w:w="57" w:type="dxa"/>
              <w:right w:w="57" w:type="dxa"/>
            </w:tcMar>
            <w:vAlign w:val="bottom"/>
          </w:tcPr>
          <w:p w:rsidR="001A5F90" w:rsidRPr="002649C1" w:rsidRDefault="001A5F90" w:rsidP="00A77970">
            <w:pPr>
              <w:rPr>
                <w:b/>
                <w:bCs/>
                <w:sz w:val="18"/>
                <w:szCs w:val="18"/>
              </w:rPr>
            </w:pPr>
            <w:r w:rsidRPr="002649C1">
              <w:rPr>
                <w:b/>
                <w:bCs/>
                <w:sz w:val="18"/>
                <w:szCs w:val="18"/>
              </w:rPr>
              <w:t>Total</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3029</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2982</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2976</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2976</w:t>
            </w:r>
          </w:p>
        </w:tc>
        <w:tc>
          <w:tcPr>
            <w:tcW w:w="768" w:type="dxa"/>
            <w:shd w:val="clear" w:color="auto" w:fill="auto"/>
            <w:tcMar>
              <w:left w:w="57" w:type="dxa"/>
              <w:right w:w="57" w:type="dxa"/>
            </w:tcMar>
            <w:vAlign w:val="bottom"/>
          </w:tcPr>
          <w:p w:rsidR="001A5F90" w:rsidRPr="002649C1" w:rsidRDefault="001A5F90" w:rsidP="00A77970">
            <w:pPr>
              <w:jc w:val="right"/>
              <w:rPr>
                <w:sz w:val="18"/>
                <w:szCs w:val="18"/>
              </w:rPr>
            </w:pPr>
            <w:r w:rsidRPr="002649C1">
              <w:rPr>
                <w:sz w:val="18"/>
                <w:szCs w:val="18"/>
              </w:rPr>
              <w:t>2994</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3025</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3061</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3089</w:t>
            </w:r>
          </w:p>
        </w:tc>
        <w:tc>
          <w:tcPr>
            <w:tcW w:w="769" w:type="dxa"/>
            <w:tcMar>
              <w:left w:w="57" w:type="dxa"/>
              <w:right w:w="57" w:type="dxa"/>
            </w:tcMar>
            <w:vAlign w:val="bottom"/>
          </w:tcPr>
          <w:p w:rsidR="001A5F90" w:rsidRPr="002649C1" w:rsidRDefault="001A5F90" w:rsidP="00A77970">
            <w:pPr>
              <w:jc w:val="right"/>
              <w:rPr>
                <w:sz w:val="18"/>
                <w:szCs w:val="18"/>
              </w:rPr>
            </w:pPr>
            <w:r w:rsidRPr="002649C1">
              <w:rPr>
                <w:sz w:val="18"/>
                <w:szCs w:val="18"/>
              </w:rPr>
              <w:t>3066</w:t>
            </w:r>
          </w:p>
        </w:tc>
      </w:tr>
      <w:tr w:rsidR="001A5F90" w:rsidRPr="002649C1" w:rsidTr="001A5F90">
        <w:trPr>
          <w:trHeight w:val="255"/>
        </w:trPr>
        <w:tc>
          <w:tcPr>
            <w:tcW w:w="2029" w:type="dxa"/>
            <w:vMerge/>
            <w:shd w:val="clear" w:color="auto" w:fill="auto"/>
            <w:vAlign w:val="center"/>
          </w:tcPr>
          <w:p w:rsidR="001A5F90" w:rsidRPr="002649C1" w:rsidRDefault="001A5F90" w:rsidP="00A77970">
            <w:pPr>
              <w:rPr>
                <w:b/>
                <w:bCs/>
                <w:sz w:val="18"/>
                <w:szCs w:val="18"/>
              </w:rPr>
            </w:pPr>
          </w:p>
        </w:tc>
        <w:tc>
          <w:tcPr>
            <w:tcW w:w="1275" w:type="dxa"/>
            <w:shd w:val="clear" w:color="auto" w:fill="auto"/>
            <w:tcMar>
              <w:left w:w="57" w:type="dxa"/>
              <w:right w:w="57" w:type="dxa"/>
            </w:tcMar>
            <w:vAlign w:val="bottom"/>
          </w:tcPr>
          <w:p w:rsidR="001A5F90" w:rsidRPr="002649C1" w:rsidRDefault="001A5F90" w:rsidP="00A77970">
            <w:pPr>
              <w:rPr>
                <w:bCs/>
                <w:sz w:val="18"/>
                <w:szCs w:val="18"/>
              </w:rPr>
            </w:pPr>
            <w:r w:rsidRPr="002649C1">
              <w:rPr>
                <w:bCs/>
                <w:sz w:val="18"/>
                <w:szCs w:val="18"/>
              </w:rPr>
              <w:t>Persoane fizice</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898</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875</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859</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851</w:t>
            </w:r>
          </w:p>
        </w:tc>
        <w:tc>
          <w:tcPr>
            <w:tcW w:w="768" w:type="dxa"/>
            <w:shd w:val="clear" w:color="auto" w:fill="auto"/>
            <w:tcMar>
              <w:left w:w="57" w:type="dxa"/>
              <w:right w:w="57" w:type="dxa"/>
            </w:tcMar>
            <w:vAlign w:val="bottom"/>
          </w:tcPr>
          <w:p w:rsidR="001A5F90" w:rsidRPr="002649C1" w:rsidRDefault="001A5F90" w:rsidP="00A77970">
            <w:pPr>
              <w:jc w:val="right"/>
              <w:rPr>
                <w:sz w:val="18"/>
                <w:szCs w:val="18"/>
              </w:rPr>
            </w:pPr>
            <w:r w:rsidRPr="002649C1">
              <w:rPr>
                <w:sz w:val="18"/>
                <w:szCs w:val="18"/>
              </w:rPr>
              <w:t>843</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837</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836</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833</w:t>
            </w:r>
          </w:p>
        </w:tc>
        <w:tc>
          <w:tcPr>
            <w:tcW w:w="769" w:type="dxa"/>
            <w:tcMar>
              <w:left w:w="57" w:type="dxa"/>
              <w:right w:w="57" w:type="dxa"/>
            </w:tcMar>
            <w:vAlign w:val="bottom"/>
          </w:tcPr>
          <w:p w:rsidR="001A5F90" w:rsidRPr="002649C1" w:rsidRDefault="001A5F90" w:rsidP="00A77970">
            <w:pPr>
              <w:jc w:val="right"/>
              <w:rPr>
                <w:sz w:val="18"/>
                <w:szCs w:val="18"/>
              </w:rPr>
            </w:pPr>
            <w:r w:rsidRPr="002649C1">
              <w:rPr>
                <w:sz w:val="18"/>
                <w:szCs w:val="18"/>
              </w:rPr>
              <w:t>832</w:t>
            </w:r>
          </w:p>
        </w:tc>
      </w:tr>
      <w:tr w:rsidR="001A5F90" w:rsidRPr="002649C1" w:rsidTr="001A5F90">
        <w:trPr>
          <w:trHeight w:val="255"/>
        </w:trPr>
        <w:tc>
          <w:tcPr>
            <w:tcW w:w="2029" w:type="dxa"/>
            <w:vMerge w:val="restart"/>
            <w:shd w:val="clear" w:color="auto" w:fill="auto"/>
            <w:vAlign w:val="center"/>
          </w:tcPr>
          <w:p w:rsidR="001A5F90" w:rsidRPr="002649C1" w:rsidRDefault="001A5F90" w:rsidP="00A77970">
            <w:pPr>
              <w:rPr>
                <w:b/>
                <w:bCs/>
                <w:sz w:val="18"/>
                <w:szCs w:val="18"/>
              </w:rPr>
            </w:pPr>
            <w:r w:rsidRPr="002649C1">
              <w:rPr>
                <w:b/>
                <w:bCs/>
                <w:sz w:val="18"/>
                <w:szCs w:val="18"/>
              </w:rPr>
              <w:t>Remorci şi semiremorci</w:t>
            </w:r>
          </w:p>
        </w:tc>
        <w:tc>
          <w:tcPr>
            <w:tcW w:w="1275" w:type="dxa"/>
            <w:shd w:val="clear" w:color="auto" w:fill="auto"/>
            <w:tcMar>
              <w:left w:w="57" w:type="dxa"/>
              <w:right w:w="57" w:type="dxa"/>
            </w:tcMar>
            <w:vAlign w:val="bottom"/>
          </w:tcPr>
          <w:p w:rsidR="001A5F90" w:rsidRPr="002649C1" w:rsidRDefault="001A5F90" w:rsidP="00A77970">
            <w:pPr>
              <w:rPr>
                <w:b/>
                <w:bCs/>
                <w:sz w:val="18"/>
                <w:szCs w:val="18"/>
              </w:rPr>
            </w:pPr>
            <w:r w:rsidRPr="002649C1">
              <w:rPr>
                <w:b/>
                <w:bCs/>
                <w:sz w:val="18"/>
                <w:szCs w:val="18"/>
              </w:rPr>
              <w:t>Total</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38991</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38539</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38915</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38960</w:t>
            </w:r>
          </w:p>
        </w:tc>
        <w:tc>
          <w:tcPr>
            <w:tcW w:w="768" w:type="dxa"/>
            <w:shd w:val="clear" w:color="auto" w:fill="auto"/>
            <w:tcMar>
              <w:left w:w="57" w:type="dxa"/>
              <w:right w:w="57" w:type="dxa"/>
            </w:tcMar>
            <w:vAlign w:val="bottom"/>
          </w:tcPr>
          <w:p w:rsidR="001A5F90" w:rsidRPr="002649C1" w:rsidRDefault="001A5F90" w:rsidP="00A77970">
            <w:pPr>
              <w:jc w:val="right"/>
              <w:rPr>
                <w:sz w:val="18"/>
                <w:szCs w:val="18"/>
              </w:rPr>
            </w:pPr>
            <w:r w:rsidRPr="002649C1">
              <w:rPr>
                <w:sz w:val="18"/>
                <w:szCs w:val="18"/>
              </w:rPr>
              <w:t>39095</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40053</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41443</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43359</w:t>
            </w:r>
          </w:p>
        </w:tc>
        <w:tc>
          <w:tcPr>
            <w:tcW w:w="769" w:type="dxa"/>
            <w:tcMar>
              <w:left w:w="57" w:type="dxa"/>
              <w:right w:w="57" w:type="dxa"/>
            </w:tcMar>
            <w:vAlign w:val="bottom"/>
          </w:tcPr>
          <w:p w:rsidR="001A5F90" w:rsidRPr="002649C1" w:rsidRDefault="001A5F90" w:rsidP="00A77970">
            <w:pPr>
              <w:jc w:val="right"/>
              <w:rPr>
                <w:sz w:val="18"/>
                <w:szCs w:val="18"/>
              </w:rPr>
            </w:pPr>
            <w:r w:rsidRPr="002649C1">
              <w:rPr>
                <w:sz w:val="18"/>
                <w:szCs w:val="18"/>
              </w:rPr>
              <w:t>44996</w:t>
            </w:r>
          </w:p>
        </w:tc>
      </w:tr>
      <w:tr w:rsidR="001A5F90" w:rsidRPr="002649C1" w:rsidTr="001A5F90">
        <w:trPr>
          <w:trHeight w:val="255"/>
        </w:trPr>
        <w:tc>
          <w:tcPr>
            <w:tcW w:w="2029" w:type="dxa"/>
            <w:vMerge/>
            <w:shd w:val="clear" w:color="auto" w:fill="auto"/>
            <w:vAlign w:val="center"/>
          </w:tcPr>
          <w:p w:rsidR="001A5F90" w:rsidRPr="002649C1" w:rsidRDefault="001A5F90" w:rsidP="00A77970">
            <w:pPr>
              <w:rPr>
                <w:b/>
                <w:bCs/>
                <w:sz w:val="18"/>
                <w:szCs w:val="18"/>
              </w:rPr>
            </w:pPr>
          </w:p>
        </w:tc>
        <w:tc>
          <w:tcPr>
            <w:tcW w:w="1275" w:type="dxa"/>
            <w:shd w:val="clear" w:color="auto" w:fill="auto"/>
            <w:tcMar>
              <w:left w:w="57" w:type="dxa"/>
              <w:right w:w="57" w:type="dxa"/>
            </w:tcMar>
            <w:vAlign w:val="bottom"/>
          </w:tcPr>
          <w:p w:rsidR="001A5F90" w:rsidRPr="002649C1" w:rsidRDefault="001A5F90" w:rsidP="00A77970">
            <w:pPr>
              <w:rPr>
                <w:bCs/>
                <w:sz w:val="18"/>
                <w:szCs w:val="18"/>
              </w:rPr>
            </w:pPr>
            <w:r w:rsidRPr="002649C1">
              <w:rPr>
                <w:bCs/>
                <w:sz w:val="18"/>
                <w:szCs w:val="18"/>
              </w:rPr>
              <w:t>Persoane fizice</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11516</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12130</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12725</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13314</w:t>
            </w:r>
          </w:p>
        </w:tc>
        <w:tc>
          <w:tcPr>
            <w:tcW w:w="768" w:type="dxa"/>
            <w:shd w:val="clear" w:color="auto" w:fill="auto"/>
            <w:tcMar>
              <w:left w:w="57" w:type="dxa"/>
              <w:right w:w="57" w:type="dxa"/>
            </w:tcMar>
            <w:vAlign w:val="bottom"/>
          </w:tcPr>
          <w:p w:rsidR="001A5F90" w:rsidRPr="002649C1" w:rsidRDefault="001A5F90" w:rsidP="00A77970">
            <w:pPr>
              <w:jc w:val="right"/>
              <w:rPr>
                <w:sz w:val="18"/>
                <w:szCs w:val="18"/>
              </w:rPr>
            </w:pPr>
            <w:r w:rsidRPr="002649C1">
              <w:rPr>
                <w:sz w:val="18"/>
                <w:szCs w:val="18"/>
              </w:rPr>
              <w:t>13856</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14482</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15153</w:t>
            </w:r>
          </w:p>
        </w:tc>
        <w:tc>
          <w:tcPr>
            <w:tcW w:w="768" w:type="dxa"/>
            <w:tcMar>
              <w:left w:w="57" w:type="dxa"/>
              <w:right w:w="57" w:type="dxa"/>
            </w:tcMar>
            <w:vAlign w:val="bottom"/>
          </w:tcPr>
          <w:p w:rsidR="001A5F90" w:rsidRPr="002649C1" w:rsidRDefault="001A5F90" w:rsidP="00A77970">
            <w:pPr>
              <w:jc w:val="right"/>
              <w:rPr>
                <w:sz w:val="18"/>
                <w:szCs w:val="18"/>
              </w:rPr>
            </w:pPr>
            <w:r w:rsidRPr="002649C1">
              <w:rPr>
                <w:sz w:val="18"/>
                <w:szCs w:val="18"/>
              </w:rPr>
              <w:t>15934</w:t>
            </w:r>
          </w:p>
        </w:tc>
        <w:tc>
          <w:tcPr>
            <w:tcW w:w="769" w:type="dxa"/>
            <w:tcMar>
              <w:left w:w="57" w:type="dxa"/>
              <w:right w:w="57" w:type="dxa"/>
            </w:tcMar>
            <w:vAlign w:val="bottom"/>
          </w:tcPr>
          <w:p w:rsidR="001A5F90" w:rsidRPr="002649C1" w:rsidRDefault="001A5F90" w:rsidP="00A77970">
            <w:pPr>
              <w:jc w:val="right"/>
              <w:rPr>
                <w:sz w:val="18"/>
                <w:szCs w:val="18"/>
              </w:rPr>
            </w:pPr>
            <w:r w:rsidRPr="002649C1">
              <w:rPr>
                <w:sz w:val="18"/>
                <w:szCs w:val="18"/>
              </w:rPr>
              <w:t>16733</w:t>
            </w:r>
          </w:p>
        </w:tc>
      </w:tr>
    </w:tbl>
    <w:p w:rsidR="000A4903" w:rsidRDefault="000A4903" w:rsidP="00A77970">
      <w:pPr>
        <w:ind w:left="142"/>
        <w:jc w:val="center"/>
        <w:rPr>
          <w:b/>
          <w:kern w:val="28"/>
          <w:lang w:val="en-US" w:eastAsia="en-US"/>
        </w:rPr>
      </w:pPr>
    </w:p>
    <w:p w:rsidR="003E3FEE" w:rsidRDefault="003E3FEE" w:rsidP="00A77970">
      <w:pPr>
        <w:ind w:firstLine="709"/>
        <w:jc w:val="both"/>
        <w:outlineLvl w:val="1"/>
        <w:rPr>
          <w:kern w:val="28"/>
          <w:lang w:eastAsia="en-US"/>
        </w:rPr>
      </w:pPr>
      <w:r w:rsidRPr="003E3FEE">
        <w:rPr>
          <w:b/>
          <w:kern w:val="28"/>
          <w:lang w:eastAsia="en-US"/>
        </w:rPr>
        <w:t xml:space="preserve">S.T.B (Societatea de Transport București) </w:t>
      </w:r>
      <w:r w:rsidRPr="003E3FEE">
        <w:rPr>
          <w:kern w:val="28"/>
          <w:lang w:eastAsia="en-US"/>
        </w:rPr>
        <w:t>este principala companie de transport public de persoane din București și județul Ilfov și asigură t</w:t>
      </w:r>
      <w:r w:rsidR="009B21F8" w:rsidRPr="003E3FEE">
        <w:rPr>
          <w:kern w:val="28"/>
          <w:lang w:eastAsia="en-US"/>
        </w:rPr>
        <w:t>ransportul în comun de suprafață</w:t>
      </w:r>
      <w:r>
        <w:rPr>
          <w:kern w:val="28"/>
          <w:lang w:eastAsia="en-US"/>
        </w:rPr>
        <w:t>.</w:t>
      </w:r>
    </w:p>
    <w:p w:rsidR="003E3FEE" w:rsidRDefault="003E3FEE" w:rsidP="00A77970">
      <w:pPr>
        <w:ind w:firstLine="709"/>
        <w:jc w:val="both"/>
        <w:outlineLvl w:val="1"/>
        <w:rPr>
          <w:kern w:val="28"/>
          <w:lang w:eastAsia="en-US"/>
        </w:rPr>
      </w:pPr>
      <w:r w:rsidRPr="003E3FEE">
        <w:rPr>
          <w:kern w:val="28"/>
          <w:lang w:eastAsia="en-US"/>
        </w:rPr>
        <w:t xml:space="preserve">A fost creată prin reorganizarea Regiei Autonome de Transport </w:t>
      </w:r>
      <w:r>
        <w:rPr>
          <w:kern w:val="28"/>
          <w:lang w:eastAsia="en-US"/>
        </w:rPr>
        <w:t>București în septembrie 2018.</w:t>
      </w:r>
      <w:r w:rsidRPr="003E3FEE">
        <w:rPr>
          <w:kern w:val="28"/>
          <w:lang w:eastAsia="en-US"/>
        </w:rPr>
        <w:t xml:space="preserve"> Transportul public de suprafață în București este responsabilitatea Societății de Transport București (STB) și include o rețea întinsă de autobuze, troleibuze și tramvaie. Rețeaua STB este una dintre cele mai dense din Europa, fiind a patra cea mai întinsă de pe continent și transportând </w:t>
      </w:r>
      <w:r>
        <w:rPr>
          <w:kern w:val="28"/>
          <w:lang w:eastAsia="en-US"/>
        </w:rPr>
        <w:t>2,4 milioane de pasageri pe zi</w:t>
      </w:r>
      <w:r w:rsidRPr="003E3FEE">
        <w:rPr>
          <w:kern w:val="28"/>
          <w:lang w:eastAsia="en-US"/>
        </w:rPr>
        <w:t xml:space="preserve"> pe cele 130 linii de autobuz, 17 linii de troleibuz și 26 linii de tramvai (incluzând metroul ușor menționat).</w:t>
      </w:r>
    </w:p>
    <w:p w:rsidR="003E3FEE" w:rsidRDefault="003E3FEE" w:rsidP="00A77970">
      <w:pPr>
        <w:ind w:firstLine="709"/>
        <w:jc w:val="both"/>
        <w:outlineLvl w:val="1"/>
        <w:rPr>
          <w:kern w:val="28"/>
          <w:lang w:eastAsia="en-US"/>
        </w:rPr>
      </w:pPr>
      <w:r w:rsidRPr="003E3FEE">
        <w:rPr>
          <w:kern w:val="28"/>
          <w:lang w:eastAsia="en-US"/>
        </w:rPr>
        <w:t>STB operează un număr de 173 de trasee de autobuz, troleibuz și tramvai</w:t>
      </w:r>
      <w:r>
        <w:rPr>
          <w:kern w:val="28"/>
          <w:lang w:eastAsia="en-US"/>
        </w:rPr>
        <w:t>.</w:t>
      </w:r>
    </w:p>
    <w:p w:rsidR="003E3FEE" w:rsidRDefault="003E3FEE" w:rsidP="00A77970">
      <w:pPr>
        <w:ind w:firstLine="709"/>
        <w:jc w:val="both"/>
        <w:outlineLvl w:val="1"/>
        <w:rPr>
          <w:kern w:val="28"/>
          <w:lang w:eastAsia="en-US"/>
        </w:rPr>
      </w:pPr>
      <w:r w:rsidRPr="003E3FEE">
        <w:rPr>
          <w:kern w:val="28"/>
          <w:lang w:eastAsia="en-US"/>
        </w:rPr>
        <w:t>În ianuarie 2019 existau în total 130 l</w:t>
      </w:r>
      <w:r>
        <w:rPr>
          <w:kern w:val="28"/>
          <w:lang w:eastAsia="en-US"/>
        </w:rPr>
        <w:t>inii urbane și preorășenești,</w:t>
      </w:r>
      <w:r w:rsidRPr="003E3FEE">
        <w:rPr>
          <w:kern w:val="28"/>
          <w:lang w:eastAsia="en-US"/>
        </w:rPr>
        <w:t xml:space="preserve"> pe care cir</w:t>
      </w:r>
      <w:r>
        <w:rPr>
          <w:kern w:val="28"/>
          <w:lang w:eastAsia="en-US"/>
        </w:rPr>
        <w:t xml:space="preserve">culă peste 1100 de autobuze. </w:t>
      </w:r>
      <w:r w:rsidRPr="003E3FEE">
        <w:rPr>
          <w:kern w:val="28"/>
          <w:lang w:eastAsia="en-US"/>
        </w:rPr>
        <w:t>Majoritatea liniilor de autobuz nu beneficiază de culoare de circulație rezervate și prin urmare viteza lor comercială este, mai ales în orele de vârf, foarte slabă (12 km/oră). În PMUD se prevede crearea a 50 km de benzi speciale de autobuz până în 2030, în special pe segmentele aglomerate (peste 1.000 căl./h), dar și pentru facilitarea transportului intermodal.</w:t>
      </w:r>
    </w:p>
    <w:p w:rsidR="003E3FEE" w:rsidRPr="003E3FEE" w:rsidRDefault="003E3FEE" w:rsidP="003E3FEE">
      <w:pPr>
        <w:ind w:firstLine="709"/>
        <w:jc w:val="both"/>
        <w:outlineLvl w:val="1"/>
        <w:rPr>
          <w:kern w:val="28"/>
          <w:lang w:eastAsia="en-US"/>
        </w:rPr>
      </w:pPr>
      <w:r w:rsidRPr="003E3FEE">
        <w:rPr>
          <w:kern w:val="28"/>
          <w:lang w:eastAsia="en-US"/>
        </w:rPr>
        <w:t xml:space="preserve">Pe lângă liniile obișnuite de autobuz, există și două linii expres ce fac legătura cu Aeroportul Henri Coandă. Cele două linii pornesc de la Gara de </w:t>
      </w:r>
      <w:r>
        <w:rPr>
          <w:kern w:val="28"/>
          <w:lang w:eastAsia="en-US"/>
        </w:rPr>
        <w:t>Nord, respectiv Piața Unirii</w:t>
      </w:r>
      <w:r w:rsidRPr="003E3FEE">
        <w:rPr>
          <w:kern w:val="28"/>
          <w:lang w:eastAsia="en-US"/>
        </w:rPr>
        <w:t xml:space="preserve"> și necesită plata unui tarif special, de p</w:t>
      </w:r>
      <w:r>
        <w:rPr>
          <w:kern w:val="28"/>
          <w:lang w:eastAsia="en-US"/>
        </w:rPr>
        <w:t>ână la 3,5 lei pe călătorie.</w:t>
      </w:r>
      <w:r w:rsidRPr="003E3FEE">
        <w:rPr>
          <w:kern w:val="28"/>
          <w:lang w:eastAsia="en-US"/>
        </w:rPr>
        <w:t xml:space="preserve"> Dintre cele două linii, linia 783 funcționează 24 de ore pe zi, asigurând și transportul de noapte î</w:t>
      </w:r>
      <w:r>
        <w:rPr>
          <w:kern w:val="28"/>
          <w:lang w:eastAsia="en-US"/>
        </w:rPr>
        <w:t>n partea de nord a orașului.</w:t>
      </w:r>
    </w:p>
    <w:p w:rsidR="003E3FEE" w:rsidRPr="003E3FEE" w:rsidRDefault="003E3FEE" w:rsidP="003E3FEE">
      <w:pPr>
        <w:ind w:firstLine="709"/>
        <w:jc w:val="both"/>
        <w:outlineLvl w:val="1"/>
        <w:rPr>
          <w:kern w:val="28"/>
          <w:lang w:eastAsia="en-US"/>
        </w:rPr>
      </w:pPr>
      <w:r w:rsidRPr="003E3FEE">
        <w:rPr>
          <w:b/>
          <w:kern w:val="28"/>
          <w:lang w:eastAsia="en-US"/>
        </w:rPr>
        <w:lastRenderedPageBreak/>
        <w:t>Linii regionale.</w:t>
      </w:r>
      <w:r>
        <w:rPr>
          <w:kern w:val="28"/>
          <w:lang w:eastAsia="en-US"/>
        </w:rPr>
        <w:t xml:space="preserve"> </w:t>
      </w:r>
      <w:r w:rsidRPr="003E3FEE">
        <w:rPr>
          <w:kern w:val="28"/>
          <w:lang w:eastAsia="en-US"/>
        </w:rPr>
        <w:t>Liniile regionale ale STB au cunoscut o istorie tumultuoasă, societatea solicitând ca primăriile localităților deservite să contribuie la subvenționarea liniilor, ceea ce a dus la mai multe desființări și reînființări de linii, în funcție de d</w:t>
      </w:r>
      <w:r>
        <w:rPr>
          <w:kern w:val="28"/>
          <w:lang w:eastAsia="en-US"/>
        </w:rPr>
        <w:t>atoriile acumulate de primării.</w:t>
      </w:r>
    </w:p>
    <w:p w:rsidR="003E3FEE" w:rsidRPr="003E3FEE" w:rsidRDefault="003E3FEE" w:rsidP="003E3FEE">
      <w:pPr>
        <w:ind w:firstLine="709"/>
        <w:jc w:val="both"/>
        <w:outlineLvl w:val="1"/>
        <w:rPr>
          <w:kern w:val="28"/>
          <w:lang w:eastAsia="en-US"/>
        </w:rPr>
      </w:pPr>
      <w:r w:rsidRPr="003E3FEE">
        <w:rPr>
          <w:kern w:val="28"/>
          <w:lang w:eastAsia="en-US"/>
        </w:rPr>
        <w:t>În ianuarie 2019 erau în ci</w:t>
      </w:r>
      <w:r>
        <w:rPr>
          <w:kern w:val="28"/>
          <w:lang w:eastAsia="en-US"/>
        </w:rPr>
        <w:t>rculație 27 de linii regionale.</w:t>
      </w:r>
    </w:p>
    <w:p w:rsidR="003E3FEE" w:rsidRPr="003E3FEE" w:rsidRDefault="003E3FEE" w:rsidP="003E3FEE">
      <w:pPr>
        <w:ind w:firstLine="709"/>
        <w:jc w:val="both"/>
        <w:outlineLvl w:val="1"/>
        <w:rPr>
          <w:kern w:val="28"/>
          <w:lang w:eastAsia="en-US"/>
        </w:rPr>
      </w:pPr>
      <w:r w:rsidRPr="003E3FEE">
        <w:rPr>
          <w:b/>
          <w:kern w:val="28"/>
          <w:lang w:eastAsia="en-US"/>
        </w:rPr>
        <w:t>Linii pentru elevi</w:t>
      </w:r>
      <w:r>
        <w:rPr>
          <w:b/>
          <w:kern w:val="28"/>
          <w:lang w:eastAsia="en-US"/>
        </w:rPr>
        <w:t>.</w:t>
      </w:r>
      <w:r>
        <w:rPr>
          <w:kern w:val="28"/>
          <w:lang w:eastAsia="en-US"/>
        </w:rPr>
        <w:t xml:space="preserve"> </w:t>
      </w:r>
      <w:r w:rsidRPr="003E3FEE">
        <w:rPr>
          <w:kern w:val="28"/>
          <w:lang w:eastAsia="en-US"/>
        </w:rPr>
        <w:t>Începând cu anul școlar 2017-2018, Primăria Municipiului București desfășoară, prin intermediul STB, un program pilot de transport al elevilor. În acest scop a fost înființată linia 327, care face legătura între școlile gimnaziale 141 și 127 din cartierul Rahov</w:t>
      </w:r>
      <w:r>
        <w:rPr>
          <w:kern w:val="28"/>
          <w:lang w:eastAsia="en-US"/>
        </w:rPr>
        <w:t>a.</w:t>
      </w:r>
    </w:p>
    <w:p w:rsidR="003E3FEE" w:rsidRDefault="003E3FEE" w:rsidP="003E3FEE">
      <w:pPr>
        <w:ind w:firstLine="709"/>
        <w:jc w:val="both"/>
        <w:outlineLvl w:val="1"/>
        <w:rPr>
          <w:kern w:val="28"/>
          <w:lang w:eastAsia="en-US"/>
        </w:rPr>
      </w:pPr>
      <w:r w:rsidRPr="003E3FEE">
        <w:rPr>
          <w:b/>
          <w:kern w:val="28"/>
          <w:lang w:eastAsia="en-US"/>
        </w:rPr>
        <w:t>Tramvaie.</w:t>
      </w:r>
      <w:r>
        <w:rPr>
          <w:kern w:val="28"/>
          <w:lang w:eastAsia="en-US"/>
        </w:rPr>
        <w:t xml:space="preserve"> </w:t>
      </w:r>
      <w:r w:rsidRPr="003E3FEE">
        <w:rPr>
          <w:kern w:val="28"/>
          <w:lang w:eastAsia="en-US"/>
        </w:rPr>
        <w:t>În ianuarie 2019, în București existau 26 de l</w:t>
      </w:r>
      <w:r>
        <w:rPr>
          <w:kern w:val="28"/>
          <w:lang w:eastAsia="en-US"/>
        </w:rPr>
        <w:t>inii de tramvai în funcțiune</w:t>
      </w:r>
      <w:r w:rsidRPr="003E3FEE">
        <w:rPr>
          <w:kern w:val="28"/>
          <w:lang w:eastAsia="en-US"/>
        </w:rPr>
        <w:t>.</w:t>
      </w:r>
    </w:p>
    <w:p w:rsidR="003E3FEE" w:rsidRPr="003E3FEE" w:rsidRDefault="003E3FEE" w:rsidP="003E3FEE">
      <w:pPr>
        <w:ind w:firstLine="709"/>
        <w:jc w:val="both"/>
        <w:outlineLvl w:val="1"/>
        <w:rPr>
          <w:kern w:val="28"/>
          <w:lang w:eastAsia="en-US"/>
        </w:rPr>
      </w:pPr>
      <w:r w:rsidRPr="003E3FEE">
        <w:rPr>
          <w:b/>
          <w:kern w:val="28"/>
          <w:lang w:eastAsia="en-US"/>
        </w:rPr>
        <w:t>Troleibuze.</w:t>
      </w:r>
      <w:r>
        <w:rPr>
          <w:kern w:val="28"/>
          <w:lang w:eastAsia="en-US"/>
        </w:rPr>
        <w:t xml:space="preserve"> Î</w:t>
      </w:r>
      <w:r w:rsidRPr="003E3FEE">
        <w:rPr>
          <w:kern w:val="28"/>
          <w:lang w:eastAsia="en-US"/>
        </w:rPr>
        <w:t>n ianuarie 2019 exist</w:t>
      </w:r>
      <w:r>
        <w:rPr>
          <w:kern w:val="28"/>
          <w:lang w:eastAsia="en-US"/>
        </w:rPr>
        <w:t>au 17 linii de troleibuze</w:t>
      </w:r>
      <w:r w:rsidRPr="003E3FEE">
        <w:rPr>
          <w:kern w:val="28"/>
          <w:lang w:eastAsia="en-US"/>
        </w:rPr>
        <w:t xml:space="preserve"> deservite de patru depouri de troleibuze. </w:t>
      </w:r>
    </w:p>
    <w:p w:rsidR="00E70176" w:rsidRDefault="003E3FEE" w:rsidP="003E3FEE">
      <w:pPr>
        <w:ind w:firstLine="709"/>
        <w:jc w:val="both"/>
        <w:outlineLvl w:val="1"/>
        <w:rPr>
          <w:kern w:val="28"/>
          <w:lang w:eastAsia="en-US"/>
        </w:rPr>
      </w:pPr>
      <w:r w:rsidRPr="003E3FEE">
        <w:rPr>
          <w:kern w:val="28"/>
          <w:lang w:eastAsia="en-US"/>
        </w:rPr>
        <w:t>Există linii care fac legătura dintre est și vest, cum ar fi 69 și 90 și care trec chiar prin centru (Piața Universității, care este și cea mai veche rețea din București existentă și funcțională, care a rezistat fără a fi demontată în anii comunismului, deși axa nord-sud a fost scoasă) și nord - centru (Piața Romană) - est, linia 86. În septembrie 2018 existau 4 depouri de troleibuz în București.</w:t>
      </w:r>
    </w:p>
    <w:p w:rsidR="00BF51EA" w:rsidRDefault="00BF51EA" w:rsidP="003E3FEE">
      <w:pPr>
        <w:ind w:firstLine="709"/>
        <w:jc w:val="both"/>
        <w:outlineLvl w:val="1"/>
        <w:rPr>
          <w:kern w:val="28"/>
          <w:lang w:eastAsia="en-US"/>
        </w:rPr>
      </w:pPr>
    </w:p>
    <w:p w:rsidR="00BF51EA" w:rsidRPr="00E64932" w:rsidRDefault="00BF51EA" w:rsidP="00BF51EA">
      <w:pPr>
        <w:pStyle w:val="Listparagraf1"/>
        <w:spacing w:after="0" w:line="240" w:lineRule="auto"/>
        <w:ind w:left="0"/>
        <w:rPr>
          <w:rFonts w:ascii="Times New Roman" w:hAnsi="Times New Roman"/>
          <w:b/>
          <w:color w:val="000000"/>
          <w:sz w:val="24"/>
          <w:szCs w:val="24"/>
        </w:rPr>
      </w:pPr>
      <w:r w:rsidRPr="00E64932">
        <w:rPr>
          <w:rFonts w:ascii="Times New Roman" w:hAnsi="Times New Roman"/>
          <w:b/>
          <w:color w:val="000000"/>
          <w:sz w:val="24"/>
          <w:szCs w:val="24"/>
        </w:rPr>
        <w:t>Societatea de Transport București — S.T.B</w:t>
      </w:r>
    </w:p>
    <w:p w:rsidR="00BF51EA" w:rsidRPr="00E64932" w:rsidRDefault="00BF51EA" w:rsidP="00BF51EA">
      <w:pPr>
        <w:pStyle w:val="Listparagraf1"/>
        <w:spacing w:after="0" w:line="240" w:lineRule="auto"/>
        <w:ind w:left="0"/>
        <w:jc w:val="both"/>
        <w:rPr>
          <w:rFonts w:ascii="Times New Roman" w:hAnsi="Times New Roman"/>
          <w:sz w:val="24"/>
          <w:szCs w:val="24"/>
        </w:rPr>
      </w:pPr>
    </w:p>
    <w:p w:rsidR="00BF51EA" w:rsidRPr="00E64932" w:rsidRDefault="00BF51EA" w:rsidP="00BF51EA">
      <w:pPr>
        <w:pStyle w:val="Listparagraf1"/>
        <w:spacing w:after="0" w:line="240" w:lineRule="auto"/>
        <w:ind w:left="0"/>
        <w:jc w:val="both"/>
        <w:rPr>
          <w:rFonts w:ascii="Times New Roman" w:hAnsi="Times New Roman"/>
          <w:b/>
          <w:color w:val="000000"/>
          <w:sz w:val="24"/>
          <w:szCs w:val="24"/>
        </w:rPr>
      </w:pPr>
      <w:r w:rsidRPr="00E64932">
        <w:rPr>
          <w:rFonts w:ascii="Times New Roman" w:hAnsi="Times New Roman"/>
          <w:b/>
          <w:color w:val="000000"/>
          <w:sz w:val="24"/>
          <w:szCs w:val="24"/>
        </w:rPr>
        <w:t>► Reabilitarea/modernizarea/întreținerea rețelei de transport urban de călători</w:t>
      </w:r>
    </w:p>
    <w:p w:rsidR="00BF51EA" w:rsidRPr="00E64932" w:rsidRDefault="00BF51EA" w:rsidP="00BF51EA">
      <w:pPr>
        <w:pStyle w:val="Listparagraf1"/>
        <w:spacing w:after="0" w:line="240" w:lineRule="auto"/>
        <w:ind w:left="0"/>
        <w:jc w:val="both"/>
        <w:rPr>
          <w:rFonts w:ascii="Times New Roman" w:hAnsi="Times New Roman"/>
          <w:b/>
          <w:color w:val="000000"/>
          <w:sz w:val="24"/>
          <w:szCs w:val="24"/>
        </w:rPr>
      </w:pPr>
      <w:r w:rsidRPr="00E64932">
        <w:rPr>
          <w:rFonts w:ascii="Times New Roman" w:hAnsi="Times New Roman"/>
          <w:color w:val="000000"/>
          <w:sz w:val="24"/>
          <w:szCs w:val="24"/>
        </w:rPr>
        <w:t xml:space="preserve">   </w:t>
      </w:r>
      <w:r w:rsidRPr="00E64932">
        <w:rPr>
          <w:rFonts w:ascii="Times New Roman" w:hAnsi="Times New Roman"/>
          <w:b/>
          <w:sz w:val="24"/>
          <w:szCs w:val="24"/>
        </w:rPr>
        <w:t xml:space="preserve">● </w:t>
      </w:r>
      <w:r w:rsidRPr="00E64932">
        <w:rPr>
          <w:rFonts w:ascii="Times New Roman" w:hAnsi="Times New Roman"/>
          <w:b/>
          <w:color w:val="000000"/>
          <w:sz w:val="24"/>
          <w:szCs w:val="24"/>
        </w:rPr>
        <w:t>Reabilitarea/modernizarea/întreținerea mijloacelor de transport în comun</w:t>
      </w:r>
    </w:p>
    <w:p w:rsidR="00BF51EA" w:rsidRPr="00E64932" w:rsidRDefault="00BF51EA" w:rsidP="00BF51EA">
      <w:pPr>
        <w:pStyle w:val="Listparagraf1"/>
        <w:spacing w:after="0" w:line="240" w:lineRule="auto"/>
        <w:ind w:left="0"/>
        <w:jc w:val="both"/>
        <w:rPr>
          <w:rFonts w:ascii="Times New Roman" w:hAnsi="Times New Roman"/>
          <w:sz w:val="24"/>
          <w:szCs w:val="24"/>
          <w:lang w:val="pt-BR"/>
        </w:rPr>
      </w:pPr>
      <w:r w:rsidRPr="00E64932">
        <w:rPr>
          <w:rFonts w:ascii="Times New Roman" w:hAnsi="Times New Roman"/>
          <w:b/>
          <w:color w:val="000000"/>
          <w:sz w:val="24"/>
          <w:szCs w:val="24"/>
        </w:rPr>
        <w:t xml:space="preserve">     </w:t>
      </w:r>
      <w:r w:rsidRPr="00E64932">
        <w:rPr>
          <w:rFonts w:ascii="Times New Roman" w:hAnsi="Times New Roman"/>
          <w:sz w:val="24"/>
          <w:szCs w:val="24"/>
          <w:lang w:val="pt-BR"/>
        </w:rPr>
        <w:t>- ”Modernizare autobuze MERCEDES EURO 3 cu sistem de climatizare în salonul de călători” – 78 buc.</w:t>
      </w:r>
    </w:p>
    <w:p w:rsidR="00BF51EA" w:rsidRPr="00E64932" w:rsidRDefault="00BF51EA" w:rsidP="00BF51EA">
      <w:pPr>
        <w:pStyle w:val="Listparagraf1"/>
        <w:spacing w:after="0" w:line="240" w:lineRule="auto"/>
        <w:ind w:left="0"/>
        <w:jc w:val="both"/>
        <w:rPr>
          <w:rFonts w:ascii="Times New Roman" w:hAnsi="Times New Roman"/>
          <w:sz w:val="24"/>
          <w:szCs w:val="24"/>
        </w:rPr>
      </w:pPr>
      <w:r w:rsidRPr="00E64932">
        <w:rPr>
          <w:rFonts w:ascii="Times New Roman" w:hAnsi="Times New Roman"/>
          <w:sz w:val="24"/>
          <w:szCs w:val="24"/>
          <w:lang w:val="pt-BR"/>
        </w:rPr>
        <w:t xml:space="preserve">     - </w:t>
      </w:r>
      <w:bookmarkStart w:id="16" w:name="_Hlk534367118"/>
      <w:r w:rsidRPr="00E64932">
        <w:rPr>
          <w:rFonts w:ascii="Times New Roman" w:hAnsi="Times New Roman"/>
          <w:sz w:val="24"/>
          <w:szCs w:val="24"/>
        </w:rPr>
        <w:t>”Modernizare tramvaie V3A-93 în varianta V3A – PPC – CA”</w:t>
      </w:r>
      <w:bookmarkEnd w:id="16"/>
      <w:r w:rsidRPr="00E64932">
        <w:rPr>
          <w:rFonts w:ascii="Times New Roman" w:hAnsi="Times New Roman"/>
          <w:sz w:val="24"/>
          <w:szCs w:val="24"/>
        </w:rPr>
        <w:t xml:space="preserve"> – 2 buc.</w:t>
      </w:r>
    </w:p>
    <w:p w:rsidR="00BF51EA" w:rsidRPr="00E64932" w:rsidRDefault="00BF51EA" w:rsidP="00BF51EA">
      <w:pPr>
        <w:pStyle w:val="Listparagraf1"/>
        <w:spacing w:after="0" w:line="240" w:lineRule="auto"/>
        <w:ind w:left="0"/>
        <w:jc w:val="both"/>
        <w:rPr>
          <w:rFonts w:ascii="Times New Roman" w:hAnsi="Times New Roman"/>
          <w:sz w:val="24"/>
          <w:szCs w:val="24"/>
        </w:rPr>
      </w:pPr>
      <w:r w:rsidRPr="00E64932">
        <w:rPr>
          <w:rFonts w:ascii="Times New Roman" w:hAnsi="Times New Roman"/>
          <w:sz w:val="24"/>
          <w:szCs w:val="24"/>
        </w:rPr>
        <w:t xml:space="preserve">     - ”Modernizare troleibuze ASTRA IRISBUS cu sistem de climatizare în salonul de călători”- 56 buc.</w:t>
      </w:r>
    </w:p>
    <w:p w:rsidR="00BF51EA" w:rsidRPr="00E64932" w:rsidRDefault="00BF51EA" w:rsidP="00BF51EA">
      <w:pPr>
        <w:pStyle w:val="Listparagraf1"/>
        <w:spacing w:after="0" w:line="240" w:lineRule="auto"/>
        <w:ind w:left="0"/>
        <w:jc w:val="both"/>
        <w:rPr>
          <w:rFonts w:ascii="Times New Roman" w:hAnsi="Times New Roman"/>
          <w:b/>
          <w:sz w:val="24"/>
          <w:szCs w:val="24"/>
        </w:rPr>
      </w:pPr>
      <w:r w:rsidRPr="00E64932">
        <w:rPr>
          <w:rFonts w:ascii="Times New Roman" w:hAnsi="Times New Roman"/>
          <w:b/>
          <w:sz w:val="24"/>
          <w:szCs w:val="24"/>
        </w:rPr>
        <w:t xml:space="preserve">   ● Reabilitarea/modernizarea/întreținerea rețelei de transport</w:t>
      </w:r>
    </w:p>
    <w:p w:rsidR="00BF51EA" w:rsidRPr="00E64932" w:rsidRDefault="00BF51EA" w:rsidP="00BF51EA">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delimitarea amprizei căii de rulare a tramvaielor de pe linia 21</w:t>
      </w:r>
    </w:p>
    <w:p w:rsidR="00BF51EA" w:rsidRPr="00BF51EA" w:rsidRDefault="00BF51EA" w:rsidP="00BF51EA">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 soluție implementată tronsonat </w:t>
      </w:r>
      <w:r>
        <w:rPr>
          <w:rFonts w:ascii="Times New Roman" w:hAnsi="Times New Roman"/>
          <w:sz w:val="24"/>
          <w:szCs w:val="24"/>
        </w:rPr>
        <w:t>şi pe liniile 1, 10, 32, 34, 41</w:t>
      </w:r>
    </w:p>
    <w:p w:rsidR="003E3FEE" w:rsidRPr="009D165E" w:rsidRDefault="003E3FEE" w:rsidP="003E3FEE">
      <w:pPr>
        <w:ind w:firstLine="709"/>
        <w:jc w:val="both"/>
        <w:outlineLvl w:val="1"/>
        <w:rPr>
          <w:kern w:val="28"/>
          <w:lang w:eastAsia="en-US"/>
        </w:rPr>
      </w:pPr>
    </w:p>
    <w:p w:rsidR="009B21F8" w:rsidRDefault="009B21F8" w:rsidP="00A77970">
      <w:pPr>
        <w:ind w:firstLine="709"/>
        <w:jc w:val="both"/>
        <w:outlineLvl w:val="1"/>
        <w:rPr>
          <w:kern w:val="28"/>
          <w:lang w:eastAsia="en-US"/>
        </w:rPr>
      </w:pPr>
      <w:r w:rsidRPr="0067545C">
        <w:rPr>
          <w:b/>
          <w:kern w:val="28"/>
          <w:lang w:eastAsia="en-US"/>
        </w:rPr>
        <w:t>Transportul în comun subteran asigurat de METROREX</w:t>
      </w:r>
      <w:r w:rsidRPr="009D165E">
        <w:rPr>
          <w:kern w:val="28"/>
          <w:lang w:eastAsia="en-US"/>
        </w:rPr>
        <w:t xml:space="preserve"> cuprinde 4 linii de metrou, cu o lungime de </w:t>
      </w:r>
      <w:r w:rsidR="00774237">
        <w:rPr>
          <w:kern w:val="28"/>
          <w:lang w:eastAsia="en-US"/>
        </w:rPr>
        <w:t>71</w:t>
      </w:r>
      <w:r w:rsidRPr="009D165E">
        <w:rPr>
          <w:kern w:val="28"/>
          <w:lang w:eastAsia="en-US"/>
        </w:rPr>
        <w:t xml:space="preserve"> km cale dublă si 53 de stații, cu o adâncime medie de 12 m. Parcul în exploatare cuprinde 83 de trenuri, din care 44 tip Bombardier. Se află In constructie o nouă linie, M5-Raul Doamnei-Hasdeu(Opera), Tronson 1: 6,5 km, 10 statii. </w:t>
      </w:r>
    </w:p>
    <w:p w:rsidR="00E425C9" w:rsidRPr="009D165E" w:rsidRDefault="00E425C9" w:rsidP="00A77970">
      <w:pPr>
        <w:ind w:firstLine="709"/>
        <w:jc w:val="both"/>
        <w:outlineLvl w:val="1"/>
        <w:rPr>
          <w:kern w:val="28"/>
          <w:lang w:eastAsia="en-US"/>
        </w:rPr>
      </w:pPr>
      <w:r w:rsidRPr="00E425C9">
        <w:rPr>
          <w:kern w:val="28"/>
          <w:lang w:eastAsia="en-US"/>
        </w:rPr>
        <w:t>Datorită numărului mare de proiecte de birouri din cartierul Pipera și comuna omonimă, magistrala M2 urmează să fie prelungită, după 2020, cu 2 staț</w:t>
      </w:r>
      <w:r>
        <w:rPr>
          <w:kern w:val="28"/>
          <w:lang w:eastAsia="en-US"/>
        </w:rPr>
        <w:t>ii în partea de nord.</w:t>
      </w:r>
      <w:r w:rsidRPr="00E425C9">
        <w:rPr>
          <w:kern w:val="28"/>
          <w:lang w:eastAsia="en-US"/>
        </w:rPr>
        <w:t xml:space="preserve"> Și pentru M3 sunt studiate mai multe soluții de realizare a unui terminal intermodal la intrarea de pe autostrada A1, toate variantele implicând p</w:t>
      </w:r>
      <w:r>
        <w:rPr>
          <w:kern w:val="28"/>
          <w:lang w:eastAsia="en-US"/>
        </w:rPr>
        <w:t>relungirea metroului.</w:t>
      </w:r>
    </w:p>
    <w:p w:rsidR="00E425C9" w:rsidRDefault="00E425C9" w:rsidP="00E425C9">
      <w:pPr>
        <w:ind w:firstLine="709"/>
        <w:jc w:val="both"/>
        <w:outlineLvl w:val="1"/>
        <w:rPr>
          <w:kern w:val="28"/>
          <w:lang w:eastAsia="en-US"/>
        </w:rPr>
      </w:pPr>
      <w:r w:rsidRPr="00E425C9">
        <w:rPr>
          <w:kern w:val="28"/>
          <w:lang w:eastAsia="en-US"/>
        </w:rPr>
        <w:t>La începutul anului 2018 se mai afla în execuție magistrala M5</w:t>
      </w:r>
      <w:r>
        <w:rPr>
          <w:kern w:val="28"/>
          <w:lang w:eastAsia="en-US"/>
        </w:rPr>
        <w:t xml:space="preserve"> (</w:t>
      </w:r>
      <w:r w:rsidRPr="00E425C9">
        <w:rPr>
          <w:kern w:val="28"/>
          <w:lang w:eastAsia="en-US"/>
        </w:rPr>
        <w:t>Râul Doamnei — Pantelimon</w:t>
      </w:r>
      <w:r>
        <w:rPr>
          <w:kern w:val="28"/>
          <w:lang w:eastAsia="en-US"/>
        </w:rPr>
        <w:t>)</w:t>
      </w:r>
      <w:r w:rsidRPr="00E425C9">
        <w:rPr>
          <w:kern w:val="28"/>
          <w:lang w:eastAsia="en-US"/>
        </w:rPr>
        <w:t xml:space="preserve"> și în pregătire M6</w:t>
      </w:r>
      <w:r>
        <w:rPr>
          <w:kern w:val="28"/>
          <w:lang w:eastAsia="en-US"/>
        </w:rPr>
        <w:t xml:space="preserve"> (</w:t>
      </w:r>
      <w:r w:rsidRPr="00E425C9">
        <w:rPr>
          <w:kern w:val="28"/>
          <w:lang w:eastAsia="en-US"/>
        </w:rPr>
        <w:t>Gara de Nord — Aeroportul Otopeni</w:t>
      </w:r>
      <w:r>
        <w:rPr>
          <w:kern w:val="28"/>
          <w:lang w:eastAsia="en-US"/>
        </w:rPr>
        <w:t>).</w:t>
      </w:r>
    </w:p>
    <w:p w:rsidR="00E425C9" w:rsidRPr="00E425C9" w:rsidRDefault="00E425C9" w:rsidP="00E425C9">
      <w:pPr>
        <w:ind w:firstLine="709"/>
        <w:jc w:val="both"/>
        <w:outlineLvl w:val="1"/>
        <w:rPr>
          <w:b/>
          <w:kern w:val="28"/>
          <w:lang w:eastAsia="en-US"/>
        </w:rPr>
      </w:pPr>
      <w:r w:rsidRPr="00E425C9">
        <w:rPr>
          <w:b/>
          <w:kern w:val="28"/>
          <w:lang w:eastAsia="en-US"/>
        </w:rPr>
        <w:t>Magistrala 7 (M7) Voluntari (Colentina) – Bragadiru (Rahova)</w:t>
      </w:r>
    </w:p>
    <w:p w:rsidR="00E425C9" w:rsidRPr="00E425C9" w:rsidRDefault="00E425C9" w:rsidP="00E425C9">
      <w:pPr>
        <w:ind w:firstLine="709"/>
        <w:jc w:val="both"/>
        <w:outlineLvl w:val="1"/>
        <w:rPr>
          <w:kern w:val="28"/>
          <w:lang w:eastAsia="en-US"/>
        </w:rPr>
      </w:pPr>
      <w:r w:rsidRPr="00E425C9">
        <w:rPr>
          <w:kern w:val="28"/>
          <w:lang w:eastAsia="en-US"/>
        </w:rPr>
        <w:t>Magistrala M7 este o linie planificată, cu o lungime maximă de cca. 25 km și 30 de stații, urmând a fi realizat în funcție de disponibili</w:t>
      </w:r>
      <w:r w:rsidR="004535FB">
        <w:rPr>
          <w:kern w:val="28"/>
          <w:lang w:eastAsia="en-US"/>
        </w:rPr>
        <w:t>tatea surselor de finanțare.</w:t>
      </w:r>
      <w:r w:rsidRPr="00E425C9">
        <w:rPr>
          <w:kern w:val="28"/>
          <w:lang w:eastAsia="en-US"/>
        </w:rPr>
        <w:t xml:space="preserve"> M7 are scopul de a prelua traficul pe direcția NE-SV, oferind acces către centrul orașului pentru două din cele mai populate zone ale orașului, dar și pentru noile zone rezidențiale d</w:t>
      </w:r>
      <w:r w:rsidR="004535FB">
        <w:rPr>
          <w:kern w:val="28"/>
          <w:lang w:eastAsia="en-US"/>
        </w:rPr>
        <w:t>e la marginea Bucureștiului.</w:t>
      </w:r>
      <w:r w:rsidRPr="00E425C9">
        <w:rPr>
          <w:kern w:val="28"/>
          <w:lang w:eastAsia="en-US"/>
        </w:rPr>
        <w:t xml:space="preserve"> Nu a fost stabilit traseul detaliat al liniei, însă în PMUD au fost identificate 2 trasee posibile, cu lungimi și costuri diferite: Bragadiru-Voluntari și Depoul </w:t>
      </w:r>
      <w:r w:rsidR="004535FB">
        <w:rPr>
          <w:kern w:val="28"/>
          <w:lang w:eastAsia="en-US"/>
        </w:rPr>
        <w:t>Alexandria-Colentina.</w:t>
      </w:r>
    </w:p>
    <w:p w:rsidR="00E425C9" w:rsidRPr="004535FB" w:rsidRDefault="00E425C9" w:rsidP="00E425C9">
      <w:pPr>
        <w:ind w:firstLine="709"/>
        <w:jc w:val="both"/>
        <w:outlineLvl w:val="1"/>
        <w:rPr>
          <w:b/>
          <w:kern w:val="28"/>
          <w:lang w:eastAsia="en-US"/>
        </w:rPr>
      </w:pPr>
      <w:r w:rsidRPr="004535FB">
        <w:rPr>
          <w:b/>
          <w:kern w:val="28"/>
          <w:lang w:eastAsia="en-US"/>
        </w:rPr>
        <w:t>Magistrala 8 (M8) Crângași - Dristor</w:t>
      </w:r>
    </w:p>
    <w:p w:rsidR="00555EF8" w:rsidRPr="00E425C9" w:rsidRDefault="004535FB" w:rsidP="00E425C9">
      <w:pPr>
        <w:ind w:firstLine="709"/>
        <w:jc w:val="both"/>
        <w:outlineLvl w:val="1"/>
        <w:rPr>
          <w:kern w:val="28"/>
          <w:lang w:eastAsia="en-US"/>
        </w:rPr>
      </w:pPr>
      <w:r>
        <w:rPr>
          <w:kern w:val="28"/>
          <w:lang w:eastAsia="en-US"/>
        </w:rPr>
        <w:t>Numită și Magistrala inelară sau Semi-inelul de Sud,</w:t>
      </w:r>
      <w:r w:rsidR="00E425C9" w:rsidRPr="00E425C9">
        <w:rPr>
          <w:kern w:val="28"/>
          <w:lang w:eastAsia="en-US"/>
        </w:rPr>
        <w:t xml:space="preserve"> dorește legarea cartierelor Crângași și Dristor, legând M3, M5, M7, M4 și într-un final M2. Nu este programat a fi realizat până după 2030, din cauza co</w:t>
      </w:r>
      <w:r>
        <w:rPr>
          <w:kern w:val="28"/>
          <w:lang w:eastAsia="en-US"/>
        </w:rPr>
        <w:t>sturilor foarte mari.</w:t>
      </w:r>
    </w:p>
    <w:p w:rsidR="00E70176" w:rsidRPr="001E1BAC" w:rsidRDefault="00E70176" w:rsidP="00A77970">
      <w:pPr>
        <w:pStyle w:val="ListParagraph"/>
        <w:widowControl w:val="0"/>
        <w:jc w:val="both"/>
        <w:rPr>
          <w:rFonts w:eastAsia="Microsoft Sans Serif"/>
          <w:color w:val="000000"/>
          <w:lang w:bidi="ro-RO"/>
        </w:rPr>
      </w:pPr>
    </w:p>
    <w:p w:rsidR="001E1BAC" w:rsidRPr="005C2459" w:rsidRDefault="001E1BAC" w:rsidP="00A77970">
      <w:pPr>
        <w:jc w:val="both"/>
        <w:rPr>
          <w:b/>
        </w:rPr>
      </w:pPr>
      <w:r w:rsidRPr="005C2459">
        <w:rPr>
          <w:b/>
        </w:rPr>
        <w:t>1.2.</w:t>
      </w:r>
      <w:r w:rsidRPr="005C2459">
        <w:rPr>
          <w:b/>
        </w:rPr>
        <w:tab/>
        <w:t>Amenajarea teritoriului, urbanism și locuințe, servicii publice de gospodărire comunală</w:t>
      </w:r>
    </w:p>
    <w:p w:rsidR="008A790C" w:rsidRPr="005C2459" w:rsidRDefault="008A790C" w:rsidP="00A77970">
      <w:pPr>
        <w:jc w:val="both"/>
        <w:rPr>
          <w:b/>
        </w:rPr>
      </w:pPr>
    </w:p>
    <w:p w:rsidR="001E1BAC" w:rsidRPr="005C2459" w:rsidRDefault="001E1BAC" w:rsidP="00A77970">
      <w:pPr>
        <w:pStyle w:val="ListParagraph"/>
        <w:numPr>
          <w:ilvl w:val="0"/>
          <w:numId w:val="3"/>
        </w:numPr>
        <w:jc w:val="both"/>
      </w:pPr>
      <w:r w:rsidRPr="005C2459">
        <w:t>Urbanism și amenajarea teritoriului</w:t>
      </w:r>
    </w:p>
    <w:p w:rsidR="008A790C" w:rsidRPr="005C2459" w:rsidRDefault="008A790C" w:rsidP="00A77970">
      <w:pPr>
        <w:jc w:val="both"/>
      </w:pPr>
    </w:p>
    <w:p w:rsidR="007E0AA3" w:rsidRPr="005C2459" w:rsidRDefault="007E0AA3" w:rsidP="00A77970">
      <w:pPr>
        <w:ind w:firstLine="709"/>
        <w:contextualSpacing/>
        <w:jc w:val="both"/>
        <w:rPr>
          <w:rFonts w:eastAsia="MS Mincho"/>
          <w:b/>
          <w:lang w:val="en-US" w:eastAsia="en-US"/>
        </w:rPr>
      </w:pPr>
      <w:r w:rsidRPr="005C2459">
        <w:rPr>
          <w:rFonts w:eastAsia="MS Mincho"/>
          <w:b/>
          <w:lang w:val="en-US" w:eastAsia="en-US"/>
        </w:rPr>
        <w:t>Primăria Municipiului București</w:t>
      </w:r>
    </w:p>
    <w:p w:rsidR="007E0AA3" w:rsidRPr="005C2459" w:rsidRDefault="007E0AA3" w:rsidP="00A77970">
      <w:pPr>
        <w:ind w:firstLine="709"/>
        <w:contextualSpacing/>
        <w:jc w:val="both"/>
        <w:rPr>
          <w:rFonts w:eastAsia="MS Mincho"/>
          <w:b/>
          <w:lang w:val="en-US" w:eastAsia="en-US"/>
        </w:rPr>
      </w:pPr>
    </w:p>
    <w:p w:rsidR="00F16603" w:rsidRPr="005C2459" w:rsidRDefault="00F16603" w:rsidP="00A77970">
      <w:pPr>
        <w:ind w:firstLine="709"/>
        <w:contextualSpacing/>
        <w:jc w:val="both"/>
        <w:rPr>
          <w:rFonts w:eastAsia="MS Mincho"/>
          <w:b/>
          <w:lang w:val="en-US" w:eastAsia="en-US"/>
        </w:rPr>
      </w:pPr>
      <w:r w:rsidRPr="005C2459">
        <w:rPr>
          <w:rFonts w:eastAsia="MS Mincho"/>
          <w:b/>
          <w:lang w:val="en-US" w:eastAsia="en-US"/>
        </w:rPr>
        <w:t>Direcţia Urbanism</w:t>
      </w:r>
      <w:r w:rsidR="00453E21" w:rsidRPr="005C2459">
        <w:rPr>
          <w:rFonts w:eastAsia="MS Mincho"/>
          <w:b/>
          <w:lang w:val="en-US" w:eastAsia="en-US"/>
        </w:rPr>
        <w:t xml:space="preserve">, a </w:t>
      </w:r>
      <w:r w:rsidR="00E95BA5" w:rsidRPr="005C2459">
        <w:rPr>
          <w:rFonts w:eastAsia="MS Mincho"/>
          <w:b/>
          <w:lang w:val="en-US" w:eastAsia="en-US"/>
        </w:rPr>
        <w:t>realizat</w:t>
      </w:r>
      <w:r w:rsidR="00453E21" w:rsidRPr="005C2459">
        <w:rPr>
          <w:rFonts w:eastAsia="MS Mincho"/>
          <w:b/>
          <w:lang w:val="en-US" w:eastAsia="en-US"/>
        </w:rPr>
        <w:t>, în anul 201</w:t>
      </w:r>
      <w:r w:rsidR="00062BAB" w:rsidRPr="005C2459">
        <w:rPr>
          <w:rFonts w:eastAsia="MS Mincho"/>
          <w:b/>
          <w:lang w:val="en-US" w:eastAsia="en-US"/>
        </w:rPr>
        <w:t>8</w:t>
      </w:r>
      <w:r w:rsidR="00453E21" w:rsidRPr="005C2459">
        <w:rPr>
          <w:rFonts w:eastAsia="MS Mincho"/>
          <w:b/>
          <w:lang w:val="en-US" w:eastAsia="en-US"/>
        </w:rPr>
        <w:t xml:space="preserve">, </w:t>
      </w:r>
      <w:r w:rsidR="00E95BA5" w:rsidRPr="005C2459">
        <w:rPr>
          <w:rFonts w:eastAsia="MS Mincho"/>
          <w:b/>
          <w:lang w:val="en-US" w:eastAsia="en-US"/>
        </w:rPr>
        <w:t xml:space="preserve">următoarele obiective propuse: </w:t>
      </w:r>
    </w:p>
    <w:p w:rsidR="00F16603" w:rsidRPr="005C2459" w:rsidRDefault="00F16603" w:rsidP="00980D72">
      <w:pPr>
        <w:pStyle w:val="ListParagraph"/>
        <w:numPr>
          <w:ilvl w:val="0"/>
          <w:numId w:val="11"/>
        </w:numPr>
        <w:jc w:val="both"/>
        <w:rPr>
          <w:rFonts w:eastAsia="MS Mincho"/>
          <w:b/>
          <w:lang w:val="en-US" w:eastAsia="en-US"/>
        </w:rPr>
      </w:pPr>
      <w:r w:rsidRPr="005C2459">
        <w:rPr>
          <w:rFonts w:eastAsia="MS Mincho"/>
          <w:b/>
          <w:i/>
          <w:lang w:val="en-US" w:eastAsia="en-US"/>
        </w:rPr>
        <w:t>Dezvoltare urbană echilibrată a teritoriului Capitalei, in interiorul să</w:t>
      </w:r>
      <w:r w:rsidR="00E95BA5" w:rsidRPr="005C2459">
        <w:rPr>
          <w:rFonts w:eastAsia="MS Mincho"/>
          <w:b/>
          <w:i/>
          <w:lang w:val="en-US" w:eastAsia="en-US"/>
        </w:rPr>
        <w:t xml:space="preserve">u şi in relaţie cu vecinătăţile - </w:t>
      </w:r>
      <w:r w:rsidRPr="005C2459">
        <w:rPr>
          <w:rFonts w:eastAsia="MS Mincho"/>
          <w:b/>
          <w:lang w:val="en-US" w:eastAsia="en-US"/>
        </w:rPr>
        <w:t xml:space="preserve"> </w:t>
      </w:r>
      <w:r w:rsidRPr="005C2459">
        <w:rPr>
          <w:rFonts w:eastAsia="MS Mincho"/>
          <w:b/>
          <w:i/>
          <w:lang w:val="en-US" w:eastAsia="en-US"/>
        </w:rPr>
        <w:t>Revizuire Plan Urbanistic General al Municipiului Bucureşti</w:t>
      </w:r>
    </w:p>
    <w:p w:rsidR="003D75C9" w:rsidRPr="00E64932" w:rsidRDefault="00F16603" w:rsidP="003D75C9">
      <w:pPr>
        <w:pStyle w:val="ListParagraph"/>
        <w:ind w:left="0"/>
        <w:jc w:val="both"/>
        <w:rPr>
          <w:color w:val="000000"/>
        </w:rPr>
      </w:pPr>
      <w:r w:rsidRPr="005C2459">
        <w:rPr>
          <w:rFonts w:eastAsia="MS Mincho"/>
          <w:lang w:val="en-US" w:eastAsia="en-US"/>
        </w:rPr>
        <w:tab/>
      </w:r>
      <w:r w:rsidR="003D75C9" w:rsidRPr="005C2459">
        <w:rPr>
          <w:color w:val="000000"/>
        </w:rPr>
        <w:t>PUG.MB în vigoare, aprobat prin H.C.G.M.B. nr.269/2000, prelungit prin H.C.G.M.B. nr.232/2012, prelungit prin H.C.G.M.B. nr.224/2015 a înregistrat, de-a lungul unei perioade de 17 ani, sute de intervenţii importante prin intermediul Planurilor Urbanistice Zonale şi Planurilor Urbanistice de Detaliu aprobate, devenind astfel depăşit în raport cu noile realităţi economice şi teritoriale ale Capitalei, ceea ce impune revizuirea acestuia prin păstrarea liniilor directoare ale strategiei aprobate în anul 1999</w:t>
      </w:r>
      <w:r w:rsidR="003D75C9" w:rsidRPr="00E64932">
        <w:rPr>
          <w:color w:val="000000"/>
        </w:rPr>
        <w:t xml:space="preserve"> care s-au dovedit corecte, amendarea celor care au fost invalidate sau alterate de evoluţia dezvoltării oraşului în ultimii ani.</w:t>
      </w:r>
    </w:p>
    <w:p w:rsidR="003D75C9" w:rsidRPr="00E64932" w:rsidRDefault="003D75C9" w:rsidP="003D75C9">
      <w:pPr>
        <w:pStyle w:val="ListParagraph"/>
        <w:ind w:left="0"/>
        <w:jc w:val="both"/>
        <w:rPr>
          <w:color w:val="000000"/>
        </w:rPr>
      </w:pPr>
      <w:r w:rsidRPr="00E64932">
        <w:rPr>
          <w:color w:val="FF0000"/>
        </w:rPr>
        <w:tab/>
      </w:r>
      <w:r w:rsidRPr="00E64932">
        <w:rPr>
          <w:color w:val="000000"/>
        </w:rPr>
        <w:t>Planul Urbanistic General al Municipiului Bucureşti revizuit va identifica zonele şi sub-zonele spre care ar trebui canalizată dezvoltarea oraşului şi va propune indicatori urbanistici atractivi în condiţiile asigurării unei dezvoltări durabile pentru aceste zone. În acelaşi timp, trebuie prevăzute rezolvări clare pentru cât mai multe din situaţiile speciale ce apar în oraş. Scopul final al revizuirii este eliminarea majorităţii situaţiilor în care se apelează la urbanism derogatoriu. De asemenea, vor fi trasate direcţiile de dezvoltare spaţiala a Capitalei (in palier strategic) pentru un orizont mediu de timp şi totodată, va fi elaborat regulamentul local de urbanism (in palier operaţional) pentru întregul teritoriu administrativ al oraşului. De asemenea, va fi luată in consideraţie relaţia oraşului cu vecinătăţile sale şi relaţiile care se stabilesc in teritoriu.</w:t>
      </w:r>
    </w:p>
    <w:p w:rsidR="003D75C9" w:rsidRPr="00E64932" w:rsidRDefault="003D75C9" w:rsidP="003D75C9">
      <w:pPr>
        <w:pStyle w:val="ListParagraph"/>
        <w:ind w:left="0"/>
        <w:jc w:val="both"/>
        <w:rPr>
          <w:color w:val="000000"/>
        </w:rPr>
      </w:pPr>
      <w:r w:rsidRPr="00E64932">
        <w:rPr>
          <w:color w:val="FF0000"/>
        </w:rPr>
        <w:tab/>
      </w:r>
      <w:r w:rsidRPr="00E64932">
        <w:rPr>
          <w:color w:val="000000"/>
        </w:rPr>
        <w:t>În anul 2012 a fost demarată procedura de achiziţie publică - concurs de soluţii.</w:t>
      </w:r>
    </w:p>
    <w:p w:rsidR="003D75C9" w:rsidRPr="00E64932" w:rsidRDefault="003D75C9" w:rsidP="003D75C9">
      <w:pPr>
        <w:pStyle w:val="ListParagraph"/>
        <w:ind w:left="0"/>
        <w:jc w:val="both"/>
        <w:rPr>
          <w:color w:val="000000"/>
        </w:rPr>
      </w:pPr>
      <w:r w:rsidRPr="00E64932">
        <w:rPr>
          <w:color w:val="000000"/>
        </w:rPr>
        <w:tab/>
        <w:t>În anul 2013 s-a încheiat contractul de servicii nr.469/07.10.2013, cu Asocierea Universitatea de Arhitectura şi Urbanism „Ion Mincu" - Centrul de Cercetare, Proiectare, Expertiză şi Consulting, Arnaiz Arquitectos SLP, SC Aecom Ingeniería SRL, SC Intergraph Computer Services SRL, SC Compania de Consultanţă şi Asistenţă Tehnică SRL, SC Synergetics Corporation SRL (Universitatea de Arhitectură şi Urbanism „Ion Mincu" - Centrul de Cercetare, Proiectare, Expertiză şi Consulting - lider). Contractul are valoarea de 35.225.000 lei, exclusiv TVA, şi durata de finalizare 41 luni (cumulat de la lansarea comenzilor pentru livrabile).</w:t>
      </w:r>
    </w:p>
    <w:p w:rsidR="003D75C9" w:rsidRPr="00E64932" w:rsidRDefault="003D75C9" w:rsidP="003D75C9">
      <w:pPr>
        <w:pStyle w:val="ListParagraph"/>
        <w:ind w:left="0"/>
        <w:jc w:val="both"/>
        <w:rPr>
          <w:color w:val="000000"/>
        </w:rPr>
      </w:pPr>
      <w:r w:rsidRPr="00E64932">
        <w:rPr>
          <w:color w:val="FF0000"/>
        </w:rPr>
        <w:tab/>
      </w:r>
      <w:r w:rsidRPr="00E64932">
        <w:rPr>
          <w:color w:val="000000"/>
        </w:rPr>
        <w:t>După încheierea contractelor de servicii cu persoanele juridice cărora le vor fi atribuite serviciile, Serviciului Proiecte Urbane ii revine rolul de a asigura gestionarea documentelor contractului in urma repartizării corespondenţei contractuale de către conducerea direcţiei şi de verificare a conformităţii documentaţiilor predate in cadrul comisiilor de recepţie numite de conducerea direcţiei şi aprobate de Primarul General (organizare de şedinţe de analiza tehnică a documentaţiilor predate, redactare de puncte de vedere cu privire la eventuale modificări ale soluţiilor, discutarea acestora in cadrul şedinţelor comisiei de recepţie etc.).</w:t>
      </w:r>
    </w:p>
    <w:p w:rsidR="003D75C9" w:rsidRPr="00E64932" w:rsidRDefault="003D75C9" w:rsidP="003D75C9">
      <w:pPr>
        <w:pStyle w:val="ListParagraph"/>
        <w:ind w:left="0"/>
        <w:jc w:val="both"/>
        <w:rPr>
          <w:color w:val="000000"/>
        </w:rPr>
      </w:pPr>
      <w:r w:rsidRPr="00E64932">
        <w:rPr>
          <w:color w:val="FF0000"/>
        </w:rPr>
        <w:tab/>
      </w:r>
      <w:r w:rsidRPr="00E64932">
        <w:rPr>
          <w:color w:val="000000"/>
        </w:rPr>
        <w:t>În cadrul proiectului "Revizuire Plan Urbanistic General al Municipiul Bucureşti", conform contract nr.469/2013, la acest moment, se derulează Etapa I - „Elaborare forma sintetizata a PUGMB in vigoare şi stadiul actual al dezvoltării urbane". S-a întocmit Faza 1.1 „Elaborare forma sintetizata a PUGMB in vigoare" şi subfaza I.2A. din cadrul Fazei I.2 „Stadiul actual al dezvoltării urbane". Aceasta a cuprins studii de fundamentare: Analiza privind Zona Metropolitana; Analiza integrării in schema de trafic a traseelor CF existente la nivelul MB si a AUB; Studiu de delimitare a zonelor de protecţie; actualizare studii istorice; Analiza stadiului actual de dezvoltare - Studiul: Locuinţa; Analiza stadiului actual de dezvoltare - Studiul: Dotare tehnico-edilitară; Furnizarea de servicii publice; Mediul si altele.</w:t>
      </w:r>
    </w:p>
    <w:p w:rsidR="003D75C9" w:rsidRPr="00E64932" w:rsidRDefault="003D75C9" w:rsidP="003D75C9">
      <w:pPr>
        <w:pStyle w:val="ListParagraph"/>
        <w:ind w:left="0"/>
        <w:jc w:val="both"/>
        <w:rPr>
          <w:color w:val="000000"/>
        </w:rPr>
      </w:pPr>
      <w:r w:rsidRPr="00E64932">
        <w:rPr>
          <w:color w:val="FF0000"/>
        </w:rPr>
        <w:tab/>
      </w:r>
      <w:r w:rsidRPr="00E64932">
        <w:rPr>
          <w:color w:val="000000"/>
        </w:rPr>
        <w:t xml:space="preserve">Pentru proiectul Revizuire Plan Urbanistic General al Municipiul Bucureşti urmează a se finaliza Faza 1.2 a contractului cu restul studiilor de fundamentare (ex.: Studiu privind mobilitatea urbană in teritoriu; Studiu privind morfologia tipologică urbană in teritoriu; Documentaţii PUZ-uri Zone Protejate; </w:t>
      </w:r>
      <w:r w:rsidRPr="00E64932">
        <w:rPr>
          <w:color w:val="000000"/>
        </w:rPr>
        <w:lastRenderedPageBreak/>
        <w:t>Demografie; Vulnerabilităţi şi riscuri; Analiza şi diagnosticul tendinţelor de dezvoltare; Analiza şi diagnostic SWOT etc.)</w:t>
      </w:r>
    </w:p>
    <w:p w:rsidR="003D75C9" w:rsidRPr="00E64932" w:rsidRDefault="003D75C9" w:rsidP="003D75C9">
      <w:pPr>
        <w:pStyle w:val="ListParagraph"/>
        <w:ind w:left="0"/>
        <w:jc w:val="both"/>
        <w:rPr>
          <w:color w:val="000000"/>
        </w:rPr>
      </w:pPr>
      <w:r w:rsidRPr="00E64932">
        <w:rPr>
          <w:color w:val="FF0000"/>
        </w:rPr>
        <w:tab/>
      </w:r>
      <w:r w:rsidRPr="00E64932">
        <w:rPr>
          <w:color w:val="000000"/>
        </w:rPr>
        <w:t>La sfârşitul Etapei I - Faza 2, se va întocmi un document de sinteză care va analiza toate studiile de fundamentare cu scopul de a sintetiza problemele relevante în această etapă, care sunt susceptibile de a avea un impact pentru Etapa II - „Elaborare Plan Urbanistic General şi Regulament Local de Urbanism", în ceea ce priveşte reglementarea urbanistică a teritoriului administrativ al Municipiului Bucureşti.</w:t>
      </w:r>
    </w:p>
    <w:p w:rsidR="003D75C9" w:rsidRPr="00E64932" w:rsidRDefault="003D75C9" w:rsidP="003D75C9">
      <w:pPr>
        <w:pStyle w:val="ListParagraph"/>
        <w:ind w:left="0"/>
        <w:jc w:val="both"/>
        <w:rPr>
          <w:color w:val="000000"/>
        </w:rPr>
      </w:pPr>
      <w:r w:rsidRPr="00E64932">
        <w:rPr>
          <w:color w:val="000000"/>
        </w:rPr>
        <w:tab/>
        <w:t>Pe parcursul derulării contractului au existat sincope in comunicarea dintre autorităţile responsabile implicate in proces care au afectat inclusiv fluxurile de date solicitate de către achizitor.</w:t>
      </w:r>
    </w:p>
    <w:p w:rsidR="003D75C9" w:rsidRPr="00E64932" w:rsidRDefault="003D75C9" w:rsidP="003D75C9">
      <w:pPr>
        <w:pStyle w:val="ListParagraph"/>
        <w:ind w:left="0"/>
        <w:jc w:val="both"/>
        <w:rPr>
          <w:color w:val="000000"/>
        </w:rPr>
      </w:pPr>
      <w:r w:rsidRPr="00E64932">
        <w:rPr>
          <w:color w:val="FF0000"/>
        </w:rPr>
        <w:tab/>
      </w:r>
      <w:r w:rsidRPr="00E64932">
        <w:rPr>
          <w:color w:val="000000"/>
        </w:rPr>
        <w:t>Pe parcursul elaborării livrabilului E1F2_5 „Studiu de delimitare a zonelor de protecţie; actualizare studii istorice") au fost întâmpinate dificultăţi de natură tehnică, cauzate de lipsa de acurateţe a BDU-PMB - adrese şi numere poştale lipsă şi neactualizate, care au generat spaţializarea a doar 50% din cele 2621 de poziţii din lista Monumentelor Istorice din anul 2010, aceasta ducând la afectarea livrabilului din punct de vedere calitativ.</w:t>
      </w:r>
      <w:r w:rsidRPr="00E64932">
        <w:rPr>
          <w:color w:val="FF0000"/>
        </w:rPr>
        <w:t xml:space="preserve"> </w:t>
      </w:r>
      <w:r w:rsidRPr="00E64932">
        <w:rPr>
          <w:color w:val="000000"/>
        </w:rPr>
        <w:t>Ulterior elaboratorul</w:t>
      </w:r>
      <w:r w:rsidRPr="00E64932">
        <w:rPr>
          <w:color w:val="FF0000"/>
        </w:rPr>
        <w:t xml:space="preserve"> </w:t>
      </w:r>
      <w:r w:rsidRPr="00E64932">
        <w:rPr>
          <w:color w:val="000000"/>
        </w:rPr>
        <w:t>a obținut un set de date actualizate de la Ministerul Culturii şi Identităţii Naţionale - Institutul Naţional al Patrimoniului. În trimestrul al II-lea al anului 2018 s-a reluat recepția pentru acest livrabil.</w:t>
      </w:r>
      <w:r w:rsidRPr="00E64932">
        <w:rPr>
          <w:color w:val="FF0000"/>
        </w:rPr>
        <w:t xml:space="preserve"> </w:t>
      </w:r>
      <w:r w:rsidRPr="00E64932">
        <w:rPr>
          <w:color w:val="000000"/>
        </w:rPr>
        <w:t>Achizitorul a transmis observațiile de natură tehnică identificate de către Comisia de recepție. Modificările solicitate nu au fost operate de către elaborator conform cerințelor contractuale.</w:t>
      </w:r>
    </w:p>
    <w:p w:rsidR="003D75C9" w:rsidRDefault="003D75C9" w:rsidP="003D75C9">
      <w:pPr>
        <w:pStyle w:val="ListParagraph"/>
        <w:ind w:left="0"/>
        <w:jc w:val="both"/>
        <w:rPr>
          <w:color w:val="000000"/>
        </w:rPr>
      </w:pPr>
      <w:r w:rsidRPr="00E64932">
        <w:rPr>
          <w:color w:val="FF0000"/>
        </w:rPr>
        <w:tab/>
      </w:r>
      <w:r w:rsidRPr="00E64932">
        <w:rPr>
          <w:color w:val="000000"/>
        </w:rPr>
        <w:t>Pentru depăşirea problemelor sus-menţionate au fost convocate întruniri de lucru de către Administratorul Public al Municipiului București cu elaboratorul și cu autoritățiile responsabile, pentru facilitarea transferului de date.</w:t>
      </w:r>
    </w:p>
    <w:p w:rsidR="007E0AA3" w:rsidRPr="00E64932" w:rsidRDefault="007E0AA3" w:rsidP="003D75C9">
      <w:pPr>
        <w:pStyle w:val="ListParagraph"/>
        <w:ind w:left="0"/>
        <w:jc w:val="both"/>
        <w:rPr>
          <w:color w:val="000000"/>
          <w:lang w:val="en-US"/>
        </w:rPr>
      </w:pPr>
    </w:p>
    <w:p w:rsidR="007E0AA3" w:rsidRPr="005C2459" w:rsidRDefault="007E0AA3" w:rsidP="00980D72">
      <w:pPr>
        <w:pStyle w:val="ListParagraph"/>
        <w:numPr>
          <w:ilvl w:val="0"/>
          <w:numId w:val="11"/>
        </w:numPr>
        <w:jc w:val="both"/>
        <w:rPr>
          <w:rFonts w:eastAsia="MS Mincho"/>
          <w:b/>
          <w:i/>
          <w:lang w:val="en-US" w:eastAsia="en-US"/>
        </w:rPr>
      </w:pPr>
      <w:r w:rsidRPr="005C2459">
        <w:rPr>
          <w:rFonts w:eastAsia="MS Mincho"/>
          <w:b/>
          <w:i/>
          <w:lang w:val="en-US" w:eastAsia="en-US"/>
        </w:rPr>
        <w:t>Proiectare urbană – elaborare Planuri urbanistice zonale</w:t>
      </w:r>
    </w:p>
    <w:p w:rsidR="007E0AA3" w:rsidRPr="005C2459" w:rsidRDefault="007E0AA3" w:rsidP="002C01BC">
      <w:pPr>
        <w:pStyle w:val="ListParagraph"/>
        <w:ind w:left="0"/>
        <w:jc w:val="both"/>
      </w:pPr>
      <w:r w:rsidRPr="005C2459">
        <w:tab/>
        <w:t>Pentru lucrările de elaborare PUZ str. N.D. Cocea nr.78-82, sector 5, PUZ str. Orăștie nr.12, sector 4, PUZ Parcaj subteran Gara de Nord au fost elaborate caietele de sarcini și notele conceptuale, ulterior au fost transferate către Direcția Investiții.</w:t>
      </w:r>
    </w:p>
    <w:p w:rsidR="007E0AA3" w:rsidRPr="005C2459" w:rsidRDefault="007E0AA3" w:rsidP="002C01BC">
      <w:pPr>
        <w:pStyle w:val="ListParagraph"/>
        <w:ind w:left="0"/>
        <w:jc w:val="both"/>
      </w:pPr>
      <w:r w:rsidRPr="005C2459">
        <w:tab/>
        <w:t>Pentru PUZ – zona delimitată de malul lacului Străulești – str. Constantin Godeanu – șos. Chitila – str. Aeroportului, sector 1, a fost elaborat caietului de sarcini, a fost derulată procedure de achiziție, urmândaseîncheia contractul de prestare de servicii de proiectare.</w:t>
      </w:r>
    </w:p>
    <w:p w:rsidR="007E0AA3" w:rsidRPr="005C2459" w:rsidRDefault="007E0AA3" w:rsidP="002C01BC">
      <w:pPr>
        <w:pStyle w:val="ListParagraph"/>
        <w:ind w:left="0"/>
        <w:jc w:val="both"/>
      </w:pPr>
      <w:r w:rsidRPr="005C2459">
        <w:tab/>
        <w:t>Pentru proiectul "Regenerare urbană: "Reconstrucția Piațetei Decebal" a fost elaborat caietul de sarcini însă nu a fost declanșată procedura de achiziție, întrucât este posibil să se includă în proiectul complex de Regenerare urbană zona Bd. Magheru.</w:t>
      </w:r>
    </w:p>
    <w:p w:rsidR="007E0AA3" w:rsidRPr="005C2459" w:rsidRDefault="007E0AA3" w:rsidP="007E0AA3">
      <w:pPr>
        <w:ind w:left="360"/>
        <w:jc w:val="both"/>
        <w:rPr>
          <w:color w:val="000000"/>
        </w:rPr>
      </w:pPr>
    </w:p>
    <w:p w:rsidR="007E0AA3" w:rsidRPr="005C2459" w:rsidRDefault="007E0AA3" w:rsidP="00980D72">
      <w:pPr>
        <w:pStyle w:val="ListParagraph"/>
        <w:numPr>
          <w:ilvl w:val="0"/>
          <w:numId w:val="11"/>
        </w:numPr>
        <w:jc w:val="both"/>
        <w:rPr>
          <w:rFonts w:eastAsia="MS Mincho"/>
          <w:b/>
          <w:i/>
          <w:lang w:val="en-US" w:eastAsia="en-US"/>
        </w:rPr>
      </w:pPr>
      <w:r w:rsidRPr="005C2459">
        <w:rPr>
          <w:rFonts w:eastAsia="MS Mincho"/>
          <w:b/>
          <w:i/>
          <w:lang w:val="en-US" w:eastAsia="en-US"/>
        </w:rPr>
        <w:t xml:space="preserve"> Închidere Inelul median de circulaţie la nord / autostrada urbană. P.U.Z. şi studii de fezabilitate</w:t>
      </w:r>
    </w:p>
    <w:p w:rsidR="007E0AA3" w:rsidRPr="007E0AA3" w:rsidRDefault="007E0AA3" w:rsidP="007E0AA3">
      <w:pPr>
        <w:jc w:val="both"/>
        <w:rPr>
          <w:rFonts w:eastAsia="MS Mincho"/>
          <w:lang w:val="en-US" w:eastAsia="en-US"/>
        </w:rPr>
      </w:pPr>
      <w:r>
        <w:rPr>
          <w:rFonts w:eastAsia="MS Mincho"/>
          <w:lang w:val="en-US" w:eastAsia="en-US"/>
        </w:rPr>
        <w:tab/>
      </w:r>
      <w:r w:rsidRPr="007E0AA3">
        <w:rPr>
          <w:rFonts w:eastAsia="MS Mincho"/>
          <w:lang w:val="en-US" w:eastAsia="en-US"/>
        </w:rPr>
        <w:t>Realizarea proiectului va ameliora considerabil circulaţia auto in zona de Nord a Capitalei, prin redistribuirea importantelor valori de trafic existente şi prognozate, creând legături fluente, in deplină siguranţă a traficului, cu Şoseaua Colentina, Şoseaua Andronache, Penetraţia Autostrăzii Bucureşti - Braşov, în imediata vecinătate a Străzii Gherghiţei, Şoseaua Petricani (arteră de circulaţie importantă, care reprezintă un tronson al Inelului median de circulaţie), Şoseaua Pipera (arteră de circulaţie prin care se realizează o legătură directă şi facilă cu oraşul Voluntari), Bd. Aerogării/Strada Nicolae Caramfil, Şoseaua Nordului, Şoseaua Bucureşti-Ploieşti (DN 1), Bd. Poligrafiei, Bulevardul Bucureştii Noi/Şoseaua Chitilei, Calea Giuleşti, Calea Crângaşi, Şoseaua Virtuţii.</w:t>
      </w:r>
    </w:p>
    <w:p w:rsidR="007E0AA3" w:rsidRPr="007E0AA3" w:rsidRDefault="007E0AA3" w:rsidP="007E0AA3">
      <w:pPr>
        <w:jc w:val="both"/>
        <w:rPr>
          <w:rFonts w:eastAsia="MS Mincho"/>
          <w:lang w:val="en-US" w:eastAsia="en-US"/>
        </w:rPr>
      </w:pPr>
      <w:r>
        <w:rPr>
          <w:rFonts w:eastAsia="MS Mincho"/>
          <w:lang w:val="en-US" w:eastAsia="en-US"/>
        </w:rPr>
        <w:tab/>
      </w:r>
      <w:r w:rsidRPr="007E0AA3">
        <w:rPr>
          <w:rFonts w:eastAsia="MS Mincho"/>
          <w:lang w:val="en-US" w:eastAsia="en-US"/>
        </w:rPr>
        <w:t>Vor fi realizate, prin proiect, lărgiri ale profilelor transversale ale arterelor ce se intersectează cu traseul Inelului Median, intersecţii, pasaje rutiere denivelate, pasaje pietonale, spaţii de parcare considerate ca terminale multi-modale, punându-se accent pe îmbunătăţirea eficienţei transferului de călători şi armonizării diferitelor moduri de transport (metrou, cale ferată, transport public de suprafaţă de toate categoriile, turism, taxi, etc.).</w:t>
      </w:r>
    </w:p>
    <w:p w:rsidR="007E0AA3" w:rsidRPr="007E0AA3" w:rsidRDefault="007E0AA3" w:rsidP="007E0AA3">
      <w:pPr>
        <w:jc w:val="both"/>
        <w:rPr>
          <w:rFonts w:eastAsia="MS Mincho"/>
          <w:highlight w:val="yellow"/>
          <w:lang w:val="en-US" w:eastAsia="en-US"/>
        </w:rPr>
      </w:pPr>
      <w:r>
        <w:rPr>
          <w:rFonts w:eastAsia="MS Mincho"/>
          <w:lang w:val="en-US" w:eastAsia="en-US"/>
        </w:rPr>
        <w:tab/>
      </w:r>
      <w:r w:rsidRPr="007E0AA3">
        <w:rPr>
          <w:rFonts w:eastAsia="MS Mincho"/>
          <w:lang w:val="en-US" w:eastAsia="en-US"/>
        </w:rPr>
        <w:t>Urmează a fi obţinut Acordul de mediu pentru faza SF.</w:t>
      </w:r>
      <w:r w:rsidRPr="007E0AA3">
        <w:rPr>
          <w:rFonts w:eastAsia="MS Mincho"/>
          <w:highlight w:val="yellow"/>
          <w:lang w:val="en-US" w:eastAsia="en-US"/>
        </w:rPr>
        <w:t xml:space="preserve"> </w:t>
      </w:r>
    </w:p>
    <w:p w:rsidR="00825379" w:rsidRPr="005C2459" w:rsidRDefault="00825379" w:rsidP="00A77970">
      <w:pPr>
        <w:jc w:val="both"/>
        <w:rPr>
          <w:rFonts w:eastAsia="MS Mincho"/>
          <w:b/>
          <w:i/>
          <w:lang w:val="en-US" w:eastAsia="en-US"/>
        </w:rPr>
      </w:pPr>
    </w:p>
    <w:p w:rsidR="00E95BA5" w:rsidRPr="005C2459" w:rsidRDefault="00E95BA5" w:rsidP="00980D72">
      <w:pPr>
        <w:pStyle w:val="ListParagraph"/>
        <w:numPr>
          <w:ilvl w:val="0"/>
          <w:numId w:val="11"/>
        </w:numPr>
        <w:jc w:val="both"/>
        <w:rPr>
          <w:rFonts w:eastAsia="MS Mincho"/>
          <w:b/>
          <w:i/>
          <w:lang w:val="en-US" w:eastAsia="en-US"/>
        </w:rPr>
      </w:pPr>
      <w:r w:rsidRPr="005C2459">
        <w:rPr>
          <w:rFonts w:eastAsia="MS Mincho"/>
          <w:b/>
          <w:i/>
          <w:lang w:val="en-US" w:eastAsia="en-US"/>
        </w:rPr>
        <w:lastRenderedPageBreak/>
        <w:t xml:space="preserve">Regenerare şi revitalizare urbană </w:t>
      </w:r>
    </w:p>
    <w:p w:rsidR="00F16603" w:rsidRPr="005C2459" w:rsidRDefault="00F16603" w:rsidP="00A77970">
      <w:pPr>
        <w:ind w:firstLine="709"/>
        <w:contextualSpacing/>
        <w:jc w:val="both"/>
        <w:rPr>
          <w:rFonts w:eastAsia="MS Mincho"/>
          <w:b/>
          <w:lang w:val="en-US" w:eastAsia="en-US"/>
        </w:rPr>
      </w:pPr>
      <w:r w:rsidRPr="005C2459">
        <w:rPr>
          <w:rFonts w:eastAsia="MS Mincho"/>
          <w:b/>
          <w:i/>
          <w:lang w:val="en-US" w:eastAsia="en-US"/>
        </w:rPr>
        <w:t xml:space="preserve">Studiu </w:t>
      </w:r>
      <w:r w:rsidR="00E95BA5" w:rsidRPr="005C2459">
        <w:rPr>
          <w:rFonts w:eastAsia="MS Mincho"/>
          <w:b/>
          <w:i/>
          <w:lang w:val="en-US" w:eastAsia="en-US"/>
        </w:rPr>
        <w:t>(</w:t>
      </w:r>
      <w:r w:rsidRPr="005C2459">
        <w:rPr>
          <w:rFonts w:eastAsia="MS Mincho"/>
          <w:b/>
          <w:i/>
          <w:lang w:val="en-US" w:eastAsia="en-US"/>
        </w:rPr>
        <w:t>Diagnostic urban Zona Ferentari in vederea lansării unui program de regenerare urbană</w:t>
      </w:r>
      <w:r w:rsidR="00E95BA5" w:rsidRPr="005C2459">
        <w:rPr>
          <w:rFonts w:eastAsia="MS Mincho"/>
          <w:b/>
          <w:i/>
          <w:lang w:val="en-US" w:eastAsia="en-US"/>
        </w:rPr>
        <w:t>)</w:t>
      </w:r>
    </w:p>
    <w:p w:rsidR="007E0AA3" w:rsidRPr="00E64932" w:rsidRDefault="00F16603" w:rsidP="007E0AA3">
      <w:pPr>
        <w:pStyle w:val="ListParagraph"/>
        <w:ind w:left="0"/>
        <w:jc w:val="both"/>
        <w:rPr>
          <w:color w:val="000000"/>
        </w:rPr>
      </w:pPr>
      <w:r w:rsidRPr="005C2459">
        <w:rPr>
          <w:rFonts w:eastAsia="MS Mincho"/>
          <w:lang w:val="en-US" w:eastAsia="en-US"/>
        </w:rPr>
        <w:tab/>
      </w:r>
      <w:r w:rsidR="007E0AA3" w:rsidRPr="005C2459">
        <w:rPr>
          <w:color w:val="000000"/>
        </w:rPr>
        <w:t>Având in vedere starea actuală a întregului cartier Ferentari, ce poate fi constatată fără a fi in mod</w:t>
      </w:r>
      <w:r w:rsidR="007E0AA3" w:rsidRPr="00E64932">
        <w:rPr>
          <w:color w:val="000000"/>
        </w:rPr>
        <w:t xml:space="preserve"> necesar un locuitor al zonei, este evident că este necesar a fi luate măsuri de remediere cât mai curând</w:t>
      </w:r>
      <w:r w:rsidR="007E0AA3" w:rsidRPr="00E64932">
        <w:rPr>
          <w:color w:val="000000"/>
          <w:lang w:val="en-US"/>
        </w:rPr>
        <w:t xml:space="preserve"> </w:t>
      </w:r>
      <w:r w:rsidR="007E0AA3" w:rsidRPr="00E64932">
        <w:rPr>
          <w:color w:val="000000"/>
        </w:rPr>
        <w:t>întrucât, in acest areal, există zone construite aflate in stare de degradare (clădiri, locuinţe insalubre, spaţii publice, infrastructura tehnico-edilitară), afectate de probleme economice şi sociale acute (calitate precara a locuirii, infracţionalitate, vulnerabilitate şi segregare socială etc.)</w:t>
      </w:r>
      <w:r w:rsidR="007E0AA3" w:rsidRPr="00E64932">
        <w:rPr>
          <w:color w:val="000000"/>
          <w:lang w:val="en-US"/>
        </w:rPr>
        <w:t>.</w:t>
      </w:r>
      <w:r w:rsidR="007E0AA3" w:rsidRPr="00E64932">
        <w:rPr>
          <w:color w:val="000000"/>
        </w:rPr>
        <w:t xml:space="preserve"> </w:t>
      </w:r>
      <w:r w:rsidR="007E0AA3" w:rsidRPr="00E64932">
        <w:rPr>
          <w:color w:val="000000"/>
          <w:lang w:val="en-US"/>
        </w:rPr>
        <w:t>P</w:t>
      </w:r>
      <w:r w:rsidR="007E0AA3" w:rsidRPr="00E64932">
        <w:rPr>
          <w:color w:val="000000"/>
        </w:rPr>
        <w:t>roiectul va fi unul de regenerare urbană, care va include măsuri şi acţiuni ce vor fi realizate asupra patrimoniului construit şi al spaţiilor publice din zona/zonele de acţiune prioritară selectată/e, protejând şi valorizând elementele de mediu natural sau antropizat, stimulând economia locală, in beneficiul comunităţii.</w:t>
      </w:r>
    </w:p>
    <w:p w:rsidR="007E0AA3" w:rsidRPr="00E64932" w:rsidRDefault="007E0AA3" w:rsidP="007E0AA3">
      <w:pPr>
        <w:pStyle w:val="ListParagraph"/>
        <w:ind w:left="0"/>
        <w:jc w:val="both"/>
        <w:rPr>
          <w:color w:val="000000"/>
        </w:rPr>
      </w:pPr>
      <w:r w:rsidRPr="00E64932">
        <w:rPr>
          <w:color w:val="000000"/>
        </w:rPr>
        <w:tab/>
        <w:t>Sunt necesare operaţiuni de regenerare urbană, care să creeze nuclee de însănătoşire a imaginii urbane şi să favorizeze incluziunea socială, având ca scop final ameliorarea calităţii vieţii rezidenţilor.</w:t>
      </w:r>
    </w:p>
    <w:p w:rsidR="007E0AA3" w:rsidRPr="00E64932" w:rsidRDefault="007E0AA3" w:rsidP="007E0AA3">
      <w:pPr>
        <w:pStyle w:val="ListParagraph"/>
        <w:ind w:left="0"/>
        <w:jc w:val="both"/>
        <w:rPr>
          <w:color w:val="000000"/>
        </w:rPr>
      </w:pPr>
      <w:r w:rsidRPr="00E64932">
        <w:rPr>
          <w:color w:val="FF0000"/>
        </w:rPr>
        <w:tab/>
      </w:r>
      <w:r w:rsidRPr="00E64932">
        <w:rPr>
          <w:color w:val="000000"/>
        </w:rPr>
        <w:t>Luând in consideraţie cele subliniate mai sus, va fi elaborat un studiu/documentaţie prin care să fie analizat contextul local actual din diferite puncte de vedere: socio-demografic şi servicii, economic, accesibilitate şi mobilitate, locuire, probleme de mediu şi care va sta la baza unei strategii de dezvoltare locală integrată a zonei.</w:t>
      </w:r>
    </w:p>
    <w:p w:rsidR="007E0AA3" w:rsidRPr="00E64932" w:rsidRDefault="007E0AA3" w:rsidP="007E0AA3">
      <w:pPr>
        <w:pStyle w:val="ListParagraph"/>
        <w:ind w:left="0"/>
        <w:jc w:val="both"/>
        <w:rPr>
          <w:color w:val="000000"/>
        </w:rPr>
      </w:pPr>
      <w:r w:rsidRPr="00E64932">
        <w:rPr>
          <w:color w:val="000000"/>
        </w:rPr>
        <w:tab/>
        <w:t>Pentru acest studiu, procedura de achiziţie publică pentru atribuirea contractului de servicii s-a finalizat in 2016. A fost încheiat contractul de prestări de servicii nr.587/31.08.2017. Acest studiu va sta la baza demersului PMB de a accesa fonduri cu finanţare europeană.</w:t>
      </w:r>
    </w:p>
    <w:p w:rsidR="007E0AA3" w:rsidRPr="00E64932" w:rsidRDefault="007E0AA3" w:rsidP="007E0AA3">
      <w:pPr>
        <w:pStyle w:val="ListParagraph"/>
        <w:ind w:left="0"/>
        <w:jc w:val="both"/>
        <w:rPr>
          <w:color w:val="000000"/>
        </w:rPr>
      </w:pPr>
      <w:r w:rsidRPr="00E64932">
        <w:rPr>
          <w:color w:val="FF0000"/>
        </w:rPr>
        <w:tab/>
      </w:r>
      <w:r w:rsidRPr="00E64932">
        <w:rPr>
          <w:color w:val="000000"/>
        </w:rPr>
        <w:t>Având în vedere iniţiativa UE de a implementa în perioada de programare 2014-2020 un concept nou de dezvoltare „Dezvoltare Locală plasată sub Responsabilitatea Comunităţii' (DLRC) în oraşele mai mari de 20.000 de locuitori, cu oportunităţi de finanţare nerambursabilă prin POCU 2014-2020 (Axa prioritară 5) şi oportunităţile de finanţare nerambursabilă prin axele Programul Operaţional Regional (POR) 2014-2020 (Axa Prioritară 9 - „Sprijinirea regenerării economice şi sociale a comunităţilor defavorizate din mediul urban - infrastructura"), dedicate DLRC, se intenţionează ca acest program de regenerare urbană pentru zona Ferentari sa fie finanţat din asemenea fonduri.</w:t>
      </w:r>
    </w:p>
    <w:p w:rsidR="007E0AA3" w:rsidRPr="007E0AA3" w:rsidRDefault="007E0AA3" w:rsidP="007E0AA3">
      <w:pPr>
        <w:pStyle w:val="ListParagraph"/>
        <w:ind w:left="0"/>
        <w:jc w:val="both"/>
        <w:rPr>
          <w:color w:val="000000"/>
          <w:lang w:val="en-US"/>
        </w:rPr>
      </w:pPr>
      <w:r w:rsidRPr="00E64932">
        <w:rPr>
          <w:color w:val="000000"/>
        </w:rPr>
        <w:tab/>
        <w:t>În 2018 din acest studiu a fost predat și recepționată subfaza I.1. "Evoluția zonei și tendințe identificate"</w:t>
      </w:r>
    </w:p>
    <w:p w:rsidR="007E0AA3" w:rsidRPr="0027143B" w:rsidRDefault="007E0AA3" w:rsidP="00A77970">
      <w:pPr>
        <w:contextualSpacing/>
        <w:jc w:val="both"/>
        <w:rPr>
          <w:rFonts w:eastAsia="MS Mincho"/>
          <w:i/>
          <w:highlight w:val="yellow"/>
          <w:lang w:val="en-US" w:eastAsia="en-US"/>
        </w:rPr>
      </w:pPr>
    </w:p>
    <w:p w:rsidR="007E0AA3" w:rsidRPr="005C2459" w:rsidRDefault="007E0AA3" w:rsidP="00980D72">
      <w:pPr>
        <w:pStyle w:val="ListParagraph"/>
        <w:numPr>
          <w:ilvl w:val="0"/>
          <w:numId w:val="11"/>
        </w:numPr>
        <w:jc w:val="both"/>
        <w:rPr>
          <w:rFonts w:eastAsia="MS Mincho"/>
          <w:b/>
          <w:i/>
          <w:lang w:val="en-US" w:eastAsia="en-US"/>
        </w:rPr>
      </w:pPr>
      <w:r w:rsidRPr="005C2459">
        <w:rPr>
          <w:rFonts w:eastAsia="MS Mincho"/>
          <w:b/>
          <w:i/>
          <w:lang w:val="en-US" w:eastAsia="en-US"/>
        </w:rPr>
        <w:t>"Amenajarea zonei Piaţa Matache" - concurs de soluţii</w:t>
      </w:r>
    </w:p>
    <w:p w:rsidR="007E0AA3" w:rsidRPr="005C2459" w:rsidRDefault="007E0AA3" w:rsidP="007E0AA3">
      <w:pPr>
        <w:jc w:val="both"/>
        <w:rPr>
          <w:rFonts w:eastAsia="MS Mincho"/>
          <w:lang w:val="en-US" w:eastAsia="en-US"/>
        </w:rPr>
      </w:pPr>
      <w:r w:rsidRPr="005C2459">
        <w:rPr>
          <w:rFonts w:eastAsia="MS Mincho"/>
          <w:lang w:val="en-US" w:eastAsia="en-US"/>
        </w:rPr>
        <w:tab/>
        <w:t>A fost inclus in bugetul pe anul 2018, însă nu s-a organizat, fiind necesară clarificarea situației juridice a unor terenuri în zona propusă pentru amenajare.</w:t>
      </w:r>
    </w:p>
    <w:p w:rsidR="007E0AA3" w:rsidRPr="005C2459" w:rsidRDefault="007E0AA3" w:rsidP="007E0AA3">
      <w:pPr>
        <w:jc w:val="both"/>
        <w:rPr>
          <w:rFonts w:eastAsia="MS Mincho"/>
          <w:b/>
          <w:i/>
          <w:lang w:val="en-US" w:eastAsia="en-US"/>
        </w:rPr>
      </w:pPr>
    </w:p>
    <w:p w:rsidR="007E0AA3" w:rsidRPr="005C2459" w:rsidRDefault="007E0AA3" w:rsidP="00980D72">
      <w:pPr>
        <w:pStyle w:val="ListParagraph"/>
        <w:numPr>
          <w:ilvl w:val="0"/>
          <w:numId w:val="11"/>
        </w:numPr>
        <w:jc w:val="both"/>
        <w:rPr>
          <w:rFonts w:eastAsia="MS Mincho"/>
          <w:b/>
          <w:i/>
          <w:lang w:val="en-US" w:eastAsia="en-US"/>
        </w:rPr>
      </w:pPr>
      <w:r w:rsidRPr="005C2459">
        <w:rPr>
          <w:rFonts w:eastAsia="MS Mincho"/>
          <w:b/>
          <w:i/>
          <w:lang w:val="en-US" w:eastAsia="en-US"/>
        </w:rPr>
        <w:t>Regenerare urbană zona Bulevardului Magheru - concurs de soluţii</w:t>
      </w:r>
    </w:p>
    <w:p w:rsidR="007E0AA3" w:rsidRPr="005C2459" w:rsidRDefault="007E0AA3" w:rsidP="007E0AA3">
      <w:pPr>
        <w:jc w:val="both"/>
        <w:rPr>
          <w:rFonts w:eastAsia="MS Mincho"/>
          <w:lang w:val="en-US" w:eastAsia="en-US"/>
        </w:rPr>
      </w:pPr>
      <w:r w:rsidRPr="005C2459">
        <w:rPr>
          <w:rFonts w:eastAsia="MS Mincho"/>
          <w:lang w:val="en-US" w:eastAsia="en-US"/>
        </w:rPr>
        <w:tab/>
        <w:t>Lucrarea a fost inclusă in bugetul pe anul 2018, constând în organizarea unui concurs de soluții de urbanism și design urban pentru zona cuprinsă între Piața Romană – Piața Universității – Piața Unirii, inclusiv zonele adiacente traseului. A fost elaborat caietul de sarcini, urmând ca să se desfășoare în 2019.</w:t>
      </w:r>
    </w:p>
    <w:p w:rsidR="007E0AA3" w:rsidRPr="007E0AA3" w:rsidRDefault="007E0AA3" w:rsidP="007E0AA3">
      <w:pPr>
        <w:jc w:val="both"/>
        <w:rPr>
          <w:rFonts w:eastAsia="MS Mincho"/>
          <w:lang w:val="en-US" w:eastAsia="en-US"/>
        </w:rPr>
      </w:pPr>
      <w:r w:rsidRPr="005C2459">
        <w:rPr>
          <w:rFonts w:eastAsia="MS Mincho"/>
          <w:lang w:val="en-US" w:eastAsia="en-US"/>
        </w:rPr>
        <w:tab/>
        <w:t>Ca serviciu public, s-a urmărit realizarea următoarelor obiective:</w:t>
      </w:r>
      <w:r w:rsidRPr="007E0AA3">
        <w:rPr>
          <w:rFonts w:eastAsia="MS Mincho"/>
          <w:lang w:val="en-US" w:eastAsia="en-US"/>
        </w:rPr>
        <w:tab/>
      </w:r>
      <w:r w:rsidRPr="007E0AA3">
        <w:rPr>
          <w:rFonts w:eastAsia="MS Mincho"/>
          <w:lang w:val="en-US" w:eastAsia="en-US"/>
        </w:rPr>
        <w:tab/>
      </w:r>
    </w:p>
    <w:p w:rsidR="007E0AA3" w:rsidRPr="007E0AA3" w:rsidRDefault="007E0AA3" w:rsidP="007E0AA3">
      <w:pPr>
        <w:jc w:val="both"/>
        <w:rPr>
          <w:rFonts w:eastAsia="MS Mincho"/>
          <w:lang w:val="en-US" w:eastAsia="en-US"/>
        </w:rPr>
      </w:pPr>
      <w:r w:rsidRPr="007E0AA3">
        <w:rPr>
          <w:rFonts w:eastAsia="MS Mincho"/>
          <w:lang w:val="en-US" w:eastAsia="en-US"/>
        </w:rPr>
        <w:t>○ Protejarea interesului public - prin elaborarea de regulamente si reglementari urbanistice;</w:t>
      </w:r>
    </w:p>
    <w:p w:rsidR="007E0AA3" w:rsidRPr="007E0AA3" w:rsidRDefault="007E0AA3" w:rsidP="007E0AA3">
      <w:pPr>
        <w:jc w:val="both"/>
        <w:rPr>
          <w:rFonts w:eastAsia="MS Mincho"/>
          <w:lang w:val="en-US" w:eastAsia="en-US"/>
        </w:rPr>
      </w:pPr>
      <w:r w:rsidRPr="007E0AA3">
        <w:rPr>
          <w:rFonts w:eastAsia="MS Mincho"/>
          <w:lang w:val="en-US" w:eastAsia="en-US"/>
        </w:rPr>
        <w:t>○ Transparenţa deciziilor - Organizarea activităţii de informare şi consultare a publicului conform Ordin MDRT nr. 2701/2010, pentru documentaţii de urbanism.</w:t>
      </w:r>
    </w:p>
    <w:p w:rsidR="007E0AA3" w:rsidRPr="007E0AA3" w:rsidRDefault="007E0AA3" w:rsidP="007E0AA3">
      <w:pPr>
        <w:jc w:val="both"/>
        <w:rPr>
          <w:rFonts w:eastAsia="MS Mincho"/>
          <w:lang w:val="en-US" w:eastAsia="en-US"/>
        </w:rPr>
      </w:pPr>
      <w:r w:rsidRPr="007E0AA3">
        <w:rPr>
          <w:rFonts w:eastAsia="MS Mincho"/>
          <w:lang w:val="en-US" w:eastAsia="en-US"/>
        </w:rPr>
        <w:tab/>
        <w:t>Pe parcursul anului 2018 au fost înregistrate la DGUAT 2.101 lucrări, din care 1.679 prin Registratura PMB (CIDRC) si 422 lucrări interne iar la Direcția Urbanism 15.205 lucrări, din care 12.164 prin Registratura PMB și restul lucrări interne.</w:t>
      </w:r>
    </w:p>
    <w:p w:rsidR="007E0AA3" w:rsidRPr="007E0AA3" w:rsidRDefault="007E0AA3" w:rsidP="007E0AA3">
      <w:pPr>
        <w:jc w:val="both"/>
        <w:rPr>
          <w:rFonts w:eastAsia="MS Mincho"/>
          <w:lang w:val="en-US" w:eastAsia="en-US"/>
        </w:rPr>
      </w:pPr>
      <w:r w:rsidRPr="007E0AA3">
        <w:rPr>
          <w:rFonts w:eastAsia="MS Mincho"/>
          <w:lang w:val="en-US" w:eastAsia="en-US"/>
        </w:rPr>
        <w:tab/>
        <w:t>Pentru un număr total de 5.490 lucrări au fost trimise adrese de răspuns prin CRM si 2.353 răspunsuri au fost transmise direct la programul cu publicul.</w:t>
      </w:r>
    </w:p>
    <w:p w:rsidR="007E0AA3" w:rsidRPr="007E0AA3" w:rsidRDefault="007E0AA3" w:rsidP="007E0AA3">
      <w:pPr>
        <w:jc w:val="both"/>
        <w:rPr>
          <w:rFonts w:eastAsia="MS Mincho"/>
          <w:lang w:val="en-US" w:eastAsia="en-US"/>
        </w:rPr>
      </w:pPr>
      <w:r w:rsidRPr="007E0AA3">
        <w:rPr>
          <w:rFonts w:eastAsia="MS Mincho"/>
          <w:lang w:val="en-US" w:eastAsia="en-US"/>
        </w:rPr>
        <w:tab/>
        <w:t xml:space="preserve">În anul 2018 s-au emis: Autorizaţii construire/desfiinţare: 683; Recepţii autorizaţii desfiinţare/construire: 25/141; Certificate urbanism: 2054; Certificate urbanism reţele edilitare: 1.029; </w:t>
      </w:r>
      <w:r w:rsidRPr="007E0AA3">
        <w:rPr>
          <w:rFonts w:eastAsia="MS Mincho"/>
          <w:lang w:val="en-US" w:eastAsia="en-US"/>
        </w:rPr>
        <w:lastRenderedPageBreak/>
        <w:t>Avize pre-coordonare reţele pentru PUZ-uri:112; Avize terase sezoniere: 335; Certificate edificare a construcţiilor: 121; Acorduri de principiu flyere: 305.</w:t>
      </w:r>
    </w:p>
    <w:p w:rsidR="007E0AA3" w:rsidRPr="007E0AA3" w:rsidRDefault="007E0AA3" w:rsidP="007E0AA3">
      <w:pPr>
        <w:jc w:val="both"/>
        <w:rPr>
          <w:rFonts w:eastAsia="MS Mincho"/>
          <w:lang w:val="en-US" w:eastAsia="en-US"/>
        </w:rPr>
      </w:pPr>
      <w:r w:rsidRPr="007E0AA3">
        <w:rPr>
          <w:rFonts w:eastAsia="MS Mincho"/>
          <w:lang w:val="en-US" w:eastAsia="en-US"/>
        </w:rPr>
        <w:tab/>
        <w:t>În vederea întocmirii unor planuri de urbanism zonale/planuri urbanistice de detaliu, s-au emis următoarele: Avizele Arhitectului Şef pentru PUZ - uri: 88; Avize de oportunitate pentru PUZ - uri: 170; Avize preliminare pentru PUZ - uri: 136; Avize preliminare pentru PUD-uri: 2; Situaţii urbanistice diverse: 200; Răspunsuri la petiţii şi sesizări: 240.</w:t>
      </w:r>
    </w:p>
    <w:p w:rsidR="007E0AA3" w:rsidRDefault="007E0AA3" w:rsidP="007E0AA3">
      <w:pPr>
        <w:jc w:val="both"/>
        <w:rPr>
          <w:rFonts w:eastAsia="MS Mincho"/>
          <w:lang w:val="en-US" w:eastAsia="en-US"/>
        </w:rPr>
      </w:pPr>
      <w:r w:rsidRPr="007E0AA3">
        <w:rPr>
          <w:rFonts w:eastAsia="MS Mincho"/>
          <w:lang w:val="en-US" w:eastAsia="en-US"/>
        </w:rPr>
        <w:tab/>
        <w:t>Proiecte H.C.G.M.B. pentru aprobare PUZ/PUD, pentru care s-au emis: Rapoarte consultare: 59; Expunere motive: 59; Rapoarte de specialitate: 59; Documente de planificare: 59; Proiecte H.C.G.M.B.: 59; Referate PUZ/PUD: 127; Proceduri de informare și consultare public: 170 AO/15 zile AP/15 zile consultare/elaborare 136 AS/15 zile.</w:t>
      </w:r>
    </w:p>
    <w:p w:rsidR="007E0AA3" w:rsidRDefault="007E0AA3" w:rsidP="007E0AA3">
      <w:pPr>
        <w:jc w:val="both"/>
        <w:rPr>
          <w:rFonts w:eastAsia="MS Mincho"/>
          <w:lang w:val="en-US" w:eastAsia="en-US"/>
        </w:rPr>
      </w:pPr>
    </w:p>
    <w:p w:rsidR="007E0AA3" w:rsidRPr="005C2459" w:rsidRDefault="007E0AA3" w:rsidP="007E0AA3">
      <w:pPr>
        <w:ind w:firstLine="709"/>
        <w:contextualSpacing/>
        <w:jc w:val="both"/>
        <w:rPr>
          <w:rFonts w:eastAsia="MS Mincho"/>
          <w:b/>
          <w:lang w:val="en-US" w:eastAsia="en-US"/>
        </w:rPr>
      </w:pPr>
      <w:r w:rsidRPr="005C2459">
        <w:rPr>
          <w:rFonts w:eastAsia="MS Mincho"/>
          <w:b/>
          <w:lang w:val="en-US" w:eastAsia="en-US"/>
        </w:rPr>
        <w:t xml:space="preserve">Direcţia Generală Infrastructură, a realizat, în anul 2018, următoarele obiective propuse: </w:t>
      </w:r>
    </w:p>
    <w:p w:rsidR="007E0AA3" w:rsidRPr="005C2459" w:rsidRDefault="007E0AA3" w:rsidP="00980D72">
      <w:pPr>
        <w:pStyle w:val="ListParagraph"/>
        <w:numPr>
          <w:ilvl w:val="0"/>
          <w:numId w:val="11"/>
        </w:numPr>
        <w:jc w:val="both"/>
        <w:rPr>
          <w:rFonts w:eastAsia="MS Mincho"/>
          <w:b/>
          <w:i/>
          <w:lang w:val="en-US" w:eastAsia="en-US"/>
        </w:rPr>
      </w:pPr>
      <w:r w:rsidRPr="005C2459">
        <w:rPr>
          <w:rFonts w:eastAsia="MS Mincho"/>
          <w:b/>
          <w:i/>
          <w:lang w:val="en-US" w:eastAsia="en-US"/>
        </w:rPr>
        <w:t>Reabilitare sistem rutier şi linii de tramvai</w:t>
      </w:r>
    </w:p>
    <w:p w:rsidR="007E0AA3" w:rsidRPr="005C2459" w:rsidRDefault="002C01BC" w:rsidP="007E0AA3">
      <w:pPr>
        <w:pStyle w:val="ListParagraph"/>
        <w:ind w:left="0"/>
        <w:jc w:val="both"/>
        <w:rPr>
          <w:b/>
          <w:bCs/>
          <w:lang w:val="pt-BR"/>
        </w:rPr>
      </w:pPr>
      <w:r w:rsidRPr="005C2459">
        <w:rPr>
          <w:b/>
          <w:bCs/>
          <w:lang w:val="pt-BR"/>
        </w:rPr>
        <w:tab/>
      </w:r>
      <w:r w:rsidR="007E0AA3" w:rsidRPr="005C2459">
        <w:rPr>
          <w:b/>
          <w:bCs/>
          <w:lang w:val="pt-BR"/>
        </w:rPr>
        <w:t xml:space="preserve">Reabilitare unică Şos. Iancului - </w:t>
      </w:r>
      <w:r w:rsidR="007E0AA3" w:rsidRPr="005C2459">
        <w:rPr>
          <w:rFonts w:eastAsia="Calibri"/>
        </w:rPr>
        <w:t>Contract parțial nefinalizat (Sistemul rutier este în funcțiune, dar parcările nefinalizate); Termen estimat de finalizare: 16 luni de la emiterea Ordinului de Începere.</w:t>
      </w:r>
    </w:p>
    <w:p w:rsidR="007E0AA3" w:rsidRPr="005C2459" w:rsidRDefault="002C01BC" w:rsidP="007E0AA3">
      <w:pPr>
        <w:pStyle w:val="ListParagraph"/>
        <w:ind w:left="0"/>
        <w:jc w:val="both"/>
        <w:rPr>
          <w:b/>
          <w:bCs/>
          <w:lang w:val="pt-BR"/>
        </w:rPr>
      </w:pPr>
      <w:r w:rsidRPr="005C2459">
        <w:rPr>
          <w:b/>
          <w:bCs/>
          <w:lang w:val="pt-BR"/>
        </w:rPr>
        <w:tab/>
      </w:r>
      <w:r w:rsidR="007E0AA3" w:rsidRPr="005C2459">
        <w:rPr>
          <w:b/>
          <w:bCs/>
          <w:lang w:val="pt-BR"/>
        </w:rPr>
        <w:t xml:space="preserve">Reabilitare unică Şos. Pantelimon - </w:t>
      </w:r>
      <w:r w:rsidR="007E0AA3" w:rsidRPr="005C2459">
        <w:rPr>
          <w:rFonts w:eastAsia="Calibri"/>
        </w:rPr>
        <w:t>Contract parțial nefinalizat (Sistemul rutier este în funcțiune, dar Park &amp;Ride-ul nefinalizat); Termen estimat de finalizare: 16 luni de la emiterea Ordinului de Începere</w:t>
      </w:r>
    </w:p>
    <w:p w:rsidR="007E0AA3" w:rsidRPr="005C2459" w:rsidRDefault="002C01BC" w:rsidP="007E0AA3">
      <w:pPr>
        <w:pStyle w:val="ListParagraph"/>
        <w:ind w:left="0"/>
        <w:jc w:val="both"/>
        <w:rPr>
          <w:rFonts w:eastAsia="Calibri"/>
          <w:b/>
        </w:rPr>
      </w:pPr>
      <w:r w:rsidRPr="005C2459">
        <w:rPr>
          <w:b/>
          <w:bCs/>
          <w:lang w:val="pt-BR"/>
        </w:rPr>
        <w:tab/>
      </w:r>
      <w:r w:rsidR="007E0AA3" w:rsidRPr="005C2459">
        <w:rPr>
          <w:b/>
          <w:bCs/>
          <w:lang w:val="pt-BR"/>
        </w:rPr>
        <w:t>Supralărgire Fabrica de Glucoză</w:t>
      </w:r>
      <w:r w:rsidR="007E0AA3" w:rsidRPr="005C2459">
        <w:rPr>
          <w:rFonts w:eastAsia="Calibri"/>
          <w:b/>
        </w:rPr>
        <w:t xml:space="preserve"> - </w:t>
      </w:r>
      <w:r w:rsidR="007E0AA3" w:rsidRPr="005C2459">
        <w:rPr>
          <w:lang w:val="en-US"/>
        </w:rPr>
        <w:t xml:space="preserve">Ordinul de Începere a Lucrărilor a fost emis în octombrie 2018; Termen de execuție: 15 luni </w:t>
      </w:r>
    </w:p>
    <w:p w:rsidR="007E0AA3" w:rsidRPr="005C2459" w:rsidRDefault="002C01BC" w:rsidP="007E0AA3">
      <w:pPr>
        <w:pStyle w:val="ListParagraph"/>
        <w:ind w:left="0"/>
        <w:jc w:val="both"/>
        <w:rPr>
          <w:b/>
          <w:bCs/>
          <w:lang w:val="pt-BR"/>
        </w:rPr>
      </w:pPr>
      <w:r w:rsidRPr="005C2459">
        <w:rPr>
          <w:b/>
          <w:bCs/>
          <w:lang w:val="pt-BR"/>
        </w:rPr>
        <w:tab/>
      </w:r>
      <w:r w:rsidR="007E0AA3" w:rsidRPr="005C2459">
        <w:rPr>
          <w:b/>
          <w:bCs/>
          <w:lang w:val="pt-BR"/>
        </w:rPr>
        <w:t xml:space="preserve">Penetraţie Splaiul Independenţei- Ciurel- Autostrada Bucureşti-Piteşti - </w:t>
      </w:r>
      <w:r w:rsidR="007E0AA3" w:rsidRPr="005C2459">
        <w:rPr>
          <w:rFonts w:eastAsia="Calibri"/>
        </w:rPr>
        <w:t xml:space="preserve">Termenul a fost extins pentru noiembrie 2019 – Execuție Etapa 1- Nod Virtuții </w:t>
      </w:r>
    </w:p>
    <w:p w:rsidR="007E0AA3" w:rsidRPr="005C2459" w:rsidRDefault="002C01BC" w:rsidP="007E0AA3">
      <w:pPr>
        <w:pStyle w:val="ListParagraph"/>
        <w:ind w:left="0"/>
        <w:jc w:val="both"/>
        <w:rPr>
          <w:b/>
          <w:bCs/>
          <w:lang w:val="pt-BR"/>
        </w:rPr>
      </w:pPr>
      <w:r w:rsidRPr="005C2459">
        <w:rPr>
          <w:b/>
          <w:bCs/>
          <w:lang w:val="pt-BR"/>
        </w:rPr>
        <w:tab/>
      </w:r>
      <w:r w:rsidR="007E0AA3" w:rsidRPr="005C2459">
        <w:rPr>
          <w:b/>
          <w:bCs/>
          <w:lang w:val="pt-BR"/>
        </w:rPr>
        <w:t xml:space="preserve">Modernizare Piaţa Eroii Revoluţiei + Pasaj pietonal - </w:t>
      </w:r>
      <w:r w:rsidR="007E0AA3" w:rsidRPr="005C2459">
        <w:rPr>
          <w:lang w:val="en-US"/>
        </w:rPr>
        <w:t>Este realizat proiectul, urmează să se emită Ordinul de Începere pentru lucrări, după obținerea Autorizației de Construire. Termen de execuție: 6 luni.</w:t>
      </w:r>
    </w:p>
    <w:p w:rsidR="007E0AA3" w:rsidRPr="005C2459" w:rsidRDefault="002C01BC" w:rsidP="007E0AA3">
      <w:pPr>
        <w:pStyle w:val="ListParagraph"/>
        <w:ind w:left="0"/>
        <w:jc w:val="both"/>
        <w:rPr>
          <w:b/>
          <w:bCs/>
          <w:lang w:val="pt-BR"/>
        </w:rPr>
      </w:pPr>
      <w:r w:rsidRPr="005C2459">
        <w:rPr>
          <w:b/>
          <w:bCs/>
          <w:lang w:val="pt-BR"/>
        </w:rPr>
        <w:tab/>
      </w:r>
      <w:r w:rsidR="007E0AA3" w:rsidRPr="005C2459">
        <w:rPr>
          <w:b/>
          <w:bCs/>
          <w:lang w:val="pt-BR"/>
        </w:rPr>
        <w:t xml:space="preserve">Penetraţie Prelungirea Ghencea – Domneşti - </w:t>
      </w:r>
      <w:r w:rsidR="007E0AA3" w:rsidRPr="005C2459">
        <w:rPr>
          <w:lang w:val="en-US"/>
        </w:rPr>
        <w:t>Urmează emiterea H.C.G.M.B. pentru culoarul de expropriere; urmează proiectul și avizul pentru Autorizația de Construire.</w:t>
      </w:r>
    </w:p>
    <w:p w:rsidR="007E0AA3" w:rsidRPr="005C2459" w:rsidRDefault="002C01BC" w:rsidP="007E0AA3">
      <w:pPr>
        <w:pStyle w:val="ListParagraph"/>
        <w:ind w:left="0"/>
        <w:jc w:val="both"/>
        <w:rPr>
          <w:lang w:val="en-US"/>
        </w:rPr>
      </w:pPr>
      <w:r w:rsidRPr="005C2459">
        <w:rPr>
          <w:b/>
          <w:bCs/>
          <w:lang w:val="pt-BR"/>
        </w:rPr>
        <w:tab/>
      </w:r>
      <w:r w:rsidR="007E0AA3" w:rsidRPr="005C2459">
        <w:rPr>
          <w:b/>
          <w:bCs/>
          <w:lang w:val="pt-BR"/>
        </w:rPr>
        <w:t>Străpungere şi supralărgire Str. Avionului</w:t>
      </w:r>
      <w:r w:rsidR="007E0AA3" w:rsidRPr="005C2459">
        <w:rPr>
          <w:lang w:val="en-US"/>
        </w:rPr>
        <w:t xml:space="preserve"> - Este în curs de emitere H.C.G.M.B. de aprobare a indicatorilor tehnico-economici.</w:t>
      </w:r>
    </w:p>
    <w:p w:rsidR="007E0AA3" w:rsidRPr="005C2459" w:rsidRDefault="002C01BC" w:rsidP="007E0AA3">
      <w:pPr>
        <w:pStyle w:val="ListParagraph"/>
        <w:ind w:left="0"/>
        <w:jc w:val="both"/>
      </w:pPr>
      <w:r w:rsidRPr="005C2459">
        <w:rPr>
          <w:b/>
          <w:bCs/>
          <w:lang w:val="pt-BR"/>
        </w:rPr>
        <w:tab/>
      </w:r>
      <w:r w:rsidR="007E0AA3" w:rsidRPr="005C2459">
        <w:rPr>
          <w:b/>
          <w:bCs/>
          <w:lang w:val="pt-BR"/>
        </w:rPr>
        <w:t>Străpungere Bd. Nicolae Grigorescu – Splai Dudescu – intersecţia Vitan-Bârzeşti Etapa II</w:t>
      </w:r>
      <w:r w:rsidR="007E0AA3" w:rsidRPr="005C2459">
        <w:t xml:space="preserve"> - </w:t>
      </w:r>
      <w:r w:rsidR="007E0AA3" w:rsidRPr="005C2459">
        <w:rPr>
          <w:lang w:val="en-US"/>
        </w:rPr>
        <w:t>Este în curs de emitere H.C.G.M.B. de aprobare a indicatorilor tehnico-economici, realizare SF + PT+ Execuție.</w:t>
      </w:r>
    </w:p>
    <w:p w:rsidR="007E0AA3" w:rsidRPr="005C2459" w:rsidRDefault="002C01BC" w:rsidP="007E0AA3">
      <w:pPr>
        <w:pStyle w:val="ListParagraph"/>
        <w:ind w:left="0"/>
        <w:jc w:val="both"/>
        <w:rPr>
          <w:lang w:val="en-US"/>
        </w:rPr>
      </w:pPr>
      <w:r w:rsidRPr="005C2459">
        <w:rPr>
          <w:b/>
          <w:bCs/>
          <w:lang w:val="pt-BR"/>
        </w:rPr>
        <w:tab/>
      </w:r>
      <w:r w:rsidR="007E0AA3" w:rsidRPr="005C2459">
        <w:rPr>
          <w:b/>
          <w:bCs/>
          <w:lang w:val="pt-BR"/>
        </w:rPr>
        <w:t xml:space="preserve">Pasaj rutier Şos. Colentina – Doamna Ghica - </w:t>
      </w:r>
      <w:r w:rsidR="007E0AA3" w:rsidRPr="005C2459">
        <w:rPr>
          <w:lang w:val="en-US"/>
        </w:rPr>
        <w:t>Este în curs de emitere H.C.G.M.B. de aprobare a indicatorilor tehnico-economici.</w:t>
      </w:r>
    </w:p>
    <w:p w:rsidR="007E0AA3" w:rsidRPr="005C2459" w:rsidRDefault="007E0AA3" w:rsidP="007E0AA3">
      <w:pPr>
        <w:pStyle w:val="ListParagraph"/>
        <w:ind w:left="0"/>
        <w:jc w:val="both"/>
        <w:rPr>
          <w:b/>
          <w:bCs/>
          <w:lang w:val="pt-BR"/>
        </w:rPr>
      </w:pPr>
    </w:p>
    <w:p w:rsidR="007E0AA3" w:rsidRPr="00E64932" w:rsidRDefault="007E0AA3" w:rsidP="007E0AA3">
      <w:pPr>
        <w:pStyle w:val="ListParagraph"/>
        <w:ind w:left="0"/>
        <w:jc w:val="both"/>
        <w:rPr>
          <w:b/>
        </w:rPr>
      </w:pPr>
      <w:r w:rsidRPr="005C2459">
        <w:rPr>
          <w:b/>
        </w:rPr>
        <w:t>Direcţia Generală Investiţii</w:t>
      </w:r>
      <w:r w:rsidR="002C01BC" w:rsidRPr="005C2459">
        <w:rPr>
          <w:b/>
        </w:rPr>
        <w:t>,</w:t>
      </w:r>
      <w:r w:rsidR="002C01BC" w:rsidRPr="005C2459">
        <w:rPr>
          <w:rFonts w:eastAsia="MS Mincho"/>
          <w:b/>
          <w:lang w:val="en-US" w:eastAsia="en-US"/>
        </w:rPr>
        <w:t xml:space="preserve"> a realizat, în anul 2018, următoarele obiective propuse:</w:t>
      </w:r>
    </w:p>
    <w:p w:rsidR="007E0AA3" w:rsidRPr="00E64932" w:rsidRDefault="007E0AA3" w:rsidP="007E0AA3">
      <w:pPr>
        <w:pStyle w:val="ListParagraph"/>
        <w:ind w:left="0"/>
        <w:jc w:val="both"/>
      </w:pPr>
    </w:p>
    <w:p w:rsidR="007E0AA3" w:rsidRPr="00E64932" w:rsidRDefault="007E0AA3" w:rsidP="007E0AA3">
      <w:pPr>
        <w:pStyle w:val="ListParagraph"/>
        <w:ind w:left="0"/>
        <w:jc w:val="both"/>
        <w:rPr>
          <w:b/>
          <w:lang w:val="es-ES"/>
        </w:rPr>
      </w:pPr>
      <w:r w:rsidRPr="00E64932">
        <w:rPr>
          <w:b/>
          <w:color w:val="000000"/>
        </w:rPr>
        <w:t xml:space="preserve">► </w:t>
      </w:r>
      <w:r w:rsidRPr="00E64932">
        <w:rPr>
          <w:b/>
        </w:rPr>
        <w:t>“</w:t>
      </w:r>
      <w:r w:rsidRPr="00E64932">
        <w:rPr>
          <w:b/>
          <w:lang w:val="es-ES"/>
        </w:rPr>
        <w:t>Planul Integrat de Dezvoltare Urbană – Zona Centrală a Municipiului București”</w:t>
      </w:r>
    </w:p>
    <w:p w:rsidR="007E0AA3" w:rsidRPr="00E64932" w:rsidRDefault="007E0AA3" w:rsidP="007E0AA3">
      <w:pPr>
        <w:pStyle w:val="ListParagraph"/>
        <w:ind w:left="0" w:firstLine="720"/>
        <w:jc w:val="both"/>
        <w:rPr>
          <w:lang w:val="en-US"/>
        </w:rPr>
      </w:pPr>
      <w:r w:rsidRPr="00E64932">
        <w:t>“</w:t>
      </w:r>
      <w:r w:rsidRPr="00E64932">
        <w:rPr>
          <w:lang w:val="es-ES"/>
        </w:rPr>
        <w:t xml:space="preserve">Planul Integrat de Dezvoltare Urbană – Zona Centrală a Municipiului București” </w:t>
      </w:r>
      <w:r w:rsidRPr="00E64932">
        <w:rPr>
          <w:lang w:val="fr-FR"/>
        </w:rPr>
        <w:t xml:space="preserve">reprezintă un document de planificare a dezvoltării la nivelul zonei centrale a capitalei. Planul cuprinde mai multe proiecte individuale (și subproiecte), avand ca obiectiv </w:t>
      </w:r>
      <w:r w:rsidRPr="00E64932">
        <w:t xml:space="preserve">consolidarea identității orașului, susținerea vitalității și atractivității acestuia, dezvoltarea economică locală și regenerarea urbană durabilă prin îmbunătățirea calității spațiilor publice și valorificarea elementelor culturale, de patrimoniu și turistice a zonei centrale a capitalei, creşterea calităţii vieţii locuitorilor zonei centrale şi ai întregului oraş, sporirea atractivitătii pentru investitori şi turişti, susţinând un centru vibrant, dinamic, atractiv pentru o  capitală europeană. </w:t>
      </w:r>
    </w:p>
    <w:p w:rsidR="007E0AA3" w:rsidRPr="00E64932" w:rsidRDefault="007E0AA3" w:rsidP="007E0AA3">
      <w:pPr>
        <w:pStyle w:val="ListParagraph"/>
        <w:ind w:left="0" w:firstLine="720"/>
        <w:jc w:val="both"/>
      </w:pPr>
      <w:r w:rsidRPr="00E64932">
        <w:t xml:space="preserve">Planul cuprinde mai multe proiecte individuale și subproiecte, cum ar fi: </w:t>
      </w:r>
    </w:p>
    <w:p w:rsidR="007E0AA3" w:rsidRPr="00E64932" w:rsidRDefault="007E0AA3" w:rsidP="00980D72">
      <w:pPr>
        <w:pStyle w:val="ListParagraph"/>
        <w:numPr>
          <w:ilvl w:val="0"/>
          <w:numId w:val="35"/>
        </w:numPr>
        <w:tabs>
          <w:tab w:val="left" w:pos="270"/>
        </w:tabs>
        <w:ind w:left="0" w:firstLine="0"/>
        <w:jc w:val="both"/>
        <w:rPr>
          <w:bCs/>
          <w:lang w:val="es-ES"/>
        </w:rPr>
      </w:pPr>
      <w:r w:rsidRPr="00E64932">
        <w:rPr>
          <w:bCs/>
          <w:color w:val="000000"/>
          <w:lang w:val="es-ES"/>
        </w:rPr>
        <w:t>Ansamblul urban complex – Pod Mihai Vodă, Pod pietonal şi pentru biciclişti peste Dâmboviţa şi parcaje subterane</w:t>
      </w:r>
      <w:r w:rsidRPr="00E64932">
        <w:rPr>
          <w:bCs/>
          <w:lang w:val="es-ES"/>
        </w:rPr>
        <w:t>;</w:t>
      </w:r>
    </w:p>
    <w:p w:rsidR="007E0AA3" w:rsidRPr="00E64932" w:rsidRDefault="007E0AA3" w:rsidP="00980D72">
      <w:pPr>
        <w:pStyle w:val="ListParagraph"/>
        <w:numPr>
          <w:ilvl w:val="0"/>
          <w:numId w:val="35"/>
        </w:numPr>
        <w:tabs>
          <w:tab w:val="left" w:pos="270"/>
        </w:tabs>
        <w:ind w:left="0" w:firstLine="0"/>
        <w:jc w:val="both"/>
        <w:rPr>
          <w:bCs/>
          <w:lang w:val="es-ES"/>
        </w:rPr>
      </w:pPr>
      <w:r w:rsidRPr="00E64932">
        <w:rPr>
          <w:bCs/>
          <w:lang w:val="es-ES"/>
        </w:rPr>
        <w:lastRenderedPageBreak/>
        <w:t>Spaţiu public urban „Podul Calicilor” – Ansamblul urban Domniţa Bălaşa, parcaj subteran, amenajare urbană Palatul de Justiţie;</w:t>
      </w:r>
    </w:p>
    <w:p w:rsidR="007E0AA3" w:rsidRPr="00E64932" w:rsidRDefault="007E0AA3" w:rsidP="00980D72">
      <w:pPr>
        <w:pStyle w:val="ListParagraph"/>
        <w:numPr>
          <w:ilvl w:val="0"/>
          <w:numId w:val="35"/>
        </w:numPr>
        <w:tabs>
          <w:tab w:val="left" w:pos="270"/>
        </w:tabs>
        <w:ind w:left="0" w:firstLine="0"/>
        <w:jc w:val="both"/>
        <w:rPr>
          <w:bCs/>
        </w:rPr>
      </w:pPr>
      <w:r w:rsidRPr="00E64932">
        <w:rPr>
          <w:bCs/>
        </w:rPr>
        <w:t>Piaţa Constituţiei – spaţiu public cu parcaj subteran;</w:t>
      </w:r>
    </w:p>
    <w:p w:rsidR="007E0AA3" w:rsidRPr="00E64932" w:rsidRDefault="007E0AA3" w:rsidP="00980D72">
      <w:pPr>
        <w:pStyle w:val="ListParagraph"/>
        <w:numPr>
          <w:ilvl w:val="0"/>
          <w:numId w:val="35"/>
        </w:numPr>
        <w:tabs>
          <w:tab w:val="left" w:pos="270"/>
        </w:tabs>
        <w:ind w:left="0" w:firstLine="0"/>
        <w:jc w:val="both"/>
        <w:rPr>
          <w:bCs/>
          <w:lang w:val="fr-FR"/>
        </w:rPr>
      </w:pPr>
      <w:r w:rsidRPr="00E64932">
        <w:rPr>
          <w:bCs/>
          <w:lang w:val="fr-FR"/>
        </w:rPr>
        <w:t xml:space="preserve">Modernizare spaţiu urban public Sala Palatului cu parcaj subteran (nord) </w:t>
      </w:r>
    </w:p>
    <w:p w:rsidR="007E0AA3" w:rsidRPr="00E64932" w:rsidRDefault="007E0AA3" w:rsidP="00980D72">
      <w:pPr>
        <w:pStyle w:val="ListParagraph"/>
        <w:numPr>
          <w:ilvl w:val="0"/>
          <w:numId w:val="35"/>
        </w:numPr>
        <w:tabs>
          <w:tab w:val="left" w:pos="270"/>
        </w:tabs>
        <w:ind w:left="0" w:firstLine="0"/>
        <w:jc w:val="both"/>
        <w:rPr>
          <w:bCs/>
        </w:rPr>
      </w:pPr>
      <w:r w:rsidRPr="00E64932">
        <w:rPr>
          <w:bCs/>
        </w:rPr>
        <w:t>Str.Ion Câmpineanu nr.30, sector 1;</w:t>
      </w:r>
    </w:p>
    <w:p w:rsidR="007E0AA3" w:rsidRPr="00E64932" w:rsidRDefault="007E0AA3" w:rsidP="00980D72">
      <w:pPr>
        <w:pStyle w:val="ListParagraph"/>
        <w:numPr>
          <w:ilvl w:val="0"/>
          <w:numId w:val="35"/>
        </w:numPr>
        <w:tabs>
          <w:tab w:val="left" w:pos="270"/>
        </w:tabs>
        <w:ind w:left="0" w:firstLine="0"/>
        <w:jc w:val="both"/>
        <w:rPr>
          <w:bCs/>
          <w:lang w:val="fr-FR"/>
        </w:rPr>
      </w:pPr>
      <w:r w:rsidRPr="00E64932">
        <w:rPr>
          <w:bCs/>
          <w:lang w:val="fr-FR"/>
        </w:rPr>
        <w:t xml:space="preserve">Modernizare spaţiu urban public Sala Palatului cu parcaj subteran (sud) </w:t>
      </w:r>
    </w:p>
    <w:p w:rsidR="007E0AA3" w:rsidRPr="00E64932" w:rsidRDefault="007E0AA3" w:rsidP="00980D72">
      <w:pPr>
        <w:pStyle w:val="ListParagraph"/>
        <w:numPr>
          <w:ilvl w:val="0"/>
          <w:numId w:val="35"/>
        </w:numPr>
        <w:tabs>
          <w:tab w:val="left" w:pos="270"/>
        </w:tabs>
        <w:ind w:left="0" w:firstLine="0"/>
        <w:jc w:val="both"/>
        <w:rPr>
          <w:bCs/>
        </w:rPr>
      </w:pPr>
      <w:r w:rsidRPr="00E64932">
        <w:rPr>
          <w:bCs/>
        </w:rPr>
        <w:t>Str.Ion Câmpineanu nr.30, sector 1 (parţial);</w:t>
      </w:r>
    </w:p>
    <w:p w:rsidR="007E0AA3" w:rsidRPr="00E64932" w:rsidRDefault="007E0AA3" w:rsidP="00980D72">
      <w:pPr>
        <w:pStyle w:val="ListParagraph"/>
        <w:numPr>
          <w:ilvl w:val="0"/>
          <w:numId w:val="35"/>
        </w:numPr>
        <w:tabs>
          <w:tab w:val="left" w:pos="270"/>
        </w:tabs>
        <w:ind w:left="0" w:firstLine="0"/>
        <w:jc w:val="both"/>
        <w:rPr>
          <w:bCs/>
        </w:rPr>
      </w:pPr>
      <w:r w:rsidRPr="00E64932">
        <w:rPr>
          <w:bCs/>
        </w:rPr>
        <w:t>Parcaj subteran – Uranus – Piaţa Rahova;</w:t>
      </w:r>
    </w:p>
    <w:p w:rsidR="007E0AA3" w:rsidRPr="00E64932" w:rsidRDefault="007E0AA3" w:rsidP="00980D72">
      <w:pPr>
        <w:pStyle w:val="ListParagraph"/>
        <w:numPr>
          <w:ilvl w:val="0"/>
          <w:numId w:val="35"/>
        </w:numPr>
        <w:tabs>
          <w:tab w:val="left" w:pos="270"/>
        </w:tabs>
        <w:ind w:left="0" w:firstLine="0"/>
        <w:jc w:val="both"/>
        <w:rPr>
          <w:bCs/>
          <w:lang w:val="es-ES"/>
        </w:rPr>
      </w:pPr>
      <w:r w:rsidRPr="00E64932">
        <w:rPr>
          <w:bCs/>
          <w:lang w:val="es-ES"/>
        </w:rPr>
        <w:t>Proiect „Cheiul Dâmboviţei Unirii-Izvor”, Splaiul Independenţei, Pod –Unirii – Pod Izvor;</w:t>
      </w:r>
    </w:p>
    <w:p w:rsidR="007E0AA3" w:rsidRPr="00E64932" w:rsidRDefault="007E0AA3" w:rsidP="00980D72">
      <w:pPr>
        <w:pStyle w:val="ListParagraph"/>
        <w:numPr>
          <w:ilvl w:val="0"/>
          <w:numId w:val="35"/>
        </w:numPr>
        <w:tabs>
          <w:tab w:val="left" w:pos="270"/>
        </w:tabs>
        <w:ind w:left="0" w:firstLine="0"/>
        <w:jc w:val="both"/>
        <w:rPr>
          <w:bCs/>
        </w:rPr>
      </w:pPr>
      <w:r w:rsidRPr="00E64932">
        <w:rPr>
          <w:bCs/>
        </w:rPr>
        <w:t>Modernizare spaţiu public, zona Mănăstirea Antim, inclusiv parcaj;</w:t>
      </w:r>
    </w:p>
    <w:p w:rsidR="007E0AA3" w:rsidRPr="00E64932" w:rsidRDefault="007E0AA3" w:rsidP="00980D72">
      <w:pPr>
        <w:pStyle w:val="ListParagraph"/>
        <w:numPr>
          <w:ilvl w:val="0"/>
          <w:numId w:val="35"/>
        </w:numPr>
        <w:tabs>
          <w:tab w:val="left" w:pos="270"/>
        </w:tabs>
        <w:ind w:left="0" w:firstLine="0"/>
        <w:jc w:val="both"/>
        <w:rPr>
          <w:bCs/>
          <w:lang w:val="fr-FR"/>
        </w:rPr>
      </w:pPr>
      <w:r w:rsidRPr="00E64932">
        <w:rPr>
          <w:bCs/>
          <w:lang w:val="fr-FR"/>
        </w:rPr>
        <w:t>Nod intermodal de transport Piaţa Romană ;</w:t>
      </w:r>
    </w:p>
    <w:p w:rsidR="007E0AA3" w:rsidRPr="00E64932" w:rsidRDefault="007E0AA3" w:rsidP="00980D72">
      <w:pPr>
        <w:pStyle w:val="ListParagraph"/>
        <w:numPr>
          <w:ilvl w:val="0"/>
          <w:numId w:val="35"/>
        </w:numPr>
        <w:tabs>
          <w:tab w:val="left" w:pos="270"/>
        </w:tabs>
        <w:ind w:left="0" w:firstLine="0"/>
        <w:jc w:val="both"/>
        <w:rPr>
          <w:bCs/>
        </w:rPr>
      </w:pPr>
      <w:r w:rsidRPr="00E64932">
        <w:rPr>
          <w:bCs/>
        </w:rPr>
        <w:t>Reabilitare B.dul Unirii de la Piaţa Constituţiei la Piaţa Unirii cu traversare la Str. George Georgescu;</w:t>
      </w:r>
    </w:p>
    <w:p w:rsidR="007E0AA3" w:rsidRPr="00E64932" w:rsidRDefault="007E0AA3" w:rsidP="00980D72">
      <w:pPr>
        <w:pStyle w:val="ListParagraph"/>
        <w:numPr>
          <w:ilvl w:val="0"/>
          <w:numId w:val="35"/>
        </w:numPr>
        <w:tabs>
          <w:tab w:val="left" w:pos="270"/>
        </w:tabs>
        <w:ind w:left="0" w:firstLine="0"/>
        <w:jc w:val="both"/>
        <w:rPr>
          <w:bCs/>
        </w:rPr>
      </w:pPr>
      <w:r w:rsidRPr="00E64932">
        <w:rPr>
          <w:bCs/>
        </w:rPr>
        <w:t>Modernizare spațiu public urban Piaţa de flori George Coşbuc;</w:t>
      </w:r>
    </w:p>
    <w:p w:rsidR="007E0AA3" w:rsidRPr="00E64932" w:rsidRDefault="007E0AA3" w:rsidP="00980D72">
      <w:pPr>
        <w:pStyle w:val="ListParagraph"/>
        <w:numPr>
          <w:ilvl w:val="0"/>
          <w:numId w:val="35"/>
        </w:numPr>
        <w:tabs>
          <w:tab w:val="left" w:pos="270"/>
        </w:tabs>
        <w:ind w:left="0" w:firstLine="0"/>
        <w:jc w:val="both"/>
        <w:rPr>
          <w:bCs/>
        </w:rPr>
      </w:pPr>
      <w:r w:rsidRPr="00E64932">
        <w:rPr>
          <w:bCs/>
        </w:rPr>
        <w:t>Reconfigurare Calea Griviţei între Gara de Nord şi Calea Victoriei;</w:t>
      </w:r>
    </w:p>
    <w:p w:rsidR="007E0AA3" w:rsidRPr="00E64932" w:rsidRDefault="007E0AA3" w:rsidP="00980D72">
      <w:pPr>
        <w:pStyle w:val="ListParagraph"/>
        <w:numPr>
          <w:ilvl w:val="0"/>
          <w:numId w:val="35"/>
        </w:numPr>
        <w:tabs>
          <w:tab w:val="left" w:pos="270"/>
        </w:tabs>
        <w:ind w:left="0" w:firstLine="0"/>
        <w:jc w:val="both"/>
        <w:rPr>
          <w:bCs/>
        </w:rPr>
      </w:pPr>
      <w:r w:rsidRPr="00E64932">
        <w:rPr>
          <w:bCs/>
          <w:lang w:val="es-ES"/>
        </w:rPr>
        <w:t xml:space="preserve">Reconfigurare Calea Moşilor între Strada Bărăţiei şi B.dul </w:t>
      </w:r>
      <w:r w:rsidRPr="00E64932">
        <w:rPr>
          <w:bCs/>
        </w:rPr>
        <w:t>Carol I;</w:t>
      </w:r>
    </w:p>
    <w:p w:rsidR="007E0AA3" w:rsidRPr="00E64932" w:rsidRDefault="007E0AA3" w:rsidP="00980D72">
      <w:pPr>
        <w:pStyle w:val="ListParagraph"/>
        <w:numPr>
          <w:ilvl w:val="0"/>
          <w:numId w:val="35"/>
        </w:numPr>
        <w:tabs>
          <w:tab w:val="left" w:pos="270"/>
        </w:tabs>
        <w:ind w:left="0" w:firstLine="0"/>
        <w:jc w:val="both"/>
        <w:rPr>
          <w:bCs/>
          <w:lang w:val="fr-FR"/>
        </w:rPr>
      </w:pPr>
      <w:r w:rsidRPr="00E64932">
        <w:rPr>
          <w:bCs/>
          <w:lang w:val="fr-FR"/>
        </w:rPr>
        <w:t>Traseu prioritar pietonal şi de biciclişti (conţine 42 subproiecte).</w:t>
      </w:r>
    </w:p>
    <w:p w:rsidR="007E0AA3" w:rsidRPr="00E64932" w:rsidRDefault="007E0AA3" w:rsidP="007E0AA3">
      <w:pPr>
        <w:pStyle w:val="ListParagraph"/>
        <w:ind w:left="0" w:firstLine="720"/>
        <w:jc w:val="both"/>
      </w:pPr>
      <w:r w:rsidRPr="00E64932">
        <w:rPr>
          <w:lang w:val="es-ES"/>
        </w:rPr>
        <w:t xml:space="preserve">În cadrul proiectului au fost solicitate și obținute o parte a avizelor necesare și s-a decontat contravaloarea obținerii acestora. </w:t>
      </w:r>
      <w:r w:rsidRPr="00E64932">
        <w:t>După obţinerea tuturor  avizelor vor fi solicitate autorizaţiile de construire şi autorizaţiile de demolare pentru a fi atribuite lucrările de execuţie pentru proiectele  individuale PIDU.</w:t>
      </w:r>
    </w:p>
    <w:p w:rsidR="007E0AA3" w:rsidRPr="00E64932" w:rsidRDefault="007E0AA3" w:rsidP="007E0AA3">
      <w:pPr>
        <w:pStyle w:val="ListParagraph"/>
        <w:ind w:left="0" w:firstLine="720"/>
        <w:jc w:val="both"/>
        <w:rPr>
          <w:lang w:val="es-ES"/>
        </w:rPr>
      </w:pPr>
      <w:r w:rsidRPr="00E64932">
        <w:rPr>
          <w:lang w:val="es-ES"/>
        </w:rPr>
        <w:t>Urmează declararea ca lucrări de utilitate publică a intervențiilor aferente proiectelor individuale cu operațiuni urbanistice propuse prin Planul Integrat de Dezvoltare Urbană „Zona Centrală” a Municipiului București. Se are în vedere, ca pentru două dintre proiecte care afectează terenuri particulare, să se demareze procedură de expropriere.</w:t>
      </w:r>
    </w:p>
    <w:p w:rsidR="007E0AA3" w:rsidRPr="00E64932" w:rsidRDefault="007E0AA3" w:rsidP="007E0AA3">
      <w:pPr>
        <w:pStyle w:val="ListParagraph"/>
        <w:ind w:left="0"/>
        <w:jc w:val="both"/>
      </w:pPr>
    </w:p>
    <w:p w:rsidR="007E0AA3" w:rsidRPr="00E64932" w:rsidRDefault="007E0AA3" w:rsidP="007E0AA3">
      <w:pPr>
        <w:pStyle w:val="ListParagraph"/>
        <w:ind w:left="0"/>
        <w:jc w:val="both"/>
        <w:rPr>
          <w:b/>
        </w:rPr>
      </w:pPr>
      <w:r w:rsidRPr="00E64932">
        <w:rPr>
          <w:b/>
          <w:color w:val="000000"/>
        </w:rPr>
        <w:t xml:space="preserve">► </w:t>
      </w:r>
      <w:r w:rsidRPr="00E64932">
        <w:rPr>
          <w:b/>
        </w:rPr>
        <w:t>“Strategie pentru dezvoltarea unui oraş intelligent ”SMART CITY BUCUREŞTI”</w:t>
      </w:r>
    </w:p>
    <w:p w:rsidR="007E0AA3" w:rsidRPr="00E64932" w:rsidRDefault="007E0AA3" w:rsidP="007E0AA3">
      <w:pPr>
        <w:pStyle w:val="ListParagraph"/>
        <w:ind w:left="0" w:firstLine="720"/>
        <w:jc w:val="both"/>
        <w:rPr>
          <w:color w:val="222222"/>
          <w:shd w:val="clear" w:color="auto" w:fill="FFFFFF"/>
        </w:rPr>
      </w:pPr>
      <w:r w:rsidRPr="00E64932">
        <w:rPr>
          <w:color w:val="222222"/>
          <w:shd w:val="clear" w:color="auto" w:fill="FFFFFF"/>
        </w:rPr>
        <w:t>Municipiul Bucureşti doreşte ca prin intermediul Strategiei pentru dezvoltarea unui oraş inteligent “Smart City Bucureşti”, să răspundă cerinţelor specifice ale Municipiului Bucureşti şi să reprezinte o agendă integrată şi bazată pe situaţia din teren, a transformărilor economice.</w:t>
      </w:r>
    </w:p>
    <w:p w:rsidR="007E0AA3" w:rsidRPr="00E64932" w:rsidRDefault="007E0AA3" w:rsidP="007E0AA3">
      <w:pPr>
        <w:pStyle w:val="ListParagraph"/>
        <w:ind w:left="0" w:firstLine="720"/>
        <w:jc w:val="both"/>
        <w:rPr>
          <w:color w:val="222222"/>
          <w:shd w:val="clear" w:color="auto" w:fill="FFFFFF"/>
        </w:rPr>
      </w:pPr>
      <w:r w:rsidRPr="00E64932">
        <w:rPr>
          <w:color w:val="222222"/>
          <w:shd w:val="clear" w:color="auto" w:fill="FFFFFF"/>
        </w:rPr>
        <w:t xml:space="preserve">Strategia trebuie să răspundă problemelor reale ale Municipiului Bucureşti şi să ghideze municipalitatea în proiectele pe care le va adopta ulterior. </w:t>
      </w:r>
    </w:p>
    <w:p w:rsidR="007E0AA3" w:rsidRPr="00E64932" w:rsidRDefault="007E0AA3" w:rsidP="007E0AA3">
      <w:pPr>
        <w:pStyle w:val="ListParagraph"/>
        <w:ind w:left="0" w:firstLine="720"/>
        <w:jc w:val="both"/>
        <w:rPr>
          <w:color w:val="222222"/>
          <w:shd w:val="clear" w:color="auto" w:fill="FFFFFF"/>
        </w:rPr>
      </w:pPr>
      <w:r w:rsidRPr="00E64932">
        <w:rPr>
          <w:color w:val="222222"/>
          <w:shd w:val="clear" w:color="auto" w:fill="FFFFFF"/>
        </w:rPr>
        <w:t>Serviciile ce fac obiectul acestei strategii, reprezintă o necesitate pentru Municipiul Bucureşti, ele constând în: analiza situaţiei actuale a Municipiului Bucureşti şi a zonei limitrofe acestuia; expunerea deficienţelor şi a problemelor cu care se confruntă conceptul Smart City Bucureşti; furnizarea unui pachet de proiecte etapizate, prioritare şi eficiente care să răspundă necesităţilor specifice.</w:t>
      </w:r>
    </w:p>
    <w:p w:rsidR="007E0AA3" w:rsidRPr="00E64932" w:rsidRDefault="007E0AA3" w:rsidP="007E0AA3">
      <w:pPr>
        <w:pStyle w:val="ListParagraph"/>
        <w:ind w:left="0" w:firstLine="720"/>
        <w:jc w:val="both"/>
      </w:pPr>
      <w:r w:rsidRPr="00E64932">
        <w:rPr>
          <w:color w:val="222222"/>
          <w:shd w:val="clear" w:color="auto" w:fill="FFFFFF"/>
        </w:rPr>
        <w:t>Perioada pentru care se doreşte realizarea Strategiei pentru dezvoltarea unui oraş inteligent “Smart City Bucureşti” este 2018 – 2025.</w:t>
      </w:r>
    </w:p>
    <w:p w:rsidR="007E0AA3" w:rsidRPr="00E64932" w:rsidRDefault="007E0AA3" w:rsidP="007E0AA3">
      <w:pPr>
        <w:pStyle w:val="ListParagraph"/>
        <w:ind w:left="0" w:firstLine="720"/>
        <w:jc w:val="both"/>
        <w:rPr>
          <w:color w:val="222222"/>
          <w:shd w:val="clear" w:color="auto" w:fill="FFFFFF"/>
        </w:rPr>
      </w:pPr>
      <w:r w:rsidRPr="00E64932">
        <w:rPr>
          <w:color w:val="222222"/>
          <w:shd w:val="clear" w:color="auto" w:fill="FFFFFF"/>
        </w:rPr>
        <w:t>În sensul celor de mai sus, a</w:t>
      </w:r>
      <w:r w:rsidRPr="00E64932">
        <w:t xml:space="preserve"> fost demarată, în baza Legii 98/2016, procedura simplificată în vederea atribuirii contractului de achiziţie publică “Strategie pentru dezvoltarea unui oraş intelligent ”SMART CITY BUCUREŞTI”.  În primă fază, p</w:t>
      </w:r>
      <w:r w:rsidRPr="00E64932">
        <w:rPr>
          <w:color w:val="222222"/>
          <w:shd w:val="clear" w:color="auto" w:fill="FFFFFF"/>
        </w:rPr>
        <w:t>rocedura de achiziţie a fost contestată la CNSC.</w:t>
      </w:r>
    </w:p>
    <w:p w:rsidR="007E0AA3" w:rsidRPr="00E64932" w:rsidRDefault="007E0AA3" w:rsidP="007E0AA3">
      <w:pPr>
        <w:pStyle w:val="ListParagraph"/>
        <w:ind w:left="0" w:firstLine="720"/>
        <w:jc w:val="both"/>
        <w:rPr>
          <w:color w:val="222222"/>
          <w:shd w:val="clear" w:color="auto" w:fill="FFFFFF"/>
        </w:rPr>
      </w:pPr>
      <w:r w:rsidRPr="00E64932">
        <w:rPr>
          <w:color w:val="222222"/>
          <w:shd w:val="clear" w:color="auto" w:fill="FFFFFF"/>
        </w:rPr>
        <w:t>Contractul nr.962/06.08.2018 privind elaborarea Strategiei pentru dezvoltarea unui oraș inteligent Smart City București a fost semnat cu Compania Deloitte Consultanță S.R.L. Valoarea contractului a fost de 552493,2 lei, fără TVA, cu termen de finalizare, 17 săptămani de la data emiterii ordinului de începere a proiectului. Ordinul de începere a fost emis începand cu data de 13.08.2018.</w:t>
      </w:r>
    </w:p>
    <w:p w:rsidR="007E0AA3" w:rsidRPr="00E64932" w:rsidRDefault="007E0AA3" w:rsidP="007E0AA3">
      <w:pPr>
        <w:pStyle w:val="ListParagraph"/>
        <w:ind w:left="0" w:firstLine="720"/>
        <w:jc w:val="both"/>
        <w:rPr>
          <w:color w:val="222222"/>
          <w:shd w:val="clear" w:color="auto" w:fill="FFFFFF"/>
        </w:rPr>
      </w:pPr>
      <w:r w:rsidRPr="00E64932">
        <w:rPr>
          <w:color w:val="222222"/>
          <w:shd w:val="clear" w:color="auto" w:fill="FFFFFF"/>
        </w:rPr>
        <w:t>Contractul a fost finalizat și predat. Raportul final al proiectului Strategia Smart City a Municipiului București.</w:t>
      </w:r>
    </w:p>
    <w:p w:rsidR="007E0AA3" w:rsidRPr="00E64932" w:rsidRDefault="007E0AA3" w:rsidP="007E0AA3">
      <w:pPr>
        <w:pStyle w:val="ListParagraph"/>
        <w:ind w:left="0"/>
        <w:jc w:val="both"/>
      </w:pPr>
    </w:p>
    <w:p w:rsidR="007E0AA3" w:rsidRPr="00E64932" w:rsidRDefault="007E0AA3" w:rsidP="007E0AA3">
      <w:pPr>
        <w:pStyle w:val="ListParagraph"/>
        <w:ind w:left="0"/>
        <w:jc w:val="both"/>
        <w:rPr>
          <w:color w:val="000000"/>
        </w:rPr>
      </w:pPr>
      <w:r w:rsidRPr="00E64932">
        <w:rPr>
          <w:lang w:val="it-IT"/>
        </w:rPr>
        <w:tab/>
      </w:r>
      <w:r w:rsidRPr="00E64932">
        <w:rPr>
          <w:color w:val="000000"/>
          <w:lang w:val="it-IT"/>
        </w:rPr>
        <w:t xml:space="preserve">În vederea fluidizării traficului şi decongestionării acestuia, îmbunătăţirea </w:t>
      </w:r>
      <w:r w:rsidRPr="00E64932">
        <w:rPr>
          <w:color w:val="000000"/>
        </w:rPr>
        <w:t xml:space="preserve">confortului şi siguranţa celor care tranzitează sau locuiesc în zonele aglomerate ale oraşului, </w:t>
      </w:r>
      <w:r w:rsidRPr="00E64932">
        <w:rPr>
          <w:color w:val="000000"/>
          <w:lang w:val="it-IT"/>
        </w:rPr>
        <w:t xml:space="preserve">municipalitatea a prevăzut realizarea unor parcaje subterane şi supraterane. </w:t>
      </w:r>
    </w:p>
    <w:p w:rsidR="007E0AA3" w:rsidRPr="00E64932" w:rsidRDefault="007E0AA3" w:rsidP="007E0AA3">
      <w:pPr>
        <w:pStyle w:val="ListParagraph"/>
        <w:ind w:left="0"/>
        <w:jc w:val="both"/>
        <w:rPr>
          <w:b/>
          <w:color w:val="000000"/>
        </w:rPr>
      </w:pPr>
    </w:p>
    <w:p w:rsidR="007E0AA3" w:rsidRPr="00E64932" w:rsidRDefault="007E0AA3" w:rsidP="007E0AA3">
      <w:pPr>
        <w:pStyle w:val="ListParagraph"/>
        <w:ind w:left="0"/>
        <w:jc w:val="both"/>
        <w:rPr>
          <w:b/>
          <w:color w:val="000000"/>
          <w:lang w:val="fr-FR"/>
        </w:rPr>
      </w:pPr>
      <w:r w:rsidRPr="00E64932">
        <w:rPr>
          <w:b/>
          <w:color w:val="000000"/>
        </w:rPr>
        <w:t>►</w:t>
      </w:r>
      <w:r w:rsidRPr="00E64932">
        <w:rPr>
          <w:b/>
          <w:color w:val="000000"/>
          <w:lang w:val="fr-FR"/>
        </w:rPr>
        <w:t xml:space="preserve"> Parcaje subterane şi supraterane  </w:t>
      </w:r>
    </w:p>
    <w:p w:rsidR="007E0AA3" w:rsidRPr="00E64932" w:rsidRDefault="007E0AA3" w:rsidP="007E0AA3">
      <w:pPr>
        <w:pStyle w:val="ListParagraph"/>
        <w:ind w:left="0"/>
        <w:jc w:val="both"/>
      </w:pPr>
      <w:r w:rsidRPr="00E64932">
        <w:rPr>
          <w:lang w:val="it-IT"/>
        </w:rPr>
        <w:tab/>
      </w:r>
      <w:r w:rsidRPr="00E64932">
        <w:t>Obiectivele de investiție parcaje subterane/supraterane vor fi realizate în regim de  concesiune de lucrări. În acest sens vor fi organizate proceduri de licitație în vederea selectării unor investitori privați capabili pentru proiectarea, finanțarea, construirea și operarea parcărilor.</w:t>
      </w:r>
    </w:p>
    <w:p w:rsidR="007E0AA3" w:rsidRPr="00E64932" w:rsidRDefault="007E0AA3" w:rsidP="007E0AA3">
      <w:pPr>
        <w:pStyle w:val="ListParagraph"/>
        <w:ind w:left="0" w:firstLine="720"/>
        <w:jc w:val="both"/>
      </w:pPr>
      <w:r w:rsidRPr="00E64932">
        <w:t>Realizarea parcajelor subterane/supraterane va contribui la asigurarea unui număr considerabil de locuri de parcare în zone supraaglomerate, va debloca o serie de artere ale orașului, va conduce la diminuarea noxelor şi nu în ultim rând va contribui la încasarea de venituri la bugetul Primăriei Municipiului Bucureşti (redevența).</w:t>
      </w:r>
    </w:p>
    <w:p w:rsidR="007E0AA3" w:rsidRPr="00E64932" w:rsidRDefault="007E0AA3" w:rsidP="007E0AA3">
      <w:pPr>
        <w:pStyle w:val="ListParagraph"/>
        <w:ind w:left="0"/>
        <w:jc w:val="both"/>
        <w:rPr>
          <w:b/>
        </w:rPr>
      </w:pPr>
      <w:r w:rsidRPr="00E64932">
        <w:rPr>
          <w:b/>
        </w:rPr>
        <w:t xml:space="preserve">     ● Parcaj subteran Piața Dorobanți</w:t>
      </w:r>
    </w:p>
    <w:p w:rsidR="007E0AA3" w:rsidRPr="00E64932" w:rsidRDefault="007E0AA3" w:rsidP="007E0AA3">
      <w:pPr>
        <w:pStyle w:val="ListParagraph"/>
        <w:ind w:left="0" w:firstLine="720"/>
        <w:jc w:val="both"/>
      </w:pPr>
      <w:r w:rsidRPr="00E64932">
        <w:t>Proiectul va fi amplasat în Piața Dorobanți, sector 1, sub carosabilul Căii Dorobanți. Parcajul  va fi construit pe 2 niveluri subterane şi va asigura un număr de 283 locuri parcare. În vederea demarării procedurii de atribuire pentru acest proiect au fost realizate studiile aferente (fezabilitate şi fundamentare).</w:t>
      </w:r>
    </w:p>
    <w:p w:rsidR="007E0AA3" w:rsidRPr="00E64932" w:rsidRDefault="007E0AA3" w:rsidP="007E0AA3">
      <w:pPr>
        <w:pStyle w:val="ListParagraph"/>
        <w:ind w:left="0" w:firstLine="720"/>
        <w:jc w:val="both"/>
      </w:pPr>
      <w:r w:rsidRPr="00E64932">
        <w:t>Începând cu luna septembrie 2018, documentația aferentă demarări procedurii de atribuire a contractului de concesiune lucrări „Parcaj subteran Piața Dorobanți” a fost transmisă în SICAP, spre validare ANAP. Având în vedere recomandările ANAP cu privire la documentația de atribuire, au fost realizate toate demersurile de modificare şi retransmitere a documentației de atribuire în SICAP.</w:t>
      </w:r>
    </w:p>
    <w:p w:rsidR="007E0AA3" w:rsidRPr="00E64932" w:rsidRDefault="007E0AA3" w:rsidP="007E0AA3">
      <w:pPr>
        <w:pStyle w:val="ListParagraph"/>
        <w:ind w:left="0"/>
        <w:jc w:val="both"/>
      </w:pPr>
      <w:r w:rsidRPr="00E64932">
        <w:t xml:space="preserve">În data de 28.01.2019, a fost retransmisă întreaga documentație, în vederea validării acesteia de către ANAP. </w:t>
      </w:r>
    </w:p>
    <w:p w:rsidR="007E0AA3" w:rsidRPr="00E64932" w:rsidRDefault="007E0AA3" w:rsidP="007E0AA3">
      <w:pPr>
        <w:pStyle w:val="ListParagraph"/>
        <w:ind w:left="0"/>
        <w:jc w:val="both"/>
        <w:rPr>
          <w:b/>
        </w:rPr>
      </w:pPr>
      <w:r w:rsidRPr="00E64932">
        <w:rPr>
          <w:b/>
        </w:rPr>
        <w:t xml:space="preserve">     ● Parcaj subteran Edgar Quinet</w:t>
      </w:r>
    </w:p>
    <w:p w:rsidR="007E0AA3" w:rsidRPr="00E64932" w:rsidRDefault="007E0AA3" w:rsidP="007E0AA3">
      <w:pPr>
        <w:pStyle w:val="ListParagraph"/>
        <w:ind w:left="0" w:firstLine="720"/>
        <w:jc w:val="both"/>
      </w:pPr>
      <w:r w:rsidRPr="00E64932">
        <w:t>Proiectul va fi amplasat, în sectorul 1, sub carosabilul străzii Edgar Quinet şi al străzii  Biserica Enei. Parcajul va fi construit pe 3 niveluri subterane şi va asigura un număr de 380 de locuri.</w:t>
      </w:r>
    </w:p>
    <w:p w:rsidR="007E0AA3" w:rsidRPr="00E64932" w:rsidRDefault="007E0AA3" w:rsidP="007E0AA3">
      <w:pPr>
        <w:pStyle w:val="ListParagraph"/>
        <w:ind w:left="0" w:firstLine="720"/>
        <w:jc w:val="both"/>
      </w:pPr>
      <w:r w:rsidRPr="00E64932">
        <w:t>A fost obținut Certificatul de urbanism cu nr.6614439/29.01.2018, prin care se solicită PUZ pentru acest proiect.</w:t>
      </w:r>
    </w:p>
    <w:p w:rsidR="007E0AA3" w:rsidRPr="00E64932" w:rsidRDefault="007E0AA3" w:rsidP="007E0AA3">
      <w:pPr>
        <w:pStyle w:val="ListParagraph"/>
        <w:ind w:left="0" w:firstLine="720"/>
        <w:jc w:val="both"/>
      </w:pPr>
      <w:r w:rsidRPr="00E64932">
        <w:t>Au fost efectuate demersurile în vederea obținerii PUZ. În acest sens a fost organizată procedura de achiziție, în conformitate cu prevederile normei interne  prin care se solicită realizarea PUZ-ului de către Compania Municipală Dezvoltare Durabilă.</w:t>
      </w:r>
    </w:p>
    <w:p w:rsidR="007E0AA3" w:rsidRPr="00E64932" w:rsidRDefault="007E0AA3" w:rsidP="007E0AA3">
      <w:pPr>
        <w:pStyle w:val="ListParagraph"/>
        <w:ind w:left="0" w:firstLine="720"/>
        <w:jc w:val="both"/>
      </w:pPr>
      <w:r w:rsidRPr="00E64932">
        <w:t>În data de 30.05.2018 a fost semnat contractul cu privire la realizarea acestui PUZ.  Precizăm faptul că nu a putut fi realizat PUZ-ul de către Compania Municipală Dezvoltare Durabilă întrucât în data de 29.08.2018, Direcția Urbanism aduce la cunoștința Companiei Municipale Dezvoltare Durabilă şi Direcției Generale Investiții, faptul că investiția nu este oportună pentru locația aleasă.</w:t>
      </w:r>
    </w:p>
    <w:p w:rsidR="007E0AA3" w:rsidRPr="00E64932" w:rsidRDefault="007E0AA3" w:rsidP="007E0AA3">
      <w:pPr>
        <w:pStyle w:val="ListParagraph"/>
        <w:ind w:left="0" w:firstLine="720"/>
        <w:jc w:val="both"/>
      </w:pPr>
      <w:r w:rsidRPr="00E64932">
        <w:t>În prezent procedura de atribuire a contractului de concesiune de lucrări nu poate fi demarată luând în considerare imposibilitatea obţinerii PUZ-ului pentru acest proiect, PUZ solicitat  prin certificatul de urbanism emis de către Direcția Urbanism din cadrul PMB, în data de 29.01.2018 (cerere depusă la Direcția Urbanism în 29.11.2017 in urma emiterii punctului de vedere transmis de Direcția Urbanism prin adresa nr.1635337/7359/29.08.2018 către Compania Municipală Dezvoltare Durabilă) prin care se precizeaza faptul că  „investiția nu este oportună pentru locația aleasă”.</w:t>
      </w:r>
      <w:r w:rsidRPr="00E64932">
        <w:rPr>
          <w:b/>
        </w:rPr>
        <w:t xml:space="preserve"> </w:t>
      </w:r>
      <w:r w:rsidRPr="00E64932">
        <w:t xml:space="preserve"> În prezent proiectul este blocat.</w:t>
      </w:r>
    </w:p>
    <w:p w:rsidR="007E0AA3" w:rsidRPr="00E64932" w:rsidRDefault="007E0AA3" w:rsidP="007E0AA3">
      <w:pPr>
        <w:pStyle w:val="ListParagraph"/>
        <w:ind w:left="0"/>
        <w:jc w:val="both"/>
        <w:rPr>
          <w:b/>
        </w:rPr>
      </w:pPr>
      <w:r w:rsidRPr="00E64932">
        <w:rPr>
          <w:b/>
        </w:rPr>
        <w:t xml:space="preserve">     ● Parcaj subteran Gara de Nord</w:t>
      </w:r>
    </w:p>
    <w:p w:rsidR="007E0AA3" w:rsidRPr="00E64932" w:rsidRDefault="007E0AA3" w:rsidP="007E0AA3">
      <w:pPr>
        <w:pStyle w:val="ListParagraph"/>
        <w:ind w:left="0" w:firstLine="720"/>
        <w:jc w:val="both"/>
      </w:pPr>
      <w:r w:rsidRPr="00E64932">
        <w:t>Proiectul va fi amplasat, în sector 1, sub parcul situat în faţa Gării de Nord. Parcajul va fi construit pe 2 niveluri subterane şi va asigura un număr de 600 de locuri.</w:t>
      </w:r>
    </w:p>
    <w:p w:rsidR="007E0AA3" w:rsidRPr="00E64932" w:rsidRDefault="007E0AA3" w:rsidP="007E0AA3">
      <w:pPr>
        <w:pStyle w:val="ListParagraph"/>
        <w:ind w:left="0" w:firstLine="720"/>
        <w:jc w:val="both"/>
      </w:pPr>
      <w:r w:rsidRPr="00E64932">
        <w:t xml:space="preserve">A fost obținut Certificatul de urbanism, emis de sector 1, prin care se solicită PUZ. </w:t>
      </w:r>
    </w:p>
    <w:p w:rsidR="007E0AA3" w:rsidRPr="00E64932" w:rsidRDefault="007E0AA3" w:rsidP="007E0AA3">
      <w:pPr>
        <w:pStyle w:val="ListParagraph"/>
        <w:ind w:left="0"/>
        <w:jc w:val="both"/>
        <w:rPr>
          <w:b/>
        </w:rPr>
      </w:pPr>
      <w:r w:rsidRPr="00E64932">
        <w:rPr>
          <w:b/>
        </w:rPr>
        <w:t xml:space="preserve">     ● Parcări cuprinse în Planul Integrat de Dezvoltare Urbană –</w:t>
      </w:r>
      <w:r w:rsidRPr="00E64932">
        <w:t xml:space="preserve"> </w:t>
      </w:r>
      <w:r w:rsidRPr="00E64932">
        <w:rPr>
          <w:b/>
        </w:rPr>
        <w:t>Zona Centrală</w:t>
      </w:r>
    </w:p>
    <w:p w:rsidR="007E0AA3" w:rsidRPr="00E64932" w:rsidRDefault="007E0AA3" w:rsidP="007E0AA3">
      <w:pPr>
        <w:pStyle w:val="ListParagraph"/>
        <w:ind w:left="0" w:firstLine="720"/>
        <w:jc w:val="both"/>
      </w:pPr>
      <w:r w:rsidRPr="00E64932">
        <w:t>Realizarea Planului Integrat de Dezvoltare Urbană</w:t>
      </w:r>
      <w:r w:rsidRPr="00E64932">
        <w:rPr>
          <w:b/>
        </w:rPr>
        <w:t xml:space="preserve"> </w:t>
      </w:r>
      <w:r w:rsidRPr="00E64932">
        <w:t>constă în punerea în valoare a centrului Bucureștiului ca marcă identitară a orașului, reintegrarea zonelor destructurate ale centrului Bucureștiului, crearea unui sistem de circulații eficient, revigorarea rețelei de spatii publice, dezvoltarea durabilă a activității economice și asigurarea unui climat social divers și sigur.</w:t>
      </w:r>
    </w:p>
    <w:p w:rsidR="007E0AA3" w:rsidRPr="00E64932" w:rsidRDefault="007E0AA3" w:rsidP="007E0AA3">
      <w:pPr>
        <w:pStyle w:val="ListParagraph"/>
        <w:ind w:left="0" w:firstLine="720"/>
        <w:jc w:val="both"/>
      </w:pPr>
      <w:r w:rsidRPr="00E64932">
        <w:lastRenderedPageBreak/>
        <w:t>Realizarea acestor obiective va avea ca efect, atât creșterea calității vieții locuitorilor zonei centrale și ai întregului oraș, cât și sporirea atractivității pentru investitori și turiști, susținând un centru vibrant, dinamic, atractiv pentru București, capitală europeană.</w:t>
      </w:r>
    </w:p>
    <w:p w:rsidR="007E0AA3" w:rsidRPr="00E64932" w:rsidRDefault="007E0AA3" w:rsidP="002C01BC">
      <w:pPr>
        <w:pStyle w:val="ListParagraph"/>
        <w:ind w:left="0" w:firstLine="720"/>
        <w:jc w:val="both"/>
      </w:pPr>
      <w:r w:rsidRPr="002C01BC">
        <w:rPr>
          <w:b/>
        </w:rPr>
        <w:t>Parcaj subteran Piața Lahovari</w:t>
      </w:r>
      <w:r w:rsidR="002C01BC" w:rsidRPr="002C01BC">
        <w:rPr>
          <w:b/>
        </w:rPr>
        <w:t>, p</w:t>
      </w:r>
      <w:r w:rsidRPr="002C01BC">
        <w:rPr>
          <w:b/>
        </w:rPr>
        <w:t>arcaj subteran Piaţa Cantacuzino</w:t>
      </w:r>
      <w:r w:rsidR="002C01BC" w:rsidRPr="002C01BC">
        <w:rPr>
          <w:b/>
        </w:rPr>
        <w:t>, p</w:t>
      </w:r>
      <w:r w:rsidRPr="002C01BC">
        <w:rPr>
          <w:b/>
        </w:rPr>
        <w:t>arcaj subteran Piaţa Constituţiei</w:t>
      </w:r>
      <w:r w:rsidR="002C01BC" w:rsidRPr="002C01BC">
        <w:rPr>
          <w:b/>
        </w:rPr>
        <w:t>.</w:t>
      </w:r>
      <w:r w:rsidR="002C01BC">
        <w:t xml:space="preserve"> </w:t>
      </w:r>
      <w:r w:rsidRPr="00E64932">
        <w:t xml:space="preserve">Proiectele au fost propuse a fi realizate în regim de concesiune lucrări. În vederea demarării proiectelor este necesar să fie predate proiectele tehnice, de către SC SYNERGETICS SRL (elaboratorul acestora). </w:t>
      </w:r>
    </w:p>
    <w:p w:rsidR="007E0AA3" w:rsidRPr="00E64932" w:rsidRDefault="002C01BC" w:rsidP="007E0AA3">
      <w:pPr>
        <w:pStyle w:val="ListParagraph"/>
        <w:ind w:left="0" w:firstLine="360"/>
        <w:jc w:val="both"/>
      </w:pPr>
      <w:r>
        <w:tab/>
      </w:r>
      <w:r w:rsidR="007E0AA3" w:rsidRPr="00E64932">
        <w:t xml:space="preserve">Până la data prezentei nu a fost posibilă predarea proiectelor tehnice, de către SC SYNERGETICS SRL, întrucât consultantul nu a obţinut avizele aferente. </w:t>
      </w:r>
    </w:p>
    <w:p w:rsidR="007E0AA3" w:rsidRPr="00E64932" w:rsidRDefault="002C01BC" w:rsidP="007E0AA3">
      <w:pPr>
        <w:pStyle w:val="ListParagraph"/>
        <w:ind w:left="0" w:firstLine="360"/>
        <w:jc w:val="both"/>
      </w:pPr>
      <w:r>
        <w:tab/>
      </w:r>
      <w:r w:rsidR="007E0AA3" w:rsidRPr="00E64932">
        <w:t>Precizăm faptul că pentru aceste proiecte au fost realizate studiile de fezabilitate de catre  SC SYNERGETICS SRL și au fost aprobate PUZ-urile aferente.</w:t>
      </w:r>
    </w:p>
    <w:p w:rsidR="007E0AA3" w:rsidRPr="00E64932" w:rsidRDefault="007E0AA3" w:rsidP="007E0AA3">
      <w:pPr>
        <w:pStyle w:val="ListParagraph"/>
        <w:ind w:left="0"/>
        <w:jc w:val="both"/>
        <w:rPr>
          <w:b/>
        </w:rPr>
      </w:pPr>
      <w:r w:rsidRPr="00E64932">
        <w:rPr>
          <w:b/>
        </w:rPr>
        <w:t xml:space="preserve">     ● Parcare zona Floreasca, Str.Donizetti nr.8-10, sector 2</w:t>
      </w:r>
    </w:p>
    <w:p w:rsidR="007E0AA3" w:rsidRPr="00E64932" w:rsidRDefault="007E0AA3" w:rsidP="007E0AA3">
      <w:pPr>
        <w:pStyle w:val="ListParagraph"/>
        <w:ind w:left="0" w:firstLine="720"/>
        <w:jc w:val="both"/>
      </w:pPr>
      <w:r w:rsidRPr="00E64932">
        <w:t>Municipiul Bucureşti se confruntă cu un deficit major de locuri de parcare, şi din acest motiv se doreşte suplimentarea acestora în anumite zone care se află în plină dezvoltare imobiliară. Prin construirea acestei parcări, Municipiul Bucureşti doreşte să vină în sprijinul cetăţenilor în vederea fluidizării circulaţiei rutiere şi a ambuteiajelor formate în zona respectivă.</w:t>
      </w:r>
    </w:p>
    <w:p w:rsidR="007E0AA3" w:rsidRPr="00E64932" w:rsidRDefault="007E0AA3" w:rsidP="007E0AA3">
      <w:pPr>
        <w:pStyle w:val="ListParagraph"/>
        <w:ind w:left="0" w:firstLine="720"/>
        <w:jc w:val="both"/>
      </w:pPr>
      <w:r w:rsidRPr="00E64932">
        <w:t>Astfel, s-a analizat posibilitatea construirii unei astfel de parcări pe terenul situat în Bucureşti. Sectorul 2, Str.Donizetti nr.8-10. Terenul respectiv, cu o suprafaţă de de 19.580 mp, este în proprietatea Municipiului Bucureşti.</w:t>
      </w:r>
    </w:p>
    <w:p w:rsidR="007E0AA3" w:rsidRPr="00E64932" w:rsidRDefault="007E0AA3" w:rsidP="007E0AA3">
      <w:pPr>
        <w:pStyle w:val="ListParagraph"/>
        <w:ind w:left="0" w:firstLine="720"/>
        <w:jc w:val="both"/>
      </w:pPr>
      <w:r w:rsidRPr="00E64932">
        <w:t>A fost iniţiată şi aprobată Hotărârea Consiliului General al Municipiului Bucureşti nr.16/17.01.2018, prin care imobilul din Str. Donizetti nr. 8-10, sector 2, Bucureşti, se preia din administrarea Regiei Autonome de Transport Bucureşti în administrarea directă a Consiliului General al Municipiului Bucureşti, în vederea realizării unei parcări.</w:t>
      </w:r>
    </w:p>
    <w:p w:rsidR="007E0AA3" w:rsidRPr="00E64932" w:rsidRDefault="007E0AA3" w:rsidP="007E0AA3">
      <w:pPr>
        <w:pStyle w:val="ListParagraph"/>
        <w:ind w:left="0" w:firstLine="720"/>
        <w:jc w:val="both"/>
        <w:rPr>
          <w:lang w:val="en-US"/>
        </w:rPr>
      </w:pPr>
      <w:r w:rsidRPr="00E64932">
        <w:t xml:space="preserve">Pe parcursul anului 2018, s-au obţinut certificatul de urbanism de </w:t>
      </w:r>
      <w:smartTag w:uri="urn:schemas-microsoft-com:office:smarttags" w:element="PersonName">
        <w:smartTagPr>
          <w:attr w:name="ProductID" w:val="la Primăria"/>
        </w:smartTagPr>
        <w:r w:rsidRPr="00E64932">
          <w:t>la Primăria</w:t>
        </w:r>
      </w:smartTag>
      <w:r w:rsidRPr="00E64932">
        <w:t xml:space="preserve"> sectorului 2 și certificatul de urbanism pentru dezmembrarea terenului în scopul realizării lucrărilor de construire şi ervituţii de trecere, de la Direcția Urbanism din cadrul PMB. Au fost făcute demersurile necesare în vederea dezmembrării terenului în scopul realizării lucrărilor de construire şi servituţii de trecere.</w:t>
      </w:r>
    </w:p>
    <w:p w:rsidR="007E0AA3" w:rsidRPr="00E64932" w:rsidRDefault="007E0AA3" w:rsidP="007E0AA3">
      <w:pPr>
        <w:pStyle w:val="ListParagraph"/>
        <w:ind w:left="0" w:firstLine="720"/>
        <w:jc w:val="both"/>
      </w:pPr>
      <w:r w:rsidRPr="00E64932">
        <w:t>S-au obținut planurile, a fost obținut extrasul de carte funciară, urmează depunerea cererii pentru obținerea certificatului de urbanism (după dezmembrare) de la Primăria Sectorului 2.</w:t>
      </w:r>
    </w:p>
    <w:p w:rsidR="007E0AA3" w:rsidRPr="00E64932" w:rsidRDefault="007E0AA3" w:rsidP="007E0AA3">
      <w:pPr>
        <w:pStyle w:val="ListParagraph"/>
        <w:ind w:left="0" w:firstLine="720"/>
        <w:jc w:val="both"/>
      </w:pPr>
      <w:r w:rsidRPr="00E64932">
        <w:t>Prin certificatul de urbanism s-a solicitat realizare PUZ.  Documentația necesară, în vederea demarării, pe Normă internă, a procedurii de atribuire a contractului de servicii, a fost elaborată, urmand aprobarea acesteia.</w:t>
      </w:r>
    </w:p>
    <w:p w:rsidR="007E0AA3" w:rsidRPr="00E64932" w:rsidRDefault="007E0AA3" w:rsidP="007E0AA3">
      <w:pPr>
        <w:pStyle w:val="ListParagraph"/>
        <w:ind w:left="0" w:firstLine="720"/>
        <w:jc w:val="both"/>
      </w:pPr>
    </w:p>
    <w:p w:rsidR="007E0AA3" w:rsidRPr="00E64932" w:rsidRDefault="007E0AA3" w:rsidP="007E0AA3">
      <w:pPr>
        <w:pStyle w:val="ListParagraph"/>
        <w:ind w:left="0"/>
        <w:jc w:val="both"/>
        <w:rPr>
          <w:b/>
          <w:lang w:val="fr-FR"/>
        </w:rPr>
      </w:pPr>
      <w:r w:rsidRPr="00E64932">
        <w:rPr>
          <w:b/>
          <w:color w:val="000000"/>
        </w:rPr>
        <w:t xml:space="preserve">► </w:t>
      </w:r>
      <w:r w:rsidRPr="00E64932">
        <w:rPr>
          <w:b/>
          <w:lang w:val="fr-FR"/>
        </w:rPr>
        <w:t>Parcări supraterane pe structură ușoară</w:t>
      </w:r>
    </w:p>
    <w:p w:rsidR="007E0AA3" w:rsidRPr="00E64932" w:rsidRDefault="007E0AA3" w:rsidP="007E0AA3">
      <w:pPr>
        <w:pStyle w:val="ListParagraph"/>
        <w:ind w:left="0"/>
        <w:jc w:val="both"/>
      </w:pPr>
      <w:r w:rsidRPr="00E64932">
        <w:rPr>
          <w:b/>
        </w:rPr>
        <w:t xml:space="preserve">     ● Parcaj acoperit şi zonă de agrement în Str. Panait Cerna, adiacent blocurilor M7, M8, M9, M10, M11, M12, M13, M14, Sector 3.</w:t>
      </w:r>
    </w:p>
    <w:p w:rsidR="007E0AA3" w:rsidRPr="00E64932" w:rsidRDefault="007E0AA3" w:rsidP="007E0AA3">
      <w:pPr>
        <w:pStyle w:val="ListParagraph"/>
        <w:ind w:left="0" w:firstLine="720"/>
        <w:jc w:val="both"/>
      </w:pPr>
      <w:r w:rsidRPr="00E64932">
        <w:t>Proiectul propune realizarea unui parcaj suprateran în zona Panait Cerna, care să corespundă necesarului de locuri de parcare în zonele rezidenţiale şi care să suplinească numărul de spaţii verzi locurile de agrement, prevăzute cu locuri de joacă, tenis de masă şi mese de şah.</w:t>
      </w:r>
    </w:p>
    <w:p w:rsidR="007E0AA3" w:rsidRPr="00E64932" w:rsidRDefault="007E0AA3" w:rsidP="007E0AA3">
      <w:pPr>
        <w:pStyle w:val="ListParagraph"/>
        <w:ind w:left="0" w:firstLine="720"/>
        <w:jc w:val="both"/>
      </w:pPr>
      <w:r w:rsidRPr="00E64932">
        <w:t>Parcarea este destinată rezidenţilor sectorului 3, posesori de autoturisme, iar spaţiul de agrement de pe terasă este destinat în principal riveranilor, putând fi accesat şi de către persoanele aflate în trecere. Construcţia are regim de înălţime Parter+ Etaj 1 + terasă circulabilă şi dispune de 364 locuri.</w:t>
      </w:r>
    </w:p>
    <w:p w:rsidR="007E0AA3" w:rsidRPr="00E64932" w:rsidRDefault="007E0AA3" w:rsidP="007E0AA3">
      <w:pPr>
        <w:pStyle w:val="ListParagraph"/>
        <w:ind w:left="0" w:firstLine="720"/>
        <w:jc w:val="both"/>
      </w:pPr>
      <w:r w:rsidRPr="00E64932">
        <w:t>Proiectul tehnic este in curs de finalizare de către Primăria Sectorului 3, urmând a fi predat cu titlu gratuit și demarată procedura de atribuire a lucrărilor de execuție.</w:t>
      </w:r>
    </w:p>
    <w:p w:rsidR="007E0AA3" w:rsidRPr="00E64932" w:rsidRDefault="007E0AA3" w:rsidP="007E0AA3">
      <w:pPr>
        <w:pStyle w:val="ListParagraph"/>
        <w:ind w:left="0"/>
        <w:jc w:val="both"/>
      </w:pPr>
      <w:r w:rsidRPr="00E64932">
        <w:rPr>
          <w:b/>
        </w:rPr>
        <w:t xml:space="preserve">     ● Parcaj acoperit și zonă de agrement în zona străzii Textiliștilor, Sector 3. </w:t>
      </w:r>
    </w:p>
    <w:p w:rsidR="007E0AA3" w:rsidRPr="00E64932" w:rsidRDefault="007E0AA3" w:rsidP="007E0AA3">
      <w:pPr>
        <w:pStyle w:val="ListParagraph"/>
        <w:ind w:left="0" w:firstLine="720"/>
        <w:jc w:val="both"/>
      </w:pPr>
      <w:r w:rsidRPr="00E64932">
        <w:t xml:space="preserve">Proiectul propune realizarea unui parcaj suprateran în zona Textiliştilor, care să corespundă necesarului de locuri de parcare în zonele rezidenţiale şi care să suplinească numărul de spaţii de agrement, prevăzute cu locuri de joacă, teren de sport şi zonă de relaxare şi activităţi. Prin realizarea investiţiei se preconizează atingerea următoarelor obiective: creşterea semnificativă a numărului de locuri de parcare; asigurarea unui climat sănătos de petrecere a timpului liber; utilzarea eficientă a </w:t>
      </w:r>
      <w:r w:rsidRPr="00E64932">
        <w:lastRenderedPageBreak/>
        <w:t>spaţiilor disponibile fără afectarea spaţiilor verzi existente; posibilitatea obţinerii de venituri suplimentare prin închirierea, conform legislaţiei în vigoare, a locurilor de parcare; posibilitatea organizării de concursuri sportive, competiţii şi diferite manifestări educative; dezvoltarea socială durabilă; creşterea valorii terenurilor şi construcţiilor din zonă.</w:t>
      </w:r>
    </w:p>
    <w:p w:rsidR="007E0AA3" w:rsidRPr="00E64932" w:rsidRDefault="002C01BC" w:rsidP="007E0AA3">
      <w:pPr>
        <w:pStyle w:val="ListParagraph"/>
        <w:ind w:left="0"/>
        <w:jc w:val="both"/>
      </w:pPr>
      <w:r>
        <w:tab/>
      </w:r>
      <w:r w:rsidR="007E0AA3" w:rsidRPr="00E64932">
        <w:t>Construcţia are regim de înălţime Parter+ Etaj 1 + terasă circulabilă şi dispune de 188 locuri.</w:t>
      </w:r>
    </w:p>
    <w:p w:rsidR="007E0AA3" w:rsidRPr="00E64932" w:rsidRDefault="007E0AA3" w:rsidP="007E0AA3">
      <w:pPr>
        <w:pStyle w:val="ListParagraph"/>
        <w:ind w:left="0"/>
        <w:jc w:val="both"/>
        <w:rPr>
          <w:lang w:val="pt-BR"/>
        </w:rPr>
      </w:pPr>
      <w:r w:rsidRPr="00E64932">
        <w:rPr>
          <w:lang w:val="pt-BR"/>
        </w:rPr>
        <w:t>Valoarea totală a investiţiei se ridică la 16.333 mii lei inclusiv TVA, cu o durată de realizare de 9 luni.</w:t>
      </w:r>
    </w:p>
    <w:p w:rsidR="007E0AA3" w:rsidRPr="00E64932" w:rsidRDefault="007E0AA3" w:rsidP="007E0AA3">
      <w:pPr>
        <w:pStyle w:val="ListParagraph"/>
        <w:ind w:left="0" w:firstLine="720"/>
        <w:jc w:val="both"/>
      </w:pPr>
      <w:r w:rsidRPr="00E64932">
        <w:t>A fost predat proiectul tehnic de către Primaria Sectorului 3, urmand a fi demarată procedura de atribuire a lucrarilor de executie.</w:t>
      </w:r>
    </w:p>
    <w:p w:rsidR="007E0AA3" w:rsidRPr="00E64932" w:rsidRDefault="007E0AA3" w:rsidP="007E0AA3">
      <w:pPr>
        <w:pStyle w:val="ListParagraph"/>
        <w:ind w:left="0"/>
        <w:jc w:val="both"/>
        <w:rPr>
          <w:color w:val="FF0000"/>
        </w:rPr>
      </w:pPr>
    </w:p>
    <w:p w:rsidR="007E0AA3" w:rsidRPr="00E64932" w:rsidRDefault="007E0AA3" w:rsidP="007E0AA3">
      <w:pPr>
        <w:pStyle w:val="ListParagraph"/>
        <w:ind w:left="0"/>
        <w:jc w:val="both"/>
      </w:pPr>
      <w:r w:rsidRPr="00E64932">
        <w:rPr>
          <w:b/>
          <w:color w:val="000000"/>
        </w:rPr>
        <w:t xml:space="preserve">► </w:t>
      </w:r>
      <w:r w:rsidRPr="00E64932">
        <w:rPr>
          <w:b/>
        </w:rPr>
        <w:t>Implementarea unui sistem de transport cu bicicleta în zona centrală a capitalei – piste de biciclete</w:t>
      </w:r>
    </w:p>
    <w:p w:rsidR="007E0AA3" w:rsidRPr="00E64932" w:rsidRDefault="007E0AA3" w:rsidP="007E0AA3">
      <w:pPr>
        <w:pStyle w:val="ListParagraph"/>
        <w:ind w:left="0" w:firstLine="720"/>
        <w:jc w:val="both"/>
      </w:pPr>
      <w:r w:rsidRPr="00E64932">
        <w:t>Proiectul a fost inițiat în scopul extinderii rețelei de transport cu bicicleta în zona centrală a muncipiului București, creșterii siguranței traficului bicicliștilor și pietonilor în vecinătatea arterelor de circulație existente, diminuării   efectelor   poluării   aerului   asupra   mediului   și   sănătății populației,   cauzate   de   emisiile   de   gaze   de   eșapament   de   la autovehicule, încadrării emisiilor în valorile-limită admise la nivel european, pentru aerul ambiental.</w:t>
      </w:r>
    </w:p>
    <w:p w:rsidR="007E0AA3" w:rsidRPr="00E64932" w:rsidRDefault="007E0AA3" w:rsidP="007E0AA3">
      <w:pPr>
        <w:pStyle w:val="ListParagraph"/>
        <w:ind w:left="0" w:firstLine="720"/>
        <w:jc w:val="both"/>
      </w:pPr>
      <w:r w:rsidRPr="00E64932">
        <w:t xml:space="preserve">Acest proiect propune crearea unui traseu prioritar pietonal şi de biciclişti în centrul Bucureştiului. Astfel, se impune dezvoltarea acestor căi rezervate şi amenajate pentru circulaţia cicliştilor, în lungul arterelor de circulaţie, dar şi independent de acestea. </w:t>
      </w:r>
    </w:p>
    <w:p w:rsidR="007E0AA3" w:rsidRPr="00E64932" w:rsidRDefault="007E0AA3" w:rsidP="007E0AA3">
      <w:pPr>
        <w:pStyle w:val="ListParagraph"/>
        <w:ind w:left="0" w:firstLine="720"/>
        <w:jc w:val="both"/>
      </w:pPr>
      <w:r w:rsidRPr="00E64932">
        <w:t>Pentru a deveni atractiv din punct de vedere turistic, Municipiul Bucureşti va fi conectat la reţeaua europeană pentru ciclişti şi va oferi vizitatorilor, atât condiţii integrate de transport rutier şi feroviar la nivel regional şi local, cât şi hărţile pistelor de biciclete din mediul urban şi a pistelor de biciclete interurbane care leagă oraşele riverane capitalei, făcând posibile călătorii cu bicicleta de-a lungul întregului teritoriu metropolitan, creându-se astfel, Reţeaua Metropolitană de Trasee Cicloturistice.</w:t>
      </w:r>
    </w:p>
    <w:p w:rsidR="007E0AA3" w:rsidRPr="00E64932" w:rsidRDefault="007E0AA3" w:rsidP="007E0AA3">
      <w:pPr>
        <w:pStyle w:val="ListParagraph"/>
        <w:ind w:left="0" w:firstLine="720"/>
        <w:jc w:val="both"/>
      </w:pPr>
      <w:r w:rsidRPr="00E64932">
        <w:t>Proiectul cuprinde 4 trasee ce vor acoperi nevoia imediată de piste de biciclete la nivelul municipiului București și vor lega pista deja existentă din Calea Victoriei de cele mai importante 4 puncte din București. Pe traseul acestor piste de biciclete vor fi amplasate și parcări publice pentru biciclete, în număr de 420. Rastelele vor fi amplasate în apropierea clădirilor cu potențial mare de atragere a persoanelor care folosesc bicicleta.</w:t>
      </w:r>
    </w:p>
    <w:p w:rsidR="007E0AA3" w:rsidRPr="00E64932" w:rsidRDefault="007E0AA3" w:rsidP="007E0AA3">
      <w:pPr>
        <w:pStyle w:val="ListParagraph"/>
        <w:ind w:left="0" w:firstLine="720"/>
        <w:jc w:val="both"/>
      </w:pPr>
      <w:r w:rsidRPr="00E64932">
        <w:t>Cele 4 trasee de biciclete sunt următoarele:</w:t>
      </w:r>
    </w:p>
    <w:p w:rsidR="007E0AA3" w:rsidRPr="00E64932" w:rsidRDefault="007E0AA3" w:rsidP="00980D72">
      <w:pPr>
        <w:pStyle w:val="ListParagraph"/>
        <w:numPr>
          <w:ilvl w:val="0"/>
          <w:numId w:val="33"/>
        </w:numPr>
        <w:jc w:val="both"/>
      </w:pPr>
      <w:r w:rsidRPr="00E64932">
        <w:t>Traseul 1 – Piaţa Victoriei - Bdul. Aviatorilor – Bdul. Constantin Prezan – Pipera – Băneasa;</w:t>
      </w:r>
    </w:p>
    <w:p w:rsidR="007E0AA3" w:rsidRPr="00E64932" w:rsidRDefault="007E0AA3" w:rsidP="00980D72">
      <w:pPr>
        <w:pStyle w:val="ListParagraph"/>
        <w:numPr>
          <w:ilvl w:val="0"/>
          <w:numId w:val="33"/>
        </w:numPr>
        <w:jc w:val="both"/>
      </w:pPr>
      <w:r w:rsidRPr="00E64932">
        <w:t>Traseul 2 – Calea Victoriei – Calea Griviţei – Strada Jiului – Bdul. Poligrafiei;</w:t>
      </w:r>
    </w:p>
    <w:p w:rsidR="007E0AA3" w:rsidRPr="00E64932" w:rsidRDefault="007E0AA3" w:rsidP="00980D72">
      <w:pPr>
        <w:pStyle w:val="ListParagraph"/>
        <w:numPr>
          <w:ilvl w:val="0"/>
          <w:numId w:val="33"/>
        </w:numPr>
        <w:jc w:val="both"/>
      </w:pPr>
      <w:r w:rsidRPr="00E64932">
        <w:t>Traseul 3 – Calea Victoriei – Bdul. Unirii – Piaţa Alba Iulia – Splaiul Unirii – Splaiul Independenţei;</w:t>
      </w:r>
    </w:p>
    <w:p w:rsidR="007E0AA3" w:rsidRPr="00E64932" w:rsidRDefault="007E0AA3" w:rsidP="00980D72">
      <w:pPr>
        <w:pStyle w:val="ListParagraph"/>
        <w:numPr>
          <w:ilvl w:val="0"/>
          <w:numId w:val="33"/>
        </w:numPr>
        <w:jc w:val="both"/>
      </w:pPr>
      <w:r w:rsidRPr="00E64932">
        <w:t>Traseul 4 – Calea Victoriei – Bdul Dacia – Strada Mircea Vulcănescu – Bdul. Gării de Nord – Piaţa Gării de Nord.</w:t>
      </w:r>
    </w:p>
    <w:p w:rsidR="007E0AA3" w:rsidRPr="00E64932" w:rsidRDefault="007E0AA3" w:rsidP="007E0AA3">
      <w:pPr>
        <w:pStyle w:val="ListParagraph"/>
        <w:ind w:left="0" w:firstLine="720"/>
        <w:jc w:val="both"/>
        <w:rPr>
          <w:b/>
        </w:rPr>
      </w:pPr>
      <w:r w:rsidRPr="00E64932">
        <w:t>Prin Hotărarea Consiliului General al Municipiului București nr.319/14.06.2018, au fost aprobați indicatorii tehnico-economici aferenți obiectivului de investiții “Implementarea unui sistem de transport cu bicicleta în zona centrală a capitalei – piste de biciclete”.</w:t>
      </w:r>
      <w:r w:rsidRPr="00E64932">
        <w:rPr>
          <w:b/>
        </w:rPr>
        <w:t xml:space="preserve"> </w:t>
      </w:r>
    </w:p>
    <w:p w:rsidR="007E0AA3" w:rsidRPr="00E64932" w:rsidRDefault="007E0AA3" w:rsidP="007E0AA3">
      <w:pPr>
        <w:pStyle w:val="ListParagraph"/>
        <w:ind w:left="0" w:firstLine="720"/>
        <w:jc w:val="both"/>
      </w:pPr>
      <w:r w:rsidRPr="00E64932">
        <w:t xml:space="preserve"> Pentru cele patru trasee, a fost demarată procedura de atribuire a serviciilor de elaborare a studiului de fezabilitate, pe Normă internă, conform H.C.G.M.B. nr.130/28.03.2018, atribuindu-se Contractul de prestare servicii nr.306/06.03.2018, Companiei Municipale Dezvoltare Durabilă București S.A. la o valoarea de 541.618,62 lei, fără TVA, cu termen de finalizare 13.05.2018.</w:t>
      </w:r>
    </w:p>
    <w:p w:rsidR="007E0AA3" w:rsidRPr="00E64932" w:rsidRDefault="007E0AA3" w:rsidP="007E0AA3">
      <w:pPr>
        <w:pStyle w:val="ListParagraph"/>
        <w:ind w:left="0" w:firstLine="720"/>
        <w:jc w:val="both"/>
      </w:pPr>
      <w:r w:rsidRPr="00E64932">
        <w:t>Ordinul de începere a lucrărilor de elaborare a studiului de fezabilitate a fost emis, începând cu data de 13.03.2018.</w:t>
      </w:r>
    </w:p>
    <w:p w:rsidR="007E0AA3" w:rsidRPr="00E64932" w:rsidRDefault="007E0AA3" w:rsidP="007E0AA3">
      <w:pPr>
        <w:pStyle w:val="ListParagraph"/>
        <w:ind w:left="0" w:firstLine="720"/>
        <w:jc w:val="both"/>
      </w:pPr>
      <w:r w:rsidRPr="00E64932">
        <w:t>Studiul de fezabilitate a fost elaborat, au fost aprobați indicatorii tehnico – economici aferenți studiului de fezabilitate, prin Hotărarile Consiliului General al Municipiului București nr.248/04.05.2018 (traseul 1), nr.316/14.06.2018 (traseul 2), nr.317/14.06.2018 (traseul 3) și nr.318/14.06.2018 (traseul 4).</w:t>
      </w:r>
    </w:p>
    <w:p w:rsidR="007E0AA3" w:rsidRPr="00E64932" w:rsidRDefault="007E0AA3" w:rsidP="007E0AA3">
      <w:pPr>
        <w:pStyle w:val="ListParagraph"/>
        <w:ind w:left="0" w:firstLine="720"/>
        <w:jc w:val="both"/>
      </w:pPr>
      <w:r w:rsidRPr="00E64932">
        <w:lastRenderedPageBreak/>
        <w:t xml:space="preserve">Pentru Traseul 1, s-a desfășurat </w:t>
      </w:r>
      <w:r w:rsidRPr="00E64932">
        <w:rPr>
          <w:lang w:val="es-ES"/>
        </w:rPr>
        <w:t xml:space="preserve">pe Normă internă, </w:t>
      </w:r>
      <w:r w:rsidRPr="00E64932">
        <w:t>conform H.C.G.M.B.nr.130/28.03.2018, procedura de atribuire a contractului de proiectare și asistentă tehnică. Astfel, s-a atribuit Contractul nr.834/16.07.2018, Companiei Municipale Managementul Transportului București S.A., la o valoare de 201.358 lei, fără TVA, cu termen de finalizare 16.08.2018 (pentru finalizare proiect tehnic) + 4 luni asistență tehnică. Ordinul de începere a lucrărilor a fost emis începand cu data de 16.07.2018. Proiectul tehnic a fost finalizat, predat și avizat în Consiliul Tehnico-Economic cu aviz nr.94/18.09.2018. Ordinul de începere pentru Asistență Tehnică se va corela cu execuția lucrărilor.</w:t>
      </w:r>
    </w:p>
    <w:p w:rsidR="007E0AA3" w:rsidRPr="00E64932" w:rsidRDefault="007E0AA3" w:rsidP="007E0AA3">
      <w:pPr>
        <w:pStyle w:val="ListParagraph"/>
        <w:ind w:left="0" w:firstLine="720"/>
        <w:jc w:val="both"/>
      </w:pPr>
      <w:r w:rsidRPr="00E64932">
        <w:t>Pentru traseul 1 - tronsonul 1 (P-ţa Victoriei - B.dul Aviatorilor - B.dul Beijing - Str.Nicolae Caramfil - Şos.Pipera) a fost demarată procedura achiziție-procedură simplificată, pentru atribuirea contractului privind realizarea lucrărilor de semnalizare orizontală și verticală (marcaje), transmițandu-se documentația necesară la Direcția Generală Achiziții Publice. Procedura de achiziție a fost publicată în SICAP, însă documentația a fost respinsa de către ANAP, în luna decembrie 2018. Au fost operate modificarile și a fost redepusă la DGAP în vederea republicării.</w:t>
      </w:r>
    </w:p>
    <w:p w:rsidR="007E0AA3" w:rsidRDefault="007E0AA3" w:rsidP="007E0AA3">
      <w:pPr>
        <w:jc w:val="both"/>
      </w:pPr>
      <w:r w:rsidRPr="00E64932">
        <w:t>Pentru traseele 2, 3 și 4 s-a derulat procedura de atribuire a contractului de proiectare și executie a lucrărilor, pe Normă internă, conform H.C.G.M.B.nr.130/28.03.2018.  Astfel, a fost atribuit Contractul de proiectare și execuție nr.1496/28.12.2018, Companiei Municipale Străzi, Poduri și Pasaje București S.A. în asociere cu Compania Municipală Managementul Traficului București S.A.  Valoarea contractului este de 29.307.604 lei fără TVA, cu termen de finalizare data de 09.06.2019 (pentru finalizare PT+DDE+PAC+POE) și 6 luni execuție și Asistență Tehnică. Perioada de garanție este de 36 de luni. Ordinul de începere a lucrărilor de proiectare s-a emis, începand cu data de 09.01.2019.</w:t>
      </w:r>
    </w:p>
    <w:p w:rsidR="007E0AA3" w:rsidRDefault="007E0AA3" w:rsidP="007E0AA3">
      <w:pPr>
        <w:jc w:val="both"/>
      </w:pPr>
    </w:p>
    <w:p w:rsidR="007E0AA3" w:rsidRPr="00A76928" w:rsidRDefault="00A76928" w:rsidP="007E0AA3">
      <w:pPr>
        <w:jc w:val="both"/>
        <w:rPr>
          <w:b/>
        </w:rPr>
      </w:pPr>
      <w:r w:rsidRPr="00A76928">
        <w:rPr>
          <w:b/>
        </w:rPr>
        <w:tab/>
        <w:t>Administrația Străzilor București</w:t>
      </w:r>
    </w:p>
    <w:p w:rsidR="007E0AA3" w:rsidRDefault="00A76928" w:rsidP="007E0AA3">
      <w:pPr>
        <w:jc w:val="both"/>
        <w:rPr>
          <w:rFonts w:eastAsia="MS Mincho"/>
          <w:lang w:val="en-US" w:eastAsia="en-US"/>
        </w:rPr>
      </w:pPr>
      <w:r>
        <w:rPr>
          <w:rFonts w:eastAsia="MS Mincho"/>
          <w:lang w:val="en-US" w:eastAsia="en-US"/>
        </w:rPr>
        <w:tab/>
      </w:r>
      <w:r w:rsidR="007E0AA3">
        <w:rPr>
          <w:rFonts w:eastAsia="MS Mincho"/>
          <w:lang w:val="en-US" w:eastAsia="en-US"/>
        </w:rPr>
        <w:t>Administrația</w:t>
      </w:r>
      <w:r w:rsidR="007E0AA3" w:rsidRPr="007E0AA3">
        <w:rPr>
          <w:rFonts w:eastAsia="MS Mincho"/>
          <w:lang w:val="en-US" w:eastAsia="en-US"/>
        </w:rPr>
        <w:t>a Str</w:t>
      </w:r>
      <w:r>
        <w:rPr>
          <w:rFonts w:eastAsia="MS Mincho"/>
          <w:lang w:val="en-US" w:eastAsia="en-US"/>
        </w:rPr>
        <w:t>ă</w:t>
      </w:r>
      <w:r w:rsidR="007E0AA3" w:rsidRPr="007E0AA3">
        <w:rPr>
          <w:rFonts w:eastAsia="MS Mincho"/>
          <w:lang w:val="en-US" w:eastAsia="en-US"/>
        </w:rPr>
        <w:t>zilor Bucure</w:t>
      </w:r>
      <w:r w:rsidR="007E0AA3">
        <w:rPr>
          <w:rFonts w:eastAsia="MS Mincho"/>
          <w:lang w:val="en-US" w:eastAsia="en-US"/>
        </w:rPr>
        <w:t>ș</w:t>
      </w:r>
      <w:r w:rsidR="007E0AA3" w:rsidRPr="007E0AA3">
        <w:rPr>
          <w:rFonts w:eastAsia="MS Mincho"/>
          <w:lang w:val="en-US" w:eastAsia="en-US"/>
        </w:rPr>
        <w:t>ti este serviciu public de interes local al Municipiului Bucure</w:t>
      </w:r>
      <w:r>
        <w:rPr>
          <w:rFonts w:eastAsia="MS Mincho"/>
          <w:lang w:val="en-US" w:eastAsia="en-US"/>
        </w:rPr>
        <w:t>ș</w:t>
      </w:r>
      <w:r w:rsidR="007E0AA3" w:rsidRPr="007E0AA3">
        <w:rPr>
          <w:rFonts w:eastAsia="MS Mincho"/>
          <w:lang w:val="en-US" w:eastAsia="en-US"/>
        </w:rPr>
        <w:t>ti, organizat ca institu</w:t>
      </w:r>
      <w:r>
        <w:rPr>
          <w:rFonts w:eastAsia="MS Mincho"/>
          <w:lang w:val="en-US" w:eastAsia="en-US"/>
        </w:rPr>
        <w:t>ț</w:t>
      </w:r>
      <w:r w:rsidR="007E0AA3" w:rsidRPr="007E0AA3">
        <w:rPr>
          <w:rFonts w:eastAsia="MS Mincho"/>
          <w:lang w:val="en-US" w:eastAsia="en-US"/>
        </w:rPr>
        <w:t>ie public</w:t>
      </w:r>
      <w:r>
        <w:rPr>
          <w:rFonts w:eastAsia="MS Mincho"/>
          <w:lang w:val="en-US" w:eastAsia="en-US"/>
        </w:rPr>
        <w:t>ă</w:t>
      </w:r>
      <w:r w:rsidR="007E0AA3" w:rsidRPr="007E0AA3">
        <w:rPr>
          <w:rFonts w:eastAsia="MS Mincho"/>
          <w:lang w:val="en-US" w:eastAsia="en-US"/>
        </w:rPr>
        <w:t xml:space="preserve"> cu personalitate juridic</w:t>
      </w:r>
      <w:r>
        <w:rPr>
          <w:rFonts w:eastAsia="MS Mincho"/>
          <w:lang w:val="en-US" w:eastAsia="en-US"/>
        </w:rPr>
        <w:t>ă</w:t>
      </w:r>
      <w:r w:rsidR="007E0AA3" w:rsidRPr="007E0AA3">
        <w:rPr>
          <w:rFonts w:eastAsia="MS Mincho"/>
          <w:lang w:val="en-US" w:eastAsia="en-US"/>
        </w:rPr>
        <w:t>, finan</w:t>
      </w:r>
      <w:r>
        <w:rPr>
          <w:rFonts w:eastAsia="MS Mincho"/>
          <w:lang w:val="en-US" w:eastAsia="en-US"/>
        </w:rPr>
        <w:t>ț</w:t>
      </w:r>
      <w:r w:rsidR="007E0AA3" w:rsidRPr="007E0AA3">
        <w:rPr>
          <w:rFonts w:eastAsia="MS Mincho"/>
          <w:lang w:val="en-US" w:eastAsia="en-US"/>
        </w:rPr>
        <w:t>at integral din bugetul lo</w:t>
      </w:r>
      <w:r>
        <w:rPr>
          <w:rFonts w:eastAsia="MS Mincho"/>
          <w:lang w:val="en-US" w:eastAsia="en-US"/>
        </w:rPr>
        <w:t>cal al Municipiului București, în</w:t>
      </w:r>
      <w:r w:rsidR="007E0AA3" w:rsidRPr="007E0AA3">
        <w:rPr>
          <w:rFonts w:eastAsia="MS Mincho"/>
          <w:lang w:val="en-US" w:eastAsia="en-US"/>
        </w:rPr>
        <w:t>fiin</w:t>
      </w:r>
      <w:r>
        <w:rPr>
          <w:rFonts w:eastAsia="MS Mincho"/>
          <w:lang w:val="en-US" w:eastAsia="en-US"/>
        </w:rPr>
        <w:t>ț</w:t>
      </w:r>
      <w:r w:rsidR="007E0AA3" w:rsidRPr="007E0AA3">
        <w:rPr>
          <w:rFonts w:eastAsia="MS Mincho"/>
          <w:lang w:val="en-US" w:eastAsia="en-US"/>
        </w:rPr>
        <w:t>at prin HCLMB nr.</w:t>
      </w:r>
      <w:r>
        <w:rPr>
          <w:rFonts w:eastAsia="MS Mincho"/>
          <w:lang w:val="en-US" w:eastAsia="en-US"/>
        </w:rPr>
        <w:t xml:space="preserve"> </w:t>
      </w:r>
      <w:r w:rsidR="007E0AA3" w:rsidRPr="007E0AA3">
        <w:rPr>
          <w:rFonts w:eastAsia="MS Mincho"/>
          <w:lang w:val="en-US" w:eastAsia="en-US"/>
        </w:rPr>
        <w:t>72/1992</w:t>
      </w:r>
      <w:r>
        <w:rPr>
          <w:rFonts w:eastAsia="MS Mincho"/>
          <w:lang w:val="en-US" w:eastAsia="en-US"/>
        </w:rPr>
        <w:t>.</w:t>
      </w:r>
    </w:p>
    <w:p w:rsidR="00A76928" w:rsidRDefault="00A76928" w:rsidP="007E0AA3">
      <w:pPr>
        <w:jc w:val="both"/>
        <w:rPr>
          <w:rFonts w:eastAsia="MS Mincho"/>
          <w:lang w:val="en-US" w:eastAsia="en-US"/>
        </w:rPr>
      </w:pPr>
    </w:p>
    <w:p w:rsidR="00A76928" w:rsidRPr="00E64932" w:rsidRDefault="00A76928" w:rsidP="00A76928">
      <w:pPr>
        <w:pStyle w:val="ListParagraph"/>
        <w:ind w:left="0"/>
        <w:jc w:val="both"/>
        <w:rPr>
          <w:b/>
        </w:rPr>
      </w:pPr>
      <w:r w:rsidRPr="00E64932">
        <w:rPr>
          <w:b/>
          <w:color w:val="000000"/>
        </w:rPr>
        <w:t xml:space="preserve">► </w:t>
      </w:r>
      <w:r w:rsidRPr="00E64932">
        <w:rPr>
          <w:b/>
        </w:rPr>
        <w:t>Reabilitare sistem rutier şi lucrări edilitare</w:t>
      </w:r>
    </w:p>
    <w:p w:rsidR="00A76928" w:rsidRPr="00E64932" w:rsidRDefault="00A76928" w:rsidP="00A76928">
      <w:pPr>
        <w:pStyle w:val="ListParagraph"/>
        <w:ind w:left="0"/>
        <w:jc w:val="both"/>
        <w:rPr>
          <w:b/>
        </w:rPr>
      </w:pPr>
      <w:r w:rsidRPr="00E64932">
        <w:rPr>
          <w:b/>
        </w:rPr>
        <w:t xml:space="preserve">   ● Execuţie şi proiectare – Str. Teiuş</w:t>
      </w:r>
    </w:p>
    <w:p w:rsidR="00A76928" w:rsidRPr="00E64932" w:rsidRDefault="00A76928" w:rsidP="00A76928">
      <w:pPr>
        <w:pStyle w:val="ListParagraph"/>
        <w:ind w:left="0"/>
        <w:jc w:val="both"/>
      </w:pPr>
      <w:r w:rsidRPr="00E64932">
        <w:t>- lucrări de sapătura şi umplutură la reţeaua de canalizare pentru preluarea şi evacuarea apelor pluviale,</w:t>
      </w:r>
    </w:p>
    <w:p w:rsidR="00A76928" w:rsidRPr="00E64932" w:rsidRDefault="00A76928" w:rsidP="00A76928">
      <w:pPr>
        <w:pStyle w:val="ListParagraph"/>
        <w:ind w:left="0"/>
        <w:jc w:val="both"/>
      </w:pPr>
      <w:r w:rsidRPr="00E64932">
        <w:t>- subtraversare apeducte, prin execuţia unui foraj microtunelar;</w:t>
      </w:r>
    </w:p>
    <w:p w:rsidR="00A76928" w:rsidRPr="00E64932" w:rsidRDefault="00A76928" w:rsidP="00A76928">
      <w:pPr>
        <w:pStyle w:val="ListParagraph"/>
        <w:ind w:left="0"/>
        <w:jc w:val="both"/>
      </w:pPr>
      <w:r w:rsidRPr="00E64932">
        <w:t>- montare inclusiv racordare conductă de refulare ape pluviale.</w:t>
      </w:r>
    </w:p>
    <w:p w:rsidR="00A76928" w:rsidRPr="00E64932" w:rsidRDefault="00A76928" w:rsidP="00A76928">
      <w:pPr>
        <w:pStyle w:val="ListParagraph"/>
        <w:ind w:left="0" w:firstLine="720"/>
        <w:jc w:val="both"/>
      </w:pPr>
      <w:r w:rsidRPr="00E64932">
        <w:t>Valoarea lucrărilor realizate în anul 2018 a fost de 853.845,73 lei fără T.V.A.</w:t>
      </w:r>
    </w:p>
    <w:p w:rsidR="00A76928" w:rsidRPr="00E64932" w:rsidRDefault="00A76928" w:rsidP="00A76928">
      <w:pPr>
        <w:pStyle w:val="ListParagraph"/>
        <w:ind w:left="0"/>
        <w:jc w:val="both"/>
        <w:rPr>
          <w:b/>
        </w:rPr>
      </w:pPr>
      <w:r w:rsidRPr="00E64932">
        <w:rPr>
          <w:b/>
        </w:rPr>
        <w:t xml:space="preserve">   ● „Reabilitare sistem rutier şi realizare reţele edilitare pentru 68 de străzi din Municipiul București”</w:t>
      </w:r>
      <w:r w:rsidRPr="00E64932">
        <w:rPr>
          <w:b/>
        </w:rPr>
        <w:tab/>
      </w:r>
    </w:p>
    <w:p w:rsidR="00A76928" w:rsidRPr="00E64932" w:rsidRDefault="00A76928" w:rsidP="00A76928">
      <w:pPr>
        <w:pStyle w:val="ListParagraph"/>
        <w:ind w:left="0" w:firstLine="720"/>
        <w:jc w:val="both"/>
      </w:pPr>
      <w:r w:rsidRPr="00E64932">
        <w:t>Au fost aprobaţi indicatorii tehnico-economici pentru obiectivele de investiţii</w:t>
      </w:r>
      <w:r w:rsidRPr="00E64932">
        <w:rPr>
          <w:b/>
        </w:rPr>
        <w:t xml:space="preserve"> </w:t>
      </w:r>
      <w:r w:rsidRPr="00E64932">
        <w:t>„Reabilitare sistem rutier şi realizare reţele edilitare pentru 68 de străzi din Municipiul Bucuresti” şi au fost încheiate contracte de execuţie pentru un număr de 22 artere în valoare de 48.619.335,52 lei fără T.V.A .</w:t>
      </w:r>
    </w:p>
    <w:p w:rsidR="00A76928" w:rsidRPr="00E64932" w:rsidRDefault="00A76928" w:rsidP="00A76928">
      <w:pPr>
        <w:pStyle w:val="ListParagraph"/>
        <w:ind w:left="0" w:firstLine="720"/>
        <w:jc w:val="both"/>
      </w:pPr>
      <w:r w:rsidRPr="00E64932">
        <w:t>În anul 2018, s-au realizat proiectele tehnice şi detaliile de execuţie pentru lucrări de drum inclusiv protecţia mediului şi pentru lucrări edilitare în valoare de 1.175.424,23 lei fără TVA.</w:t>
      </w:r>
    </w:p>
    <w:p w:rsidR="00A76928" w:rsidRPr="00E64932" w:rsidRDefault="00A76928" w:rsidP="00A76928">
      <w:pPr>
        <w:pStyle w:val="ListParagraph"/>
        <w:ind w:left="0"/>
        <w:jc w:val="both"/>
      </w:pPr>
    </w:p>
    <w:p w:rsidR="00A76928" w:rsidRPr="00E64932" w:rsidRDefault="00A76928" w:rsidP="00A76928">
      <w:pPr>
        <w:pStyle w:val="ListParagraph"/>
        <w:ind w:left="0"/>
        <w:jc w:val="both"/>
        <w:rPr>
          <w:b/>
        </w:rPr>
      </w:pPr>
      <w:r w:rsidRPr="00E64932">
        <w:rPr>
          <w:b/>
          <w:color w:val="000000"/>
        </w:rPr>
        <w:t xml:space="preserve">► </w:t>
      </w:r>
      <w:r w:rsidRPr="00E64932">
        <w:rPr>
          <w:b/>
        </w:rPr>
        <w:t>Expertize Tehnice, D.A.L.I.</w:t>
      </w:r>
    </w:p>
    <w:p w:rsidR="00A76928" w:rsidRPr="00E64932" w:rsidRDefault="00A76928" w:rsidP="00A76928">
      <w:pPr>
        <w:pStyle w:val="ListParagraph"/>
        <w:ind w:left="0"/>
        <w:jc w:val="both"/>
      </w:pPr>
      <w:r w:rsidRPr="00E64932">
        <w:rPr>
          <w:b/>
        </w:rPr>
        <w:t xml:space="preserve">   ● Servicii de expertiză tehnică privind delimitarea ampriză linie de tramvai faţă de traficul auto general prin montarea de panouri separatoare</w:t>
      </w:r>
    </w:p>
    <w:p w:rsidR="00A76928" w:rsidRPr="00E64932" w:rsidRDefault="00A76928" w:rsidP="00A76928">
      <w:pPr>
        <w:pStyle w:val="ListParagraph"/>
        <w:ind w:left="0" w:firstLine="720"/>
        <w:jc w:val="both"/>
      </w:pPr>
      <w:r w:rsidRPr="00E64932">
        <w:t>S-au elaborat servicii de expertizare în valoare de 38.675,00 lei fara TVA, în zonele :</w:t>
      </w:r>
    </w:p>
    <w:p w:rsidR="00A76928" w:rsidRPr="00E64932" w:rsidRDefault="00A76928" w:rsidP="00980D72">
      <w:pPr>
        <w:pStyle w:val="ListParagraph"/>
        <w:numPr>
          <w:ilvl w:val="0"/>
          <w:numId w:val="34"/>
        </w:numPr>
        <w:tabs>
          <w:tab w:val="left" w:pos="270"/>
        </w:tabs>
        <w:ind w:left="-142" w:firstLine="142"/>
        <w:contextualSpacing w:val="0"/>
        <w:jc w:val="both"/>
      </w:pPr>
      <w:r w:rsidRPr="00E64932">
        <w:t>Linie tramvai 10</w:t>
      </w:r>
    </w:p>
    <w:p w:rsidR="00A76928" w:rsidRPr="00E64932" w:rsidRDefault="00A76928" w:rsidP="00980D72">
      <w:pPr>
        <w:pStyle w:val="ListParagraph"/>
        <w:numPr>
          <w:ilvl w:val="0"/>
          <w:numId w:val="34"/>
        </w:numPr>
        <w:tabs>
          <w:tab w:val="left" w:pos="270"/>
        </w:tabs>
        <w:ind w:left="-142" w:firstLine="142"/>
        <w:contextualSpacing w:val="0"/>
        <w:jc w:val="both"/>
      </w:pPr>
      <w:r w:rsidRPr="00E64932">
        <w:t>Linie tramvai 16</w:t>
      </w:r>
    </w:p>
    <w:p w:rsidR="00A76928" w:rsidRPr="00E64932" w:rsidRDefault="00A76928" w:rsidP="00980D72">
      <w:pPr>
        <w:pStyle w:val="ListParagraph"/>
        <w:numPr>
          <w:ilvl w:val="0"/>
          <w:numId w:val="34"/>
        </w:numPr>
        <w:tabs>
          <w:tab w:val="left" w:pos="270"/>
        </w:tabs>
        <w:ind w:left="0" w:firstLine="0"/>
        <w:contextualSpacing w:val="0"/>
        <w:jc w:val="both"/>
      </w:pPr>
      <w:r w:rsidRPr="00E64932">
        <w:t>Linie tramvai 32</w:t>
      </w:r>
    </w:p>
    <w:p w:rsidR="00A76928" w:rsidRPr="00E64932" w:rsidRDefault="00A76928" w:rsidP="00A76928">
      <w:pPr>
        <w:pStyle w:val="ListParagraph"/>
        <w:ind w:left="0"/>
        <w:jc w:val="both"/>
      </w:pPr>
      <w:r w:rsidRPr="00E64932">
        <w:rPr>
          <w:b/>
        </w:rPr>
        <w:t xml:space="preserve">   ● Servicii de  expertiză tehnică şi DALI Str. Lipscani</w:t>
      </w:r>
    </w:p>
    <w:p w:rsidR="00A76928" w:rsidRPr="00E64932" w:rsidRDefault="00A76928" w:rsidP="00A76928">
      <w:pPr>
        <w:pStyle w:val="ListParagraph"/>
        <w:ind w:left="0"/>
        <w:jc w:val="both"/>
      </w:pPr>
      <w:r w:rsidRPr="00E64932">
        <w:tab/>
        <w:t>S-a elaborat E.T. și DALI pentru tronsonul cuprins între Str. Smârdan şi Str. Eugeniu Carada in valoare de 17.879,24 lei fără TVA.</w:t>
      </w:r>
    </w:p>
    <w:p w:rsidR="00A76928" w:rsidRPr="00E64932" w:rsidRDefault="00A76928" w:rsidP="00A76928">
      <w:pPr>
        <w:pStyle w:val="ListParagraph"/>
        <w:ind w:left="0"/>
        <w:jc w:val="both"/>
        <w:rPr>
          <w:b/>
        </w:rPr>
      </w:pPr>
      <w:r w:rsidRPr="00E64932">
        <w:rPr>
          <w:b/>
        </w:rPr>
        <w:lastRenderedPageBreak/>
        <w:t xml:space="preserve">   ● Lucrări de măsuratori topografice privind delimitarea ampriza de tramvai 16 faţă de traficul auto general prin montarea de panouri separatoare</w:t>
      </w:r>
    </w:p>
    <w:p w:rsidR="00A76928" w:rsidRPr="00E64932" w:rsidRDefault="00A76928" w:rsidP="00A76928">
      <w:pPr>
        <w:pStyle w:val="ListParagraph"/>
        <w:ind w:left="0" w:firstLine="720"/>
        <w:jc w:val="both"/>
      </w:pPr>
      <w:r w:rsidRPr="00E64932">
        <w:t>S-au efectuat servicii de masuratori în valoare de 6.983,60 lei fără TVA.</w:t>
      </w:r>
    </w:p>
    <w:p w:rsidR="00A76928" w:rsidRPr="00E64932" w:rsidRDefault="00A76928" w:rsidP="00A76928">
      <w:pPr>
        <w:pStyle w:val="ListParagraph"/>
        <w:ind w:left="0" w:firstLine="720"/>
        <w:jc w:val="both"/>
      </w:pPr>
    </w:p>
    <w:p w:rsidR="00A76928" w:rsidRPr="00E64932" w:rsidRDefault="00A76928" w:rsidP="00A76928">
      <w:pPr>
        <w:pStyle w:val="ListParagraph"/>
        <w:ind w:left="0"/>
        <w:jc w:val="both"/>
        <w:rPr>
          <w:b/>
        </w:rPr>
      </w:pPr>
      <w:r w:rsidRPr="00E64932">
        <w:rPr>
          <w:b/>
          <w:color w:val="000000"/>
        </w:rPr>
        <w:t xml:space="preserve">► </w:t>
      </w:r>
      <w:r w:rsidRPr="00E64932">
        <w:rPr>
          <w:b/>
        </w:rPr>
        <w:t>Lucrări de reparaţii drumuri aferente reţelei stradale din Municipiul Bucureşti</w:t>
      </w:r>
    </w:p>
    <w:p w:rsidR="00A76928" w:rsidRPr="00E64932" w:rsidRDefault="00A76928" w:rsidP="00A76928">
      <w:pPr>
        <w:pStyle w:val="ListParagraph"/>
        <w:ind w:left="0" w:firstLine="720"/>
        <w:contextualSpacing w:val="0"/>
        <w:jc w:val="both"/>
      </w:pPr>
      <w:r w:rsidRPr="00E64932">
        <w:t>S-au realizat lucrări de reparaţii cu mixtură asfaltică în 2 straturi BA16 de 4 cm și BA20 5 cm inclusiv frezare şi lucrări de ridicare la cotă cămine de vizitare pe 82 de obiective</w:t>
      </w:r>
    </w:p>
    <w:p w:rsidR="00A76928" w:rsidRPr="00E64932" w:rsidRDefault="00A76928" w:rsidP="00A76928">
      <w:pPr>
        <w:pStyle w:val="ListParagraph"/>
        <w:ind w:left="0" w:firstLine="720"/>
        <w:jc w:val="both"/>
      </w:pPr>
      <w:r w:rsidRPr="00E64932">
        <w:t>Valoarea lucrărilor de reparaţii realizate în anul 2018 a fost de 48.118.548,86 lei fără T.V.A.</w:t>
      </w:r>
    </w:p>
    <w:p w:rsidR="00A76928" w:rsidRPr="00E64932" w:rsidRDefault="00A76928" w:rsidP="00A76928">
      <w:pPr>
        <w:pStyle w:val="ListParagraph"/>
        <w:ind w:left="0"/>
        <w:jc w:val="both"/>
        <w:rPr>
          <w:b/>
        </w:rPr>
      </w:pPr>
    </w:p>
    <w:p w:rsidR="00A76928" w:rsidRPr="00E64932" w:rsidRDefault="00A76928" w:rsidP="00A76928">
      <w:pPr>
        <w:pStyle w:val="ListParagraph"/>
        <w:ind w:left="0"/>
        <w:jc w:val="both"/>
        <w:rPr>
          <w:b/>
        </w:rPr>
      </w:pPr>
      <w:r w:rsidRPr="00E64932">
        <w:rPr>
          <w:b/>
          <w:color w:val="000000"/>
        </w:rPr>
        <w:t xml:space="preserve">► </w:t>
      </w:r>
      <w:r w:rsidRPr="00E64932">
        <w:rPr>
          <w:b/>
        </w:rPr>
        <w:t>Poduri și pasaje - Proiectare și execuție lucrări de modernizare și consolidare</w:t>
      </w:r>
    </w:p>
    <w:p w:rsidR="007218B3" w:rsidRDefault="00A76928" w:rsidP="00A76928">
      <w:pPr>
        <w:pStyle w:val="ListParagraph"/>
        <w:ind w:left="0"/>
        <w:jc w:val="both"/>
        <w:rPr>
          <w:b/>
        </w:rPr>
      </w:pPr>
      <w:r w:rsidRPr="00E64932">
        <w:rPr>
          <w:b/>
        </w:rPr>
        <w:t xml:space="preserve">   ● Pod Mihai Bravu </w:t>
      </w:r>
      <w:r w:rsidRPr="00E64932">
        <w:rPr>
          <w:b/>
        </w:rPr>
        <w:tab/>
      </w:r>
      <w:r w:rsidRPr="00E64932">
        <w:rPr>
          <w:b/>
        </w:rPr>
        <w:tab/>
      </w:r>
      <w:r w:rsidRPr="00E64932">
        <w:rPr>
          <w:b/>
        </w:rPr>
        <w:tab/>
      </w:r>
      <w:r w:rsidRPr="00E64932">
        <w:rPr>
          <w:b/>
        </w:rPr>
        <w:tab/>
      </w:r>
      <w:r w:rsidRPr="00E64932">
        <w:rPr>
          <w:b/>
        </w:rPr>
        <w:tab/>
      </w:r>
      <w:r w:rsidRPr="00E64932">
        <w:rPr>
          <w:b/>
        </w:rPr>
        <w:tab/>
      </w:r>
      <w:r w:rsidRPr="00E64932">
        <w:rPr>
          <w:b/>
        </w:rPr>
        <w:tab/>
      </w:r>
      <w:r w:rsidRPr="00E64932">
        <w:rPr>
          <w:b/>
        </w:rPr>
        <w:tab/>
      </w:r>
      <w:r w:rsidRPr="00E64932">
        <w:rPr>
          <w:b/>
        </w:rPr>
        <w:tab/>
      </w:r>
      <w:r w:rsidRPr="00E64932">
        <w:rPr>
          <w:b/>
        </w:rPr>
        <w:tab/>
      </w:r>
    </w:p>
    <w:p w:rsidR="00A76928" w:rsidRPr="00E64932" w:rsidRDefault="007218B3" w:rsidP="00A76928">
      <w:pPr>
        <w:pStyle w:val="ListParagraph"/>
        <w:ind w:left="0"/>
        <w:jc w:val="both"/>
      </w:pPr>
      <w:r>
        <w:rPr>
          <w:b/>
        </w:rPr>
        <w:tab/>
      </w:r>
      <w:r w:rsidR="00A76928" w:rsidRPr="00E64932">
        <w:t>Lucrări contractate în anul 2017. Contractul prevede executarea lucrărilor de modernizare și consolidare ale podului. Având în vedere că studiul privind îmbunătățirea în zonă a traficului rutier și pietonal, pentru circulația rutieră, a propus supralărgirea podului existent, implicit consolidarea acestuia, în timp ce pentru asigurarea unui trafic pietonal sigur, cât și pentru asigurarea unor piste destinate bicicliștilor, s-au montat două pasarele pietonale, în stânga și dreapta podului rutier.</w:t>
      </w:r>
    </w:p>
    <w:p w:rsidR="00A76928" w:rsidRPr="00E64932" w:rsidRDefault="00A76928" w:rsidP="00A76928">
      <w:pPr>
        <w:pStyle w:val="ListParagraph"/>
        <w:ind w:left="0" w:firstLine="720"/>
        <w:jc w:val="both"/>
      </w:pPr>
      <w:r w:rsidRPr="00E64932">
        <w:t>Pe parcursul anului 2018, din contract s-au realizat lucrări în valoare de 5.766.250 lei (inclusiv TVA).</w:t>
      </w:r>
    </w:p>
    <w:p w:rsidR="00A76928" w:rsidRPr="00E64932" w:rsidRDefault="00A76928" w:rsidP="00A76928">
      <w:pPr>
        <w:pStyle w:val="ListParagraph"/>
        <w:ind w:left="0"/>
        <w:jc w:val="both"/>
      </w:pPr>
      <w:r w:rsidRPr="00E64932">
        <w:rPr>
          <w:b/>
        </w:rPr>
        <w:t xml:space="preserve">   ● Podul Străulești peste lacul Grivița la ieșirea din Bucureștii Noi pe DN1A (șoseaua București-Târgoviște)</w:t>
      </w:r>
      <w:r w:rsidRPr="00E64932">
        <w:rPr>
          <w:b/>
        </w:rPr>
        <w:tab/>
      </w:r>
      <w:r w:rsidRPr="00E64932">
        <w:rPr>
          <w:b/>
        </w:rPr>
        <w:tab/>
      </w:r>
      <w:r w:rsidRPr="00E64932">
        <w:rPr>
          <w:b/>
        </w:rPr>
        <w:tab/>
      </w:r>
      <w:r w:rsidRPr="00E64932">
        <w:rPr>
          <w:b/>
        </w:rPr>
        <w:tab/>
      </w:r>
      <w:r w:rsidRPr="00E64932">
        <w:rPr>
          <w:b/>
        </w:rPr>
        <w:tab/>
      </w:r>
      <w:r w:rsidRPr="00E64932">
        <w:rPr>
          <w:b/>
        </w:rPr>
        <w:tab/>
      </w:r>
      <w:r w:rsidRPr="00E64932">
        <w:rPr>
          <w:b/>
        </w:rPr>
        <w:tab/>
      </w:r>
      <w:r w:rsidRPr="00E64932">
        <w:rPr>
          <w:b/>
        </w:rPr>
        <w:tab/>
      </w:r>
      <w:r w:rsidRPr="00E64932">
        <w:rPr>
          <w:b/>
        </w:rPr>
        <w:tab/>
      </w:r>
      <w:r w:rsidRPr="00E64932">
        <w:rPr>
          <w:b/>
        </w:rPr>
        <w:tab/>
      </w:r>
      <w:r w:rsidRPr="00E64932">
        <w:t>Având în vedere situația apărută și anume răsturnarea părții superioare a zidului întors amonte – mal stâng, răsturnare care a antrenat și umpluturile de sub trotuar și parțial de sub prima bandă de circulație, situație ce punea în pericol atât circulația pietonilor, cât și pe cea rutieră, existând riscul ca fenomenul de alunecare a umpluturilor din rampă să se agraveze din cauza precipitațiilor cuplate cu posibilitatea trecerii pe prima bandă a unor camioane grele, Administrația Străzilor a contractat realizarea expertizei tehnice necesare întocmirii proiectului tehnic, în baza căruia urmând a se realiza consolidarea/reabilitarea podului. Investiția totală (Expertiză tehnică + Proiect tehnic și de detalii de execuție + Asistența tehnică din partea proiectantului + Proiectul tehnic necesar realizării construcțiilor pentru devierea utilităților + Execuția lucrărilor acestor construcții pe care se vor devia utilitățile) este de 2.483.103 lei (inclusiv TVA).</w:t>
      </w:r>
    </w:p>
    <w:p w:rsidR="00A76928" w:rsidRPr="00E64932" w:rsidRDefault="00A76928" w:rsidP="00A76928">
      <w:pPr>
        <w:pStyle w:val="ListParagraph"/>
        <w:ind w:left="0" w:firstLine="720"/>
        <w:jc w:val="both"/>
      </w:pPr>
      <w:r w:rsidRPr="00E64932">
        <w:t>Pe parcursul anului 2018, s-a realizat partea de documentații în valoare de 85085 lei (inclusiv TVA) și lucrări în valoare de 140.276,82 lei (inclusiv TVA).</w:t>
      </w:r>
    </w:p>
    <w:p w:rsidR="00A76928" w:rsidRPr="00E64932" w:rsidRDefault="00A76928" w:rsidP="00A76928">
      <w:pPr>
        <w:pStyle w:val="ListParagraph"/>
        <w:ind w:left="0"/>
        <w:jc w:val="both"/>
        <w:rPr>
          <w:b/>
        </w:rPr>
      </w:pPr>
    </w:p>
    <w:p w:rsidR="00A76928" w:rsidRPr="00E64932" w:rsidRDefault="00A76928" w:rsidP="00A76928">
      <w:pPr>
        <w:pStyle w:val="ListParagraph"/>
        <w:ind w:left="-142" w:firstLine="142"/>
        <w:jc w:val="both"/>
        <w:rPr>
          <w:b/>
        </w:rPr>
      </w:pPr>
      <w:r w:rsidRPr="00E64932">
        <w:rPr>
          <w:b/>
          <w:color w:val="000000"/>
        </w:rPr>
        <w:t xml:space="preserve">► </w:t>
      </w:r>
      <w:r w:rsidRPr="00E64932">
        <w:rPr>
          <w:b/>
        </w:rPr>
        <w:t xml:space="preserve">Reparaţii poduri şi pasaje </w:t>
      </w:r>
    </w:p>
    <w:p w:rsidR="00A76928" w:rsidRPr="00E64932" w:rsidRDefault="00A76928" w:rsidP="00A76928">
      <w:pPr>
        <w:pStyle w:val="ListParagraph"/>
        <w:tabs>
          <w:tab w:val="left" w:pos="0"/>
        </w:tabs>
        <w:ind w:left="0"/>
        <w:jc w:val="both"/>
        <w:rPr>
          <w:b/>
        </w:rPr>
      </w:pPr>
      <w:r w:rsidRPr="00E64932">
        <w:rPr>
          <w:b/>
        </w:rPr>
        <w:t xml:space="preserve">   ● Pasajele Fundeni, Podul Grant, Unirii și podurile Operă, Eroilor, Timpuri Noi, Ciurel și Insulă</w:t>
      </w:r>
    </w:p>
    <w:p w:rsidR="00A76928" w:rsidRPr="00E64932" w:rsidRDefault="00A76928" w:rsidP="00A76928">
      <w:pPr>
        <w:pStyle w:val="ListParagraph"/>
        <w:tabs>
          <w:tab w:val="left" w:pos="0"/>
        </w:tabs>
        <w:ind w:left="0"/>
        <w:jc w:val="both"/>
      </w:pPr>
      <w:r w:rsidRPr="00E64932">
        <w:tab/>
        <w:t>S-au reactualizat expertizele tehnice pentru unele dintre podurile și pasajele aflate în administrare, respectiv pentru cele care necesitau acest lucru. În funcție de rezultatul dat de aceste expertize tehnice au fost realizate Documentațiile de Avizare Lucrări de Intervenție pentru mai multe poduri și pasaje.</w:t>
      </w:r>
    </w:p>
    <w:p w:rsidR="00A76928" w:rsidRPr="00E64932" w:rsidRDefault="00A76928" w:rsidP="00A76928">
      <w:pPr>
        <w:pStyle w:val="ListParagraph"/>
        <w:tabs>
          <w:tab w:val="left" w:pos="0"/>
        </w:tabs>
        <w:ind w:left="0"/>
        <w:jc w:val="both"/>
      </w:pPr>
      <w:r w:rsidRPr="00E64932">
        <w:tab/>
        <w:t>Pentru cele două pasaje și cinci poduri, sunt recomandate lucrări de reabilitare/consolidare</w:t>
      </w:r>
    </w:p>
    <w:p w:rsidR="00A76928" w:rsidRPr="00E64932" w:rsidRDefault="00A76928" w:rsidP="00A76928">
      <w:pPr>
        <w:pStyle w:val="ListParagraph"/>
        <w:tabs>
          <w:tab w:val="left" w:pos="0"/>
        </w:tabs>
        <w:ind w:left="0"/>
        <w:jc w:val="both"/>
        <w:rPr>
          <w:b/>
        </w:rPr>
      </w:pPr>
      <w:r w:rsidRPr="00E64932">
        <w:tab/>
        <w:t>Pe baza expertizelor tehnice și a documentațiilor de avizare lucrări de intervenție, s-a procedat la demersurile necesare obținerii certificatelor de urbanism și realizarea documentelor necesare aprobării indicatorilor tehnico-economici. Valoarea acestor documentații de avizare lucrări de intervenție este de 743.880,90 + 127.631,07 = 871.511,97 lei (inclusiv TVA), din care s-au realizat documentații în valoare de 454.988,17 lei (inclusiv TVA)</w:t>
      </w:r>
    </w:p>
    <w:p w:rsidR="00A76928" w:rsidRPr="00E64932" w:rsidRDefault="00A76928" w:rsidP="00A76928">
      <w:pPr>
        <w:pStyle w:val="ListParagraph"/>
        <w:ind w:left="0"/>
        <w:jc w:val="both"/>
        <w:rPr>
          <w:b/>
        </w:rPr>
      </w:pPr>
      <w:r w:rsidRPr="00E64932">
        <w:rPr>
          <w:b/>
        </w:rPr>
        <w:t xml:space="preserve">   ● Pasajului Lujerului</w:t>
      </w:r>
    </w:p>
    <w:p w:rsidR="00A9063F" w:rsidRDefault="00A76928" w:rsidP="00A76928">
      <w:pPr>
        <w:pStyle w:val="ListParagraph"/>
        <w:ind w:left="0" w:firstLine="720"/>
        <w:jc w:val="both"/>
        <w:rPr>
          <w:rFonts w:eastAsia="MS Mincho"/>
          <w:b/>
          <w:lang w:val="en-US" w:eastAsia="en-US"/>
        </w:rPr>
      </w:pPr>
      <w:r w:rsidRPr="00E64932">
        <w:t xml:space="preserve">Date fiind distrugerile din pasaj provocate în timp, fie ca urmare a unor accidente rutiere, fie cauzate de diverse persoane care se adăposteau în tunelul CF și date fiind nenumăratele plângeri din partea cetățenilor capitalei, la nivelul conducerii Administrației s-a luat decizia refacerii finisajelor distruse. Reparațiile și înlocuirile realizate la panourile tip alucobond, cât și la cele de granit au avut ca </w:t>
      </w:r>
      <w:r w:rsidRPr="00E64932">
        <w:lastRenderedPageBreak/>
        <w:t>scop redarea aspectului arhitectonic al pasajului. Valoarea lucrărilor de reparații realizate este de 604.733,18 lei incl. TVA.</w:t>
      </w:r>
      <w:r w:rsidR="00F16603" w:rsidRPr="00EC2456">
        <w:rPr>
          <w:rFonts w:eastAsia="MS Mincho"/>
          <w:b/>
          <w:lang w:val="en-US" w:eastAsia="en-US"/>
        </w:rPr>
        <w:tab/>
      </w:r>
    </w:p>
    <w:p w:rsidR="00474FAB" w:rsidRPr="00A76928" w:rsidRDefault="00474FAB" w:rsidP="00A76928">
      <w:pPr>
        <w:pStyle w:val="ListParagraph"/>
        <w:ind w:left="0" w:firstLine="720"/>
        <w:jc w:val="both"/>
        <w:rPr>
          <w:u w:val="single"/>
        </w:rPr>
      </w:pPr>
    </w:p>
    <w:p w:rsidR="005C57E2" w:rsidRDefault="005C57E2" w:rsidP="00A77970">
      <w:pPr>
        <w:pStyle w:val="ListParagraph"/>
        <w:numPr>
          <w:ilvl w:val="0"/>
          <w:numId w:val="3"/>
        </w:numPr>
        <w:jc w:val="both"/>
      </w:pPr>
      <w:r w:rsidRPr="00756F46">
        <w:t>Locuințe</w:t>
      </w:r>
    </w:p>
    <w:p w:rsidR="007E3897" w:rsidRPr="00A36205" w:rsidRDefault="007E3897" w:rsidP="00A77970">
      <w:pPr>
        <w:jc w:val="both"/>
      </w:pPr>
    </w:p>
    <w:p w:rsidR="007E3897" w:rsidRPr="00474FAB" w:rsidRDefault="0007403D" w:rsidP="00A77970">
      <w:pPr>
        <w:ind w:firstLine="709"/>
        <w:jc w:val="both"/>
        <w:outlineLvl w:val="1"/>
        <w:rPr>
          <w:b/>
          <w:kern w:val="28"/>
          <w:lang w:eastAsia="en-US"/>
        </w:rPr>
      </w:pPr>
      <w:r w:rsidRPr="00474FAB">
        <w:rPr>
          <w:kern w:val="28"/>
          <w:lang w:eastAsia="en-US"/>
        </w:rPr>
        <w:t>Conform datelor furnizate de către Direcția Regională de Statistică a Municipiului București</w:t>
      </w:r>
      <w:r w:rsidRPr="00474FAB">
        <w:rPr>
          <w:b/>
          <w:kern w:val="28"/>
          <w:lang w:eastAsia="en-US"/>
        </w:rPr>
        <w:t>, situația locuinţelor terminate la nivelul Capitalei se prezintă astfel:</w:t>
      </w:r>
    </w:p>
    <w:p w:rsidR="00620E03" w:rsidRPr="00474FAB" w:rsidRDefault="00F13A9B" w:rsidP="00A77970">
      <w:pPr>
        <w:ind w:left="1069"/>
        <w:jc w:val="right"/>
        <w:outlineLvl w:val="1"/>
        <w:rPr>
          <w:i/>
          <w:kern w:val="28"/>
          <w:lang w:eastAsia="en-US"/>
        </w:rPr>
      </w:pPr>
      <w:r w:rsidRPr="00474FAB">
        <w:rPr>
          <w:i/>
          <w:kern w:val="28"/>
          <w:lang w:eastAsia="en-US"/>
        </w:rPr>
        <w:t xml:space="preserve">- </w:t>
      </w:r>
      <w:r w:rsidR="00620E03" w:rsidRPr="00474FAB">
        <w:rPr>
          <w:i/>
          <w:kern w:val="28"/>
          <w:lang w:eastAsia="en-US"/>
        </w:rPr>
        <w:t>număr -</w:t>
      </w: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255"/>
        <w:gridCol w:w="1080"/>
        <w:gridCol w:w="1080"/>
        <w:gridCol w:w="1186"/>
        <w:gridCol w:w="1186"/>
        <w:gridCol w:w="1164"/>
        <w:gridCol w:w="1164"/>
        <w:gridCol w:w="1165"/>
      </w:tblGrid>
      <w:tr w:rsidR="007E3897" w:rsidRPr="00474FAB" w:rsidTr="00620E03">
        <w:trPr>
          <w:cantSplit/>
          <w:trHeight w:val="272"/>
          <w:jc w:val="center"/>
        </w:trPr>
        <w:tc>
          <w:tcPr>
            <w:tcW w:w="2255" w:type="dxa"/>
            <w:vMerge w:val="restart"/>
            <w:tcBorders>
              <w:top w:val="single" w:sz="4" w:space="0" w:color="auto"/>
            </w:tcBorders>
            <w:shd w:val="clear" w:color="auto" w:fill="auto"/>
            <w:vAlign w:val="center"/>
          </w:tcPr>
          <w:p w:rsidR="007E3897" w:rsidRPr="00474FAB" w:rsidRDefault="007E3897" w:rsidP="00A77970">
            <w:pPr>
              <w:jc w:val="center"/>
              <w:rPr>
                <w:rFonts w:eastAsia="Arial Unicode MS"/>
                <w:kern w:val="28"/>
                <w:lang w:eastAsia="en-US"/>
              </w:rPr>
            </w:pPr>
          </w:p>
        </w:tc>
        <w:tc>
          <w:tcPr>
            <w:tcW w:w="8025" w:type="dxa"/>
            <w:gridSpan w:val="7"/>
            <w:tcBorders>
              <w:top w:val="single" w:sz="4" w:space="0" w:color="auto"/>
            </w:tcBorders>
            <w:shd w:val="clear" w:color="auto" w:fill="auto"/>
            <w:vAlign w:val="center"/>
          </w:tcPr>
          <w:p w:rsidR="007E3897" w:rsidRPr="00474FAB" w:rsidRDefault="007E3897" w:rsidP="00A77970">
            <w:pPr>
              <w:jc w:val="center"/>
              <w:rPr>
                <w:rFonts w:eastAsia="Arial Unicode MS"/>
                <w:b/>
                <w:kern w:val="28"/>
                <w:lang w:eastAsia="en-US"/>
              </w:rPr>
            </w:pPr>
            <w:r w:rsidRPr="00474FAB">
              <w:rPr>
                <w:b/>
                <w:kern w:val="28"/>
                <w:lang w:eastAsia="en-US"/>
              </w:rPr>
              <w:t>Locuinţe terminate</w:t>
            </w:r>
          </w:p>
        </w:tc>
      </w:tr>
      <w:tr w:rsidR="007E3897" w:rsidRPr="00474FAB" w:rsidTr="00620E03">
        <w:trPr>
          <w:cantSplit/>
          <w:trHeight w:val="176"/>
          <w:jc w:val="center"/>
        </w:trPr>
        <w:tc>
          <w:tcPr>
            <w:tcW w:w="2255" w:type="dxa"/>
            <w:vMerge/>
            <w:shd w:val="clear" w:color="auto" w:fill="auto"/>
            <w:vAlign w:val="center"/>
          </w:tcPr>
          <w:p w:rsidR="007E3897" w:rsidRPr="00474FAB" w:rsidRDefault="007E3897" w:rsidP="00A77970">
            <w:pPr>
              <w:jc w:val="center"/>
              <w:rPr>
                <w:rFonts w:eastAsia="Arial Unicode MS"/>
                <w:kern w:val="28"/>
                <w:lang w:eastAsia="en-US"/>
              </w:rPr>
            </w:pPr>
          </w:p>
        </w:tc>
        <w:tc>
          <w:tcPr>
            <w:tcW w:w="1080" w:type="dxa"/>
            <w:vMerge w:val="restart"/>
            <w:shd w:val="clear" w:color="auto" w:fill="auto"/>
            <w:vAlign w:val="center"/>
          </w:tcPr>
          <w:p w:rsidR="007E3897" w:rsidRPr="00474FAB" w:rsidRDefault="007E3897" w:rsidP="00474FAB">
            <w:pPr>
              <w:jc w:val="center"/>
              <w:rPr>
                <w:rFonts w:eastAsia="Arial Unicode MS"/>
                <w:kern w:val="28"/>
                <w:vertAlign w:val="superscript"/>
                <w:lang w:eastAsia="en-US"/>
              </w:rPr>
            </w:pPr>
            <w:r w:rsidRPr="00474FAB">
              <w:rPr>
                <w:kern w:val="28"/>
                <w:lang w:eastAsia="en-US"/>
              </w:rPr>
              <w:t>Anul 201</w:t>
            </w:r>
            <w:r w:rsidR="00474FAB" w:rsidRPr="00474FAB">
              <w:rPr>
                <w:kern w:val="28"/>
                <w:lang w:eastAsia="en-US"/>
              </w:rPr>
              <w:t>4</w:t>
            </w:r>
          </w:p>
        </w:tc>
        <w:tc>
          <w:tcPr>
            <w:tcW w:w="1080" w:type="dxa"/>
            <w:vMerge w:val="restart"/>
            <w:shd w:val="clear" w:color="auto" w:fill="auto"/>
            <w:vAlign w:val="center"/>
          </w:tcPr>
          <w:p w:rsidR="007E3897" w:rsidRPr="00474FAB" w:rsidRDefault="007E3897" w:rsidP="00474FAB">
            <w:pPr>
              <w:jc w:val="center"/>
              <w:rPr>
                <w:rFonts w:eastAsia="Arial Unicode MS"/>
                <w:kern w:val="28"/>
                <w:vertAlign w:val="superscript"/>
                <w:lang w:eastAsia="en-US"/>
              </w:rPr>
            </w:pPr>
            <w:r w:rsidRPr="00474FAB">
              <w:rPr>
                <w:kern w:val="28"/>
                <w:lang w:eastAsia="en-US"/>
              </w:rPr>
              <w:t>Anul 201</w:t>
            </w:r>
            <w:r w:rsidR="00474FAB" w:rsidRPr="00474FAB">
              <w:rPr>
                <w:kern w:val="28"/>
                <w:lang w:eastAsia="en-US"/>
              </w:rPr>
              <w:t>5</w:t>
            </w:r>
          </w:p>
        </w:tc>
        <w:tc>
          <w:tcPr>
            <w:tcW w:w="1186" w:type="dxa"/>
            <w:vMerge w:val="restart"/>
            <w:shd w:val="clear" w:color="auto" w:fill="auto"/>
            <w:vAlign w:val="center"/>
          </w:tcPr>
          <w:p w:rsidR="007E3897" w:rsidRPr="00474FAB" w:rsidRDefault="007E3897" w:rsidP="00474FAB">
            <w:pPr>
              <w:jc w:val="center"/>
              <w:rPr>
                <w:rFonts w:eastAsia="Arial Unicode MS"/>
                <w:kern w:val="28"/>
                <w:vertAlign w:val="superscript"/>
                <w:lang w:eastAsia="en-US"/>
              </w:rPr>
            </w:pPr>
            <w:r w:rsidRPr="00474FAB">
              <w:rPr>
                <w:kern w:val="28"/>
                <w:lang w:eastAsia="en-US"/>
              </w:rPr>
              <w:t>Anul 201</w:t>
            </w:r>
            <w:r w:rsidR="00474FAB" w:rsidRPr="00474FAB">
              <w:rPr>
                <w:kern w:val="28"/>
                <w:lang w:eastAsia="en-US"/>
              </w:rPr>
              <w:t>6</w:t>
            </w:r>
          </w:p>
        </w:tc>
        <w:tc>
          <w:tcPr>
            <w:tcW w:w="1186" w:type="dxa"/>
            <w:vMerge w:val="restart"/>
            <w:shd w:val="clear" w:color="auto" w:fill="auto"/>
            <w:vAlign w:val="center"/>
          </w:tcPr>
          <w:p w:rsidR="007E3897" w:rsidRPr="00474FAB" w:rsidRDefault="007E3897" w:rsidP="00474FAB">
            <w:pPr>
              <w:jc w:val="center"/>
              <w:rPr>
                <w:rFonts w:eastAsia="Arial Unicode MS"/>
                <w:kern w:val="28"/>
                <w:vertAlign w:val="superscript"/>
                <w:lang w:eastAsia="en-US"/>
              </w:rPr>
            </w:pPr>
            <w:r w:rsidRPr="00474FAB">
              <w:rPr>
                <w:kern w:val="28"/>
                <w:lang w:eastAsia="en-US"/>
              </w:rPr>
              <w:t>Anul 201</w:t>
            </w:r>
            <w:r w:rsidR="00474FAB" w:rsidRPr="00474FAB">
              <w:rPr>
                <w:kern w:val="28"/>
                <w:lang w:eastAsia="en-US"/>
              </w:rPr>
              <w:t>7</w:t>
            </w:r>
          </w:p>
        </w:tc>
        <w:tc>
          <w:tcPr>
            <w:tcW w:w="3493" w:type="dxa"/>
            <w:gridSpan w:val="3"/>
            <w:shd w:val="clear" w:color="auto" w:fill="auto"/>
            <w:vAlign w:val="bottom"/>
          </w:tcPr>
          <w:p w:rsidR="007E3897" w:rsidRPr="00474FAB" w:rsidRDefault="007E3897" w:rsidP="00474FAB">
            <w:pPr>
              <w:jc w:val="center"/>
              <w:rPr>
                <w:rFonts w:eastAsia="Arial Unicode MS"/>
                <w:kern w:val="28"/>
                <w:vertAlign w:val="superscript"/>
                <w:lang w:eastAsia="en-US"/>
              </w:rPr>
            </w:pPr>
            <w:r w:rsidRPr="00474FAB">
              <w:rPr>
                <w:kern w:val="28"/>
                <w:lang w:eastAsia="en-US"/>
              </w:rPr>
              <w:t>Anul 201</w:t>
            </w:r>
            <w:r w:rsidR="00474FAB" w:rsidRPr="00474FAB">
              <w:rPr>
                <w:kern w:val="28"/>
                <w:lang w:eastAsia="en-US"/>
              </w:rPr>
              <w:t>8</w:t>
            </w:r>
          </w:p>
        </w:tc>
      </w:tr>
      <w:tr w:rsidR="007E3897" w:rsidRPr="00474FAB" w:rsidTr="00620E03">
        <w:trPr>
          <w:cantSplit/>
          <w:trHeight w:val="297"/>
          <w:jc w:val="center"/>
        </w:trPr>
        <w:tc>
          <w:tcPr>
            <w:tcW w:w="2255" w:type="dxa"/>
            <w:vMerge/>
            <w:shd w:val="clear" w:color="auto" w:fill="auto"/>
            <w:vAlign w:val="center"/>
          </w:tcPr>
          <w:p w:rsidR="007E3897" w:rsidRPr="00474FAB" w:rsidRDefault="007E3897" w:rsidP="00A77970">
            <w:pPr>
              <w:jc w:val="center"/>
              <w:rPr>
                <w:rFonts w:eastAsia="Arial Unicode MS"/>
                <w:kern w:val="28"/>
                <w:lang w:eastAsia="en-US"/>
              </w:rPr>
            </w:pPr>
          </w:p>
        </w:tc>
        <w:tc>
          <w:tcPr>
            <w:tcW w:w="1080" w:type="dxa"/>
            <w:vMerge/>
            <w:shd w:val="clear" w:color="auto" w:fill="auto"/>
            <w:vAlign w:val="center"/>
          </w:tcPr>
          <w:p w:rsidR="007E3897" w:rsidRPr="00474FAB" w:rsidRDefault="007E3897" w:rsidP="00A77970">
            <w:pPr>
              <w:jc w:val="center"/>
              <w:rPr>
                <w:kern w:val="28"/>
                <w:lang w:eastAsia="en-US"/>
              </w:rPr>
            </w:pPr>
          </w:p>
        </w:tc>
        <w:tc>
          <w:tcPr>
            <w:tcW w:w="1080" w:type="dxa"/>
            <w:vMerge/>
            <w:shd w:val="clear" w:color="auto" w:fill="auto"/>
            <w:vAlign w:val="center"/>
          </w:tcPr>
          <w:p w:rsidR="007E3897" w:rsidRPr="00474FAB" w:rsidRDefault="007E3897" w:rsidP="00A77970">
            <w:pPr>
              <w:jc w:val="center"/>
              <w:rPr>
                <w:kern w:val="28"/>
                <w:lang w:eastAsia="en-US"/>
              </w:rPr>
            </w:pPr>
          </w:p>
        </w:tc>
        <w:tc>
          <w:tcPr>
            <w:tcW w:w="1186" w:type="dxa"/>
            <w:vMerge/>
            <w:shd w:val="clear" w:color="auto" w:fill="auto"/>
            <w:vAlign w:val="center"/>
          </w:tcPr>
          <w:p w:rsidR="007E3897" w:rsidRPr="00474FAB" w:rsidRDefault="007E3897" w:rsidP="00A77970">
            <w:pPr>
              <w:jc w:val="center"/>
              <w:rPr>
                <w:kern w:val="28"/>
                <w:lang w:eastAsia="en-US"/>
              </w:rPr>
            </w:pPr>
          </w:p>
        </w:tc>
        <w:tc>
          <w:tcPr>
            <w:tcW w:w="1186" w:type="dxa"/>
            <w:vMerge/>
            <w:shd w:val="clear" w:color="auto" w:fill="auto"/>
            <w:vAlign w:val="center"/>
          </w:tcPr>
          <w:p w:rsidR="007E3897" w:rsidRPr="00474FAB" w:rsidRDefault="007E3897" w:rsidP="00A77970">
            <w:pPr>
              <w:jc w:val="center"/>
              <w:rPr>
                <w:kern w:val="28"/>
                <w:lang w:eastAsia="en-US"/>
              </w:rPr>
            </w:pPr>
          </w:p>
        </w:tc>
        <w:tc>
          <w:tcPr>
            <w:tcW w:w="1164" w:type="dxa"/>
            <w:shd w:val="clear" w:color="auto" w:fill="auto"/>
            <w:vAlign w:val="bottom"/>
          </w:tcPr>
          <w:p w:rsidR="007E3897" w:rsidRPr="00474FAB" w:rsidRDefault="007E3897" w:rsidP="00A77970">
            <w:pPr>
              <w:jc w:val="center"/>
              <w:rPr>
                <w:kern w:val="28"/>
                <w:lang w:eastAsia="en-US"/>
              </w:rPr>
            </w:pPr>
            <w:r w:rsidRPr="00474FAB">
              <w:rPr>
                <w:kern w:val="28"/>
                <w:lang w:eastAsia="en-US"/>
              </w:rPr>
              <w:t>Trim. I</w:t>
            </w:r>
          </w:p>
        </w:tc>
        <w:tc>
          <w:tcPr>
            <w:tcW w:w="1164" w:type="dxa"/>
            <w:shd w:val="clear" w:color="auto" w:fill="auto"/>
            <w:vAlign w:val="bottom"/>
          </w:tcPr>
          <w:p w:rsidR="007E3897" w:rsidRPr="00474FAB" w:rsidRDefault="007E3897" w:rsidP="00A77970">
            <w:pPr>
              <w:jc w:val="center"/>
              <w:rPr>
                <w:kern w:val="28"/>
                <w:lang w:eastAsia="en-US"/>
              </w:rPr>
            </w:pPr>
            <w:r w:rsidRPr="00474FAB">
              <w:rPr>
                <w:kern w:val="28"/>
                <w:lang w:eastAsia="en-US"/>
              </w:rPr>
              <w:t>Trim. II</w:t>
            </w:r>
          </w:p>
        </w:tc>
        <w:tc>
          <w:tcPr>
            <w:tcW w:w="1165" w:type="dxa"/>
            <w:shd w:val="clear" w:color="auto" w:fill="auto"/>
            <w:vAlign w:val="bottom"/>
          </w:tcPr>
          <w:p w:rsidR="007E3897" w:rsidRPr="00474FAB" w:rsidRDefault="007E3897" w:rsidP="00A77970">
            <w:pPr>
              <w:jc w:val="center"/>
              <w:rPr>
                <w:kern w:val="28"/>
                <w:lang w:eastAsia="en-US"/>
              </w:rPr>
            </w:pPr>
            <w:r w:rsidRPr="00474FAB">
              <w:rPr>
                <w:kern w:val="28"/>
                <w:lang w:eastAsia="en-US"/>
              </w:rPr>
              <w:t>Trim. III</w:t>
            </w:r>
          </w:p>
        </w:tc>
      </w:tr>
      <w:tr w:rsidR="00474FAB" w:rsidRPr="00474FAB" w:rsidTr="001C2B4A">
        <w:trPr>
          <w:cantSplit/>
          <w:trHeight w:val="281"/>
          <w:jc w:val="center"/>
        </w:trPr>
        <w:tc>
          <w:tcPr>
            <w:tcW w:w="2255" w:type="dxa"/>
            <w:vAlign w:val="center"/>
          </w:tcPr>
          <w:p w:rsidR="00474FAB" w:rsidRPr="00474FAB" w:rsidRDefault="00474FAB" w:rsidP="00A77970">
            <w:pPr>
              <w:keepNext/>
              <w:outlineLvl w:val="4"/>
              <w:rPr>
                <w:rFonts w:eastAsia="Arial Unicode MS"/>
                <w:b/>
                <w:lang w:eastAsia="en-US"/>
              </w:rPr>
            </w:pPr>
            <w:r w:rsidRPr="00474FAB">
              <w:rPr>
                <w:b/>
                <w:lang w:eastAsia="en-US"/>
              </w:rPr>
              <w:t>Municipiul Bucureşti</w:t>
            </w:r>
          </w:p>
        </w:tc>
        <w:tc>
          <w:tcPr>
            <w:tcW w:w="1080" w:type="dxa"/>
            <w:vAlign w:val="center"/>
          </w:tcPr>
          <w:p w:rsidR="00474FAB" w:rsidRPr="00474FAB" w:rsidRDefault="00474FAB" w:rsidP="008A0893">
            <w:pPr>
              <w:jc w:val="center"/>
              <w:rPr>
                <w:rFonts w:eastAsia="Arial Unicode MS"/>
                <w:b/>
              </w:rPr>
            </w:pPr>
            <w:r w:rsidRPr="00474FAB">
              <w:rPr>
                <w:rFonts w:eastAsia="Arial Unicode MS"/>
                <w:b/>
              </w:rPr>
              <w:t>3324</w:t>
            </w:r>
          </w:p>
        </w:tc>
        <w:tc>
          <w:tcPr>
            <w:tcW w:w="1080" w:type="dxa"/>
            <w:shd w:val="clear" w:color="auto" w:fill="auto"/>
            <w:vAlign w:val="center"/>
          </w:tcPr>
          <w:p w:rsidR="00474FAB" w:rsidRPr="00474FAB" w:rsidRDefault="00474FAB" w:rsidP="008A0893">
            <w:pPr>
              <w:jc w:val="center"/>
              <w:rPr>
                <w:rFonts w:eastAsia="Arial Unicode MS"/>
                <w:b/>
              </w:rPr>
            </w:pPr>
            <w:r w:rsidRPr="00474FAB">
              <w:rPr>
                <w:rFonts w:eastAsia="Arial Unicode MS"/>
                <w:b/>
              </w:rPr>
              <w:t>4448</w:t>
            </w:r>
          </w:p>
        </w:tc>
        <w:tc>
          <w:tcPr>
            <w:tcW w:w="1186" w:type="dxa"/>
            <w:shd w:val="clear" w:color="auto" w:fill="auto"/>
            <w:vAlign w:val="center"/>
          </w:tcPr>
          <w:p w:rsidR="00474FAB" w:rsidRPr="00474FAB" w:rsidRDefault="00474FAB" w:rsidP="008A0893">
            <w:pPr>
              <w:jc w:val="center"/>
              <w:rPr>
                <w:rFonts w:eastAsia="Arial Unicode MS"/>
                <w:b/>
              </w:rPr>
            </w:pPr>
            <w:r w:rsidRPr="00474FAB">
              <w:rPr>
                <w:rFonts w:eastAsia="Arial Unicode MS"/>
                <w:b/>
              </w:rPr>
              <w:t>3838</w:t>
            </w:r>
          </w:p>
        </w:tc>
        <w:tc>
          <w:tcPr>
            <w:tcW w:w="1186" w:type="dxa"/>
            <w:shd w:val="clear" w:color="auto" w:fill="auto"/>
            <w:vAlign w:val="center"/>
          </w:tcPr>
          <w:p w:rsidR="00474FAB" w:rsidRPr="00474FAB" w:rsidRDefault="00474FAB" w:rsidP="008A0893">
            <w:pPr>
              <w:jc w:val="center"/>
              <w:rPr>
                <w:rFonts w:eastAsia="Arial Unicode MS"/>
                <w:b/>
              </w:rPr>
            </w:pPr>
            <w:r w:rsidRPr="00474FAB">
              <w:rPr>
                <w:rFonts w:eastAsia="Arial Unicode MS"/>
                <w:b/>
              </w:rPr>
              <w:t>3685</w:t>
            </w:r>
          </w:p>
        </w:tc>
        <w:tc>
          <w:tcPr>
            <w:tcW w:w="1164" w:type="dxa"/>
            <w:shd w:val="clear" w:color="auto" w:fill="auto"/>
            <w:vAlign w:val="center"/>
          </w:tcPr>
          <w:p w:rsidR="00474FAB" w:rsidRPr="00474FAB" w:rsidRDefault="00474FAB" w:rsidP="008A0893">
            <w:pPr>
              <w:jc w:val="center"/>
              <w:rPr>
                <w:b/>
                <w:bCs/>
              </w:rPr>
            </w:pPr>
            <w:r w:rsidRPr="00474FAB">
              <w:rPr>
                <w:b/>
                <w:bCs/>
              </w:rPr>
              <w:t>660</w:t>
            </w:r>
          </w:p>
        </w:tc>
        <w:tc>
          <w:tcPr>
            <w:tcW w:w="1164" w:type="dxa"/>
            <w:shd w:val="clear" w:color="auto" w:fill="auto"/>
            <w:vAlign w:val="center"/>
          </w:tcPr>
          <w:p w:rsidR="00474FAB" w:rsidRPr="00474FAB" w:rsidRDefault="00474FAB" w:rsidP="008A0893">
            <w:pPr>
              <w:jc w:val="center"/>
              <w:rPr>
                <w:b/>
                <w:bCs/>
              </w:rPr>
            </w:pPr>
            <w:r w:rsidRPr="00474FAB">
              <w:rPr>
                <w:b/>
                <w:bCs/>
              </w:rPr>
              <w:t>988</w:t>
            </w:r>
          </w:p>
        </w:tc>
        <w:tc>
          <w:tcPr>
            <w:tcW w:w="1165" w:type="dxa"/>
            <w:shd w:val="clear" w:color="auto" w:fill="auto"/>
            <w:vAlign w:val="center"/>
          </w:tcPr>
          <w:p w:rsidR="00474FAB" w:rsidRPr="00474FAB" w:rsidRDefault="00474FAB" w:rsidP="008A0893">
            <w:pPr>
              <w:jc w:val="center"/>
              <w:rPr>
                <w:b/>
                <w:bCs/>
              </w:rPr>
            </w:pPr>
            <w:r w:rsidRPr="00474FAB">
              <w:rPr>
                <w:b/>
                <w:bCs/>
              </w:rPr>
              <w:t>1405</w:t>
            </w:r>
          </w:p>
        </w:tc>
      </w:tr>
    </w:tbl>
    <w:p w:rsidR="0007403D" w:rsidRPr="00474FAB" w:rsidRDefault="0007403D" w:rsidP="00A77970">
      <w:pPr>
        <w:jc w:val="both"/>
        <w:rPr>
          <w:b/>
          <w:i/>
          <w:kern w:val="28"/>
          <w:sz w:val="16"/>
          <w:szCs w:val="16"/>
          <w:lang w:eastAsia="en-US"/>
        </w:rPr>
      </w:pPr>
    </w:p>
    <w:p w:rsidR="00620E03" w:rsidRPr="00474FAB" w:rsidRDefault="00620E03" w:rsidP="00A77970">
      <w:pPr>
        <w:jc w:val="both"/>
        <w:rPr>
          <w:b/>
          <w:i/>
          <w:kern w:val="28"/>
          <w:sz w:val="16"/>
          <w:szCs w:val="16"/>
          <w:lang w:eastAsia="en-US"/>
        </w:rPr>
      </w:pPr>
    </w:p>
    <w:tbl>
      <w:tblPr>
        <w:tblW w:w="10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200"/>
        <w:gridCol w:w="757"/>
        <w:gridCol w:w="758"/>
        <w:gridCol w:w="758"/>
        <w:gridCol w:w="758"/>
        <w:gridCol w:w="758"/>
        <w:gridCol w:w="758"/>
        <w:gridCol w:w="757"/>
        <w:gridCol w:w="758"/>
        <w:gridCol w:w="758"/>
        <w:gridCol w:w="758"/>
        <w:gridCol w:w="758"/>
        <w:gridCol w:w="758"/>
      </w:tblGrid>
      <w:tr w:rsidR="007E3897" w:rsidRPr="00474FAB" w:rsidTr="00620E03">
        <w:trPr>
          <w:cantSplit/>
          <w:trHeight w:val="272"/>
          <w:jc w:val="center"/>
        </w:trPr>
        <w:tc>
          <w:tcPr>
            <w:tcW w:w="1200" w:type="dxa"/>
            <w:vMerge w:val="restart"/>
            <w:tcBorders>
              <w:top w:val="single" w:sz="4" w:space="0" w:color="auto"/>
            </w:tcBorders>
            <w:shd w:val="clear" w:color="auto" w:fill="auto"/>
            <w:vAlign w:val="center"/>
          </w:tcPr>
          <w:p w:rsidR="007E3897" w:rsidRPr="00474FAB" w:rsidRDefault="007E3897" w:rsidP="00A77970">
            <w:pPr>
              <w:jc w:val="center"/>
              <w:rPr>
                <w:rFonts w:eastAsia="Arial Unicode MS"/>
                <w:b/>
                <w:kern w:val="28"/>
                <w:lang w:eastAsia="en-US"/>
              </w:rPr>
            </w:pPr>
            <w:r w:rsidRPr="00474FAB">
              <w:rPr>
                <w:rFonts w:eastAsia="Arial Unicode MS"/>
                <w:b/>
                <w:kern w:val="28"/>
                <w:lang w:eastAsia="en-US"/>
              </w:rPr>
              <w:t>Anul</w:t>
            </w:r>
          </w:p>
        </w:tc>
        <w:tc>
          <w:tcPr>
            <w:tcW w:w="9094" w:type="dxa"/>
            <w:gridSpan w:val="12"/>
            <w:tcBorders>
              <w:top w:val="single" w:sz="4" w:space="0" w:color="auto"/>
            </w:tcBorders>
            <w:shd w:val="clear" w:color="auto" w:fill="auto"/>
            <w:vAlign w:val="center"/>
          </w:tcPr>
          <w:p w:rsidR="007E3897" w:rsidRPr="00474FAB" w:rsidRDefault="007E3897" w:rsidP="00A77970">
            <w:pPr>
              <w:jc w:val="center"/>
              <w:rPr>
                <w:rFonts w:eastAsia="Arial Unicode MS"/>
                <w:b/>
                <w:kern w:val="28"/>
                <w:lang w:eastAsia="en-US"/>
              </w:rPr>
            </w:pPr>
            <w:r w:rsidRPr="00474FAB">
              <w:rPr>
                <w:rFonts w:eastAsia="Arial Unicode MS"/>
                <w:b/>
                <w:kern w:val="28"/>
                <w:lang w:eastAsia="en-US"/>
              </w:rPr>
              <w:t xml:space="preserve">Numărul autorizaţiilor de construire eliberate </w:t>
            </w:r>
          </w:p>
        </w:tc>
      </w:tr>
      <w:tr w:rsidR="007E3897" w:rsidRPr="00474FAB" w:rsidTr="00620E03">
        <w:trPr>
          <w:cantSplit/>
          <w:trHeight w:val="272"/>
          <w:jc w:val="center"/>
        </w:trPr>
        <w:tc>
          <w:tcPr>
            <w:tcW w:w="1200" w:type="dxa"/>
            <w:vMerge/>
            <w:shd w:val="clear" w:color="auto" w:fill="auto"/>
            <w:vAlign w:val="center"/>
          </w:tcPr>
          <w:p w:rsidR="007E3897" w:rsidRPr="00474FAB" w:rsidRDefault="007E3897" w:rsidP="00A77970">
            <w:pPr>
              <w:jc w:val="center"/>
              <w:rPr>
                <w:rFonts w:eastAsia="Arial Unicode MS"/>
                <w:b/>
                <w:kern w:val="28"/>
                <w:lang w:eastAsia="en-US"/>
              </w:rPr>
            </w:pPr>
          </w:p>
        </w:tc>
        <w:tc>
          <w:tcPr>
            <w:tcW w:w="757" w:type="dxa"/>
            <w:shd w:val="clear" w:color="auto" w:fill="auto"/>
            <w:vAlign w:val="center"/>
          </w:tcPr>
          <w:p w:rsidR="007E3897" w:rsidRPr="00474FAB" w:rsidRDefault="007E3897" w:rsidP="00A77970">
            <w:pPr>
              <w:jc w:val="center"/>
              <w:rPr>
                <w:rFonts w:eastAsia="Arial Unicode MS"/>
                <w:b/>
                <w:kern w:val="28"/>
                <w:lang w:eastAsia="en-US"/>
              </w:rPr>
            </w:pPr>
            <w:r w:rsidRPr="00474FAB">
              <w:rPr>
                <w:b/>
                <w:kern w:val="28"/>
                <w:lang w:eastAsia="en-US"/>
              </w:rPr>
              <w:t>ian.</w:t>
            </w:r>
          </w:p>
        </w:tc>
        <w:tc>
          <w:tcPr>
            <w:tcW w:w="758" w:type="dxa"/>
            <w:shd w:val="clear" w:color="auto" w:fill="auto"/>
            <w:vAlign w:val="center"/>
          </w:tcPr>
          <w:p w:rsidR="007E3897" w:rsidRPr="00474FAB" w:rsidRDefault="007E3897" w:rsidP="00A77970">
            <w:pPr>
              <w:jc w:val="center"/>
              <w:rPr>
                <w:rFonts w:eastAsia="Arial Unicode MS"/>
                <w:b/>
                <w:kern w:val="28"/>
                <w:lang w:eastAsia="en-US"/>
              </w:rPr>
            </w:pPr>
            <w:r w:rsidRPr="00474FAB">
              <w:rPr>
                <w:b/>
                <w:kern w:val="28"/>
                <w:lang w:eastAsia="en-US"/>
              </w:rPr>
              <w:t>feb.</w:t>
            </w:r>
          </w:p>
        </w:tc>
        <w:tc>
          <w:tcPr>
            <w:tcW w:w="758" w:type="dxa"/>
            <w:shd w:val="clear" w:color="auto" w:fill="auto"/>
            <w:vAlign w:val="center"/>
          </w:tcPr>
          <w:p w:rsidR="007E3897" w:rsidRPr="00474FAB" w:rsidRDefault="007E3897" w:rsidP="00A77970">
            <w:pPr>
              <w:jc w:val="center"/>
              <w:rPr>
                <w:rFonts w:eastAsia="Arial Unicode MS"/>
                <w:b/>
                <w:kern w:val="28"/>
                <w:lang w:eastAsia="en-US"/>
              </w:rPr>
            </w:pPr>
            <w:r w:rsidRPr="00474FAB">
              <w:rPr>
                <w:b/>
                <w:kern w:val="28"/>
                <w:lang w:eastAsia="en-US"/>
              </w:rPr>
              <w:t>mar.</w:t>
            </w:r>
          </w:p>
        </w:tc>
        <w:tc>
          <w:tcPr>
            <w:tcW w:w="758" w:type="dxa"/>
            <w:shd w:val="clear" w:color="auto" w:fill="auto"/>
            <w:vAlign w:val="center"/>
          </w:tcPr>
          <w:p w:rsidR="007E3897" w:rsidRPr="00474FAB" w:rsidRDefault="007E3897" w:rsidP="00A77970">
            <w:pPr>
              <w:jc w:val="center"/>
              <w:rPr>
                <w:rFonts w:eastAsia="Arial Unicode MS"/>
                <w:b/>
                <w:kern w:val="28"/>
                <w:lang w:eastAsia="en-US"/>
              </w:rPr>
            </w:pPr>
            <w:r w:rsidRPr="00474FAB">
              <w:rPr>
                <w:b/>
                <w:kern w:val="28"/>
                <w:lang w:eastAsia="en-US"/>
              </w:rPr>
              <w:t>apr.</w:t>
            </w:r>
          </w:p>
        </w:tc>
        <w:tc>
          <w:tcPr>
            <w:tcW w:w="758" w:type="dxa"/>
            <w:shd w:val="clear" w:color="auto" w:fill="auto"/>
            <w:vAlign w:val="center"/>
          </w:tcPr>
          <w:p w:rsidR="007E3897" w:rsidRPr="00474FAB" w:rsidRDefault="007E3897" w:rsidP="00A77970">
            <w:pPr>
              <w:jc w:val="center"/>
              <w:rPr>
                <w:rFonts w:eastAsia="Arial Unicode MS"/>
                <w:b/>
                <w:kern w:val="28"/>
                <w:lang w:eastAsia="en-US"/>
              </w:rPr>
            </w:pPr>
            <w:r w:rsidRPr="00474FAB">
              <w:rPr>
                <w:rFonts w:eastAsia="Arial Unicode MS"/>
                <w:b/>
                <w:kern w:val="28"/>
                <w:lang w:eastAsia="en-US"/>
              </w:rPr>
              <w:t>mai</w:t>
            </w:r>
          </w:p>
        </w:tc>
        <w:tc>
          <w:tcPr>
            <w:tcW w:w="758" w:type="dxa"/>
            <w:shd w:val="clear" w:color="auto" w:fill="auto"/>
            <w:vAlign w:val="center"/>
          </w:tcPr>
          <w:p w:rsidR="007E3897" w:rsidRPr="00474FAB" w:rsidRDefault="007E3897" w:rsidP="00A77970">
            <w:pPr>
              <w:jc w:val="center"/>
              <w:rPr>
                <w:rFonts w:eastAsia="Arial Unicode MS"/>
                <w:b/>
                <w:kern w:val="28"/>
                <w:lang w:eastAsia="en-US"/>
              </w:rPr>
            </w:pPr>
            <w:r w:rsidRPr="00474FAB">
              <w:rPr>
                <w:b/>
                <w:kern w:val="28"/>
                <w:lang w:eastAsia="en-US"/>
              </w:rPr>
              <w:t>iun.</w:t>
            </w:r>
          </w:p>
        </w:tc>
        <w:tc>
          <w:tcPr>
            <w:tcW w:w="757" w:type="dxa"/>
            <w:shd w:val="clear" w:color="auto" w:fill="auto"/>
            <w:vAlign w:val="center"/>
          </w:tcPr>
          <w:p w:rsidR="007E3897" w:rsidRPr="00474FAB" w:rsidRDefault="007E3897" w:rsidP="00A77970">
            <w:pPr>
              <w:jc w:val="center"/>
              <w:rPr>
                <w:rFonts w:eastAsia="Arial Unicode MS"/>
                <w:b/>
                <w:kern w:val="28"/>
                <w:lang w:eastAsia="en-US"/>
              </w:rPr>
            </w:pPr>
            <w:r w:rsidRPr="00474FAB">
              <w:rPr>
                <w:b/>
                <w:kern w:val="28"/>
                <w:lang w:eastAsia="en-US"/>
              </w:rPr>
              <w:t>iul.</w:t>
            </w:r>
          </w:p>
        </w:tc>
        <w:tc>
          <w:tcPr>
            <w:tcW w:w="758" w:type="dxa"/>
            <w:shd w:val="clear" w:color="auto" w:fill="auto"/>
            <w:vAlign w:val="center"/>
          </w:tcPr>
          <w:p w:rsidR="007E3897" w:rsidRPr="00474FAB" w:rsidRDefault="007E3897" w:rsidP="00A77970">
            <w:pPr>
              <w:jc w:val="center"/>
              <w:rPr>
                <w:rFonts w:eastAsia="Arial Unicode MS"/>
                <w:b/>
                <w:kern w:val="28"/>
                <w:lang w:eastAsia="en-US"/>
              </w:rPr>
            </w:pPr>
            <w:r w:rsidRPr="00474FAB">
              <w:rPr>
                <w:b/>
                <w:kern w:val="28"/>
                <w:lang w:eastAsia="en-US"/>
              </w:rPr>
              <w:t>aug.</w:t>
            </w:r>
          </w:p>
        </w:tc>
        <w:tc>
          <w:tcPr>
            <w:tcW w:w="758" w:type="dxa"/>
            <w:shd w:val="clear" w:color="auto" w:fill="auto"/>
            <w:vAlign w:val="center"/>
          </w:tcPr>
          <w:p w:rsidR="007E3897" w:rsidRPr="00474FAB" w:rsidRDefault="007E3897" w:rsidP="00A77970">
            <w:pPr>
              <w:jc w:val="center"/>
              <w:rPr>
                <w:rFonts w:eastAsia="Arial Unicode MS"/>
                <w:b/>
                <w:kern w:val="28"/>
                <w:lang w:eastAsia="en-US"/>
              </w:rPr>
            </w:pPr>
            <w:r w:rsidRPr="00474FAB">
              <w:rPr>
                <w:b/>
                <w:kern w:val="28"/>
                <w:lang w:eastAsia="en-US"/>
              </w:rPr>
              <w:t>sep.</w:t>
            </w:r>
          </w:p>
        </w:tc>
        <w:tc>
          <w:tcPr>
            <w:tcW w:w="758" w:type="dxa"/>
            <w:shd w:val="clear" w:color="auto" w:fill="auto"/>
            <w:vAlign w:val="center"/>
          </w:tcPr>
          <w:p w:rsidR="007E3897" w:rsidRPr="00474FAB" w:rsidRDefault="007E3897" w:rsidP="00A77970">
            <w:pPr>
              <w:jc w:val="center"/>
              <w:rPr>
                <w:rFonts w:eastAsia="Arial Unicode MS"/>
                <w:b/>
                <w:kern w:val="28"/>
                <w:lang w:eastAsia="en-US"/>
              </w:rPr>
            </w:pPr>
            <w:r w:rsidRPr="00474FAB">
              <w:rPr>
                <w:b/>
                <w:kern w:val="28"/>
                <w:lang w:eastAsia="en-US"/>
              </w:rPr>
              <w:t>oct.</w:t>
            </w:r>
          </w:p>
        </w:tc>
        <w:tc>
          <w:tcPr>
            <w:tcW w:w="758" w:type="dxa"/>
            <w:shd w:val="clear" w:color="auto" w:fill="auto"/>
            <w:vAlign w:val="center"/>
          </w:tcPr>
          <w:p w:rsidR="007E3897" w:rsidRPr="00474FAB" w:rsidRDefault="007E3897" w:rsidP="00A77970">
            <w:pPr>
              <w:jc w:val="center"/>
              <w:rPr>
                <w:rFonts w:eastAsia="Arial Unicode MS"/>
                <w:b/>
                <w:kern w:val="28"/>
                <w:lang w:eastAsia="en-US"/>
              </w:rPr>
            </w:pPr>
            <w:r w:rsidRPr="00474FAB">
              <w:rPr>
                <w:rFonts w:eastAsia="Arial Unicode MS"/>
                <w:b/>
                <w:kern w:val="28"/>
                <w:lang w:eastAsia="en-US"/>
              </w:rPr>
              <w:t>nov.</w:t>
            </w:r>
          </w:p>
        </w:tc>
        <w:tc>
          <w:tcPr>
            <w:tcW w:w="758" w:type="dxa"/>
            <w:shd w:val="clear" w:color="auto" w:fill="auto"/>
            <w:vAlign w:val="center"/>
          </w:tcPr>
          <w:p w:rsidR="007E3897" w:rsidRPr="00474FAB" w:rsidRDefault="007E3897" w:rsidP="00A77970">
            <w:pPr>
              <w:jc w:val="center"/>
              <w:rPr>
                <w:rFonts w:eastAsia="Arial Unicode MS"/>
                <w:b/>
                <w:kern w:val="28"/>
                <w:lang w:eastAsia="en-US"/>
              </w:rPr>
            </w:pPr>
            <w:r w:rsidRPr="00474FAB">
              <w:rPr>
                <w:rFonts w:eastAsia="Arial Unicode MS"/>
                <w:b/>
                <w:kern w:val="28"/>
                <w:lang w:eastAsia="en-US"/>
              </w:rPr>
              <w:t>dec.</w:t>
            </w:r>
          </w:p>
        </w:tc>
      </w:tr>
      <w:tr w:rsidR="00474FAB" w:rsidRPr="00474FAB" w:rsidTr="00825379">
        <w:trPr>
          <w:trHeight w:val="272"/>
          <w:jc w:val="center"/>
        </w:trPr>
        <w:tc>
          <w:tcPr>
            <w:tcW w:w="1200"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474FAB">
            <w:pPr>
              <w:keepNext/>
              <w:jc w:val="center"/>
              <w:outlineLvl w:val="4"/>
              <w:rPr>
                <w:b/>
                <w:lang w:eastAsia="en-US"/>
              </w:rPr>
            </w:pPr>
            <w:bookmarkStart w:id="17" w:name="_Hlk348709363"/>
            <w:r w:rsidRPr="00474FAB">
              <w:rPr>
                <w:b/>
                <w:lang w:eastAsia="en-US"/>
              </w:rPr>
              <w:t>2016</w:t>
            </w:r>
          </w:p>
        </w:tc>
        <w:tc>
          <w:tcPr>
            <w:tcW w:w="757"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rPr>
                <w:bCs/>
              </w:rPr>
            </w:pPr>
            <w:r w:rsidRPr="00474FAB">
              <w:rPr>
                <w:bCs/>
              </w:rPr>
              <w:t>54</w:t>
            </w:r>
          </w:p>
        </w:tc>
        <w:tc>
          <w:tcPr>
            <w:tcW w:w="758"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rPr>
                <w:rFonts w:eastAsia="Arial Unicode MS"/>
              </w:rPr>
            </w:pPr>
            <w:r w:rsidRPr="00474FAB">
              <w:rPr>
                <w:rFonts w:eastAsia="Arial Unicode MS"/>
              </w:rPr>
              <w:t>29</w:t>
            </w:r>
          </w:p>
        </w:tc>
        <w:tc>
          <w:tcPr>
            <w:tcW w:w="758"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rPr>
                <w:rFonts w:eastAsia="Arial Unicode MS"/>
              </w:rPr>
            </w:pPr>
            <w:r w:rsidRPr="00474FAB">
              <w:rPr>
                <w:rFonts w:eastAsia="Arial Unicode MS"/>
              </w:rPr>
              <w:t>70</w:t>
            </w:r>
          </w:p>
        </w:tc>
        <w:tc>
          <w:tcPr>
            <w:tcW w:w="758"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rPr>
                <w:rFonts w:eastAsia="Arial Unicode MS"/>
              </w:rPr>
            </w:pPr>
            <w:r w:rsidRPr="00474FAB">
              <w:rPr>
                <w:rFonts w:eastAsia="Arial Unicode MS"/>
              </w:rPr>
              <w:t>52</w:t>
            </w:r>
          </w:p>
        </w:tc>
        <w:tc>
          <w:tcPr>
            <w:tcW w:w="758"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rPr>
                <w:rFonts w:eastAsia="Arial Unicode MS"/>
              </w:rPr>
            </w:pPr>
            <w:r w:rsidRPr="00474FAB">
              <w:rPr>
                <w:rFonts w:eastAsia="Arial Unicode MS"/>
              </w:rPr>
              <w:t>112</w:t>
            </w:r>
          </w:p>
        </w:tc>
        <w:tc>
          <w:tcPr>
            <w:tcW w:w="758"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rPr>
                <w:rFonts w:eastAsia="Arial Unicode MS"/>
              </w:rPr>
            </w:pPr>
            <w:r w:rsidRPr="00474FAB">
              <w:rPr>
                <w:rFonts w:eastAsia="Arial Unicode MS"/>
              </w:rPr>
              <w:t>52</w:t>
            </w:r>
          </w:p>
        </w:tc>
        <w:tc>
          <w:tcPr>
            <w:tcW w:w="757"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rPr>
                <w:rFonts w:eastAsia="Arial Unicode MS"/>
              </w:rPr>
            </w:pPr>
            <w:r w:rsidRPr="00474FAB">
              <w:rPr>
                <w:rFonts w:eastAsia="Arial Unicode MS"/>
              </w:rPr>
              <w:t>91</w:t>
            </w:r>
          </w:p>
        </w:tc>
        <w:tc>
          <w:tcPr>
            <w:tcW w:w="758"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rPr>
                <w:rFonts w:eastAsia="Arial Unicode MS"/>
              </w:rPr>
            </w:pPr>
            <w:r w:rsidRPr="00474FAB">
              <w:rPr>
                <w:rFonts w:eastAsia="Arial Unicode MS"/>
              </w:rPr>
              <w:t>98</w:t>
            </w:r>
          </w:p>
        </w:tc>
        <w:tc>
          <w:tcPr>
            <w:tcW w:w="758"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rPr>
                <w:rFonts w:eastAsia="Arial Unicode MS"/>
              </w:rPr>
            </w:pPr>
            <w:r w:rsidRPr="00474FAB">
              <w:rPr>
                <w:rFonts w:eastAsia="Arial Unicode MS"/>
              </w:rPr>
              <w:t>68</w:t>
            </w:r>
          </w:p>
        </w:tc>
        <w:tc>
          <w:tcPr>
            <w:tcW w:w="758"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rPr>
                <w:rFonts w:eastAsia="Arial Unicode MS"/>
              </w:rPr>
            </w:pPr>
            <w:r w:rsidRPr="00474FAB">
              <w:rPr>
                <w:rFonts w:eastAsia="Arial Unicode MS"/>
              </w:rPr>
              <w:t>59</w:t>
            </w:r>
          </w:p>
        </w:tc>
        <w:tc>
          <w:tcPr>
            <w:tcW w:w="758"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rPr>
                <w:rFonts w:eastAsia="Arial Unicode MS"/>
              </w:rPr>
            </w:pPr>
            <w:r w:rsidRPr="00474FAB">
              <w:rPr>
                <w:rFonts w:eastAsia="Arial Unicode MS"/>
              </w:rPr>
              <w:t>53</w:t>
            </w:r>
          </w:p>
        </w:tc>
        <w:tc>
          <w:tcPr>
            <w:tcW w:w="758"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rPr>
                <w:rFonts w:eastAsia="Arial Unicode MS"/>
              </w:rPr>
            </w:pPr>
            <w:r w:rsidRPr="00474FAB">
              <w:rPr>
                <w:rFonts w:eastAsia="Arial Unicode MS"/>
              </w:rPr>
              <w:t>48</w:t>
            </w:r>
          </w:p>
        </w:tc>
      </w:tr>
      <w:tr w:rsidR="00474FAB" w:rsidRPr="00474FAB" w:rsidTr="00825379">
        <w:trPr>
          <w:trHeight w:val="272"/>
          <w:jc w:val="center"/>
        </w:trPr>
        <w:tc>
          <w:tcPr>
            <w:tcW w:w="1200"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474FAB">
            <w:pPr>
              <w:keepNext/>
              <w:jc w:val="center"/>
              <w:outlineLvl w:val="4"/>
              <w:rPr>
                <w:b/>
                <w:lang w:eastAsia="en-US"/>
              </w:rPr>
            </w:pPr>
            <w:r w:rsidRPr="00474FAB">
              <w:rPr>
                <w:b/>
                <w:lang w:eastAsia="en-US"/>
              </w:rPr>
              <w:t>2017</w:t>
            </w:r>
          </w:p>
        </w:tc>
        <w:tc>
          <w:tcPr>
            <w:tcW w:w="757"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pPr>
            <w:r w:rsidRPr="00474FAB">
              <w:t>54</w:t>
            </w:r>
          </w:p>
        </w:tc>
        <w:tc>
          <w:tcPr>
            <w:tcW w:w="758"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pPr>
            <w:r w:rsidRPr="00474FAB">
              <w:t>31</w:t>
            </w:r>
          </w:p>
        </w:tc>
        <w:tc>
          <w:tcPr>
            <w:tcW w:w="758"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pPr>
            <w:r w:rsidRPr="00474FAB">
              <w:t>63</w:t>
            </w:r>
          </w:p>
        </w:tc>
        <w:tc>
          <w:tcPr>
            <w:tcW w:w="758"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pPr>
            <w:r w:rsidRPr="00474FAB">
              <w:t>54</w:t>
            </w:r>
          </w:p>
        </w:tc>
        <w:tc>
          <w:tcPr>
            <w:tcW w:w="758"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pPr>
            <w:r w:rsidRPr="00474FAB">
              <w:t>85</w:t>
            </w:r>
          </w:p>
        </w:tc>
        <w:tc>
          <w:tcPr>
            <w:tcW w:w="758"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pPr>
            <w:r w:rsidRPr="00474FAB">
              <w:t>60</w:t>
            </w:r>
          </w:p>
        </w:tc>
        <w:tc>
          <w:tcPr>
            <w:tcW w:w="757"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pPr>
            <w:r w:rsidRPr="00474FAB">
              <w:t>88</w:t>
            </w:r>
          </w:p>
        </w:tc>
        <w:tc>
          <w:tcPr>
            <w:tcW w:w="758"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pPr>
            <w:r w:rsidRPr="00474FAB">
              <w:t>40</w:t>
            </w:r>
          </w:p>
        </w:tc>
        <w:tc>
          <w:tcPr>
            <w:tcW w:w="758"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pPr>
            <w:r w:rsidRPr="00474FAB">
              <w:t>98</w:t>
            </w:r>
          </w:p>
        </w:tc>
        <w:tc>
          <w:tcPr>
            <w:tcW w:w="758"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pPr>
            <w:r w:rsidRPr="00474FAB">
              <w:t>70</w:t>
            </w:r>
          </w:p>
        </w:tc>
        <w:tc>
          <w:tcPr>
            <w:tcW w:w="758"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pPr>
            <w:r w:rsidRPr="00474FAB">
              <w:t>49</w:t>
            </w:r>
          </w:p>
        </w:tc>
        <w:tc>
          <w:tcPr>
            <w:tcW w:w="758"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pPr>
            <w:r w:rsidRPr="00474FAB">
              <w:t>69</w:t>
            </w:r>
          </w:p>
        </w:tc>
      </w:tr>
      <w:tr w:rsidR="00474FAB" w:rsidRPr="00474FAB" w:rsidTr="00825379">
        <w:trPr>
          <w:trHeight w:val="272"/>
          <w:jc w:val="center"/>
        </w:trPr>
        <w:tc>
          <w:tcPr>
            <w:tcW w:w="1200"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474FAB">
            <w:pPr>
              <w:keepNext/>
              <w:jc w:val="center"/>
              <w:outlineLvl w:val="4"/>
              <w:rPr>
                <w:b/>
                <w:lang w:eastAsia="en-US"/>
              </w:rPr>
            </w:pPr>
            <w:r w:rsidRPr="00474FAB">
              <w:rPr>
                <w:b/>
                <w:lang w:eastAsia="en-US"/>
              </w:rPr>
              <w:t>2018</w:t>
            </w:r>
          </w:p>
        </w:tc>
        <w:tc>
          <w:tcPr>
            <w:tcW w:w="757"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rPr>
                <w:bCs/>
              </w:rPr>
            </w:pPr>
            <w:r w:rsidRPr="00474FAB">
              <w:rPr>
                <w:bCs/>
              </w:rPr>
              <w:t>41</w:t>
            </w:r>
          </w:p>
        </w:tc>
        <w:tc>
          <w:tcPr>
            <w:tcW w:w="758"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rPr>
                <w:bCs/>
              </w:rPr>
            </w:pPr>
            <w:r w:rsidRPr="00474FAB">
              <w:rPr>
                <w:bCs/>
              </w:rPr>
              <w:t>40</w:t>
            </w:r>
          </w:p>
        </w:tc>
        <w:tc>
          <w:tcPr>
            <w:tcW w:w="758"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rPr>
                <w:bCs/>
              </w:rPr>
            </w:pPr>
            <w:r w:rsidRPr="00474FAB">
              <w:rPr>
                <w:bCs/>
              </w:rPr>
              <w:t>74</w:t>
            </w:r>
          </w:p>
        </w:tc>
        <w:tc>
          <w:tcPr>
            <w:tcW w:w="758"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rPr>
                <w:bCs/>
              </w:rPr>
            </w:pPr>
            <w:r w:rsidRPr="00474FAB">
              <w:rPr>
                <w:bCs/>
              </w:rPr>
              <w:t>36</w:t>
            </w:r>
          </w:p>
        </w:tc>
        <w:tc>
          <w:tcPr>
            <w:tcW w:w="758"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rPr>
                <w:bCs/>
              </w:rPr>
            </w:pPr>
            <w:r w:rsidRPr="00474FAB">
              <w:rPr>
                <w:bCs/>
              </w:rPr>
              <w:t>81</w:t>
            </w:r>
          </w:p>
        </w:tc>
        <w:tc>
          <w:tcPr>
            <w:tcW w:w="758"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rPr>
                <w:bCs/>
              </w:rPr>
            </w:pPr>
            <w:r w:rsidRPr="00474FAB">
              <w:rPr>
                <w:bCs/>
              </w:rPr>
              <w:t>95</w:t>
            </w:r>
          </w:p>
        </w:tc>
        <w:tc>
          <w:tcPr>
            <w:tcW w:w="757"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rPr>
                <w:bCs/>
              </w:rPr>
            </w:pPr>
            <w:r w:rsidRPr="00474FAB">
              <w:rPr>
                <w:bCs/>
              </w:rPr>
              <w:t>81</w:t>
            </w:r>
          </w:p>
        </w:tc>
        <w:tc>
          <w:tcPr>
            <w:tcW w:w="758"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rPr>
                <w:bCs/>
              </w:rPr>
            </w:pPr>
            <w:r w:rsidRPr="00474FAB">
              <w:rPr>
                <w:bCs/>
              </w:rPr>
              <w:t>66</w:t>
            </w:r>
          </w:p>
        </w:tc>
        <w:tc>
          <w:tcPr>
            <w:tcW w:w="758"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rPr>
                <w:bCs/>
              </w:rPr>
            </w:pPr>
            <w:r w:rsidRPr="00474FAB">
              <w:rPr>
                <w:bCs/>
              </w:rPr>
              <w:t>48</w:t>
            </w:r>
          </w:p>
        </w:tc>
        <w:tc>
          <w:tcPr>
            <w:tcW w:w="758"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rPr>
                <w:bCs/>
              </w:rPr>
            </w:pPr>
            <w:r w:rsidRPr="00474FAB">
              <w:rPr>
                <w:bCs/>
              </w:rPr>
              <w:t>59</w:t>
            </w:r>
          </w:p>
        </w:tc>
        <w:tc>
          <w:tcPr>
            <w:tcW w:w="758"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rPr>
                <w:bCs/>
              </w:rPr>
            </w:pPr>
            <w:r w:rsidRPr="00474FAB">
              <w:rPr>
                <w:bCs/>
              </w:rPr>
              <w:t>68</w:t>
            </w:r>
          </w:p>
        </w:tc>
        <w:tc>
          <w:tcPr>
            <w:tcW w:w="758" w:type="dxa"/>
            <w:tcBorders>
              <w:top w:val="single" w:sz="4" w:space="0" w:color="auto"/>
              <w:left w:val="single" w:sz="4" w:space="0" w:color="auto"/>
              <w:bottom w:val="single" w:sz="4" w:space="0" w:color="auto"/>
              <w:right w:val="single" w:sz="4" w:space="0" w:color="auto"/>
            </w:tcBorders>
            <w:vAlign w:val="center"/>
          </w:tcPr>
          <w:p w:rsidR="00474FAB" w:rsidRPr="00474FAB" w:rsidRDefault="00474FAB" w:rsidP="008A0893">
            <w:pPr>
              <w:jc w:val="center"/>
              <w:rPr>
                <w:bCs/>
              </w:rPr>
            </w:pPr>
            <w:r w:rsidRPr="00474FAB">
              <w:rPr>
                <w:bCs/>
              </w:rPr>
              <w:t>56</w:t>
            </w:r>
          </w:p>
        </w:tc>
      </w:tr>
      <w:bookmarkEnd w:id="17"/>
    </w:tbl>
    <w:p w:rsidR="007E3897" w:rsidRPr="00474FAB" w:rsidRDefault="007E3897" w:rsidP="00A77970">
      <w:pPr>
        <w:jc w:val="both"/>
        <w:rPr>
          <w:b/>
          <w:kern w:val="28"/>
          <w:sz w:val="20"/>
          <w:szCs w:val="20"/>
          <w:lang w:eastAsia="en-US"/>
        </w:rPr>
      </w:pPr>
    </w:p>
    <w:p w:rsidR="001C2B4A" w:rsidRPr="00474FAB" w:rsidRDefault="00474FAB" w:rsidP="00A77970">
      <w:pPr>
        <w:ind w:firstLine="720"/>
        <w:jc w:val="both"/>
        <w:rPr>
          <w:kern w:val="28"/>
          <w:lang w:eastAsia="en-US"/>
        </w:rPr>
      </w:pPr>
      <w:r w:rsidRPr="00474FAB">
        <w:rPr>
          <w:kern w:val="28"/>
          <w:szCs w:val="20"/>
          <w:lang w:eastAsia="en-US"/>
        </w:rPr>
        <w:t>În anul 2018 au fost eliberate 745 autorizaţii de construire pentru clădiri rezidenţiale, cu  16 autorizaţii mai puține decât în anul precedent.</w:t>
      </w:r>
    </w:p>
    <w:p w:rsidR="00825379" w:rsidRDefault="00474FAB" w:rsidP="00A77970">
      <w:pPr>
        <w:jc w:val="center"/>
        <w:rPr>
          <w:b/>
          <w:kern w:val="28"/>
          <w:szCs w:val="20"/>
          <w:lang w:eastAsia="en-US"/>
        </w:rPr>
      </w:pPr>
      <w:r w:rsidRPr="00474FAB">
        <w:rPr>
          <w:b/>
          <w:noProof/>
          <w:kern w:val="28"/>
          <w:szCs w:val="20"/>
        </w:rPr>
        <w:drawing>
          <wp:inline distT="0" distB="0" distL="0" distR="0">
            <wp:extent cx="6426200" cy="2445699"/>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6200" cy="2445699"/>
                    </a:xfrm>
                    <a:prstGeom prst="rect">
                      <a:avLst/>
                    </a:prstGeom>
                    <a:noFill/>
                    <a:ln>
                      <a:noFill/>
                    </a:ln>
                  </pic:spPr>
                </pic:pic>
              </a:graphicData>
            </a:graphic>
          </wp:inline>
        </w:drawing>
      </w:r>
    </w:p>
    <w:p w:rsidR="00F13A9B" w:rsidRDefault="00F13A9B" w:rsidP="00A77970">
      <w:pPr>
        <w:contextualSpacing/>
        <w:jc w:val="both"/>
        <w:rPr>
          <w:rFonts w:eastAsia="MS Mincho"/>
          <w:b/>
          <w:lang w:val="en-US" w:eastAsia="en-US"/>
        </w:rPr>
      </w:pPr>
    </w:p>
    <w:p w:rsidR="001C2B4A" w:rsidRDefault="00F13A9B" w:rsidP="00A77970">
      <w:pPr>
        <w:contextualSpacing/>
        <w:jc w:val="both"/>
        <w:rPr>
          <w:rFonts w:eastAsia="MS Mincho"/>
          <w:b/>
          <w:lang w:val="en-US" w:eastAsia="en-US"/>
        </w:rPr>
      </w:pPr>
      <w:r>
        <w:rPr>
          <w:rFonts w:eastAsia="MS Mincho"/>
          <w:b/>
          <w:lang w:val="en-US" w:eastAsia="en-US"/>
        </w:rPr>
        <w:t>Principalele realizări ale Primăriei Municipiului București</w:t>
      </w:r>
    </w:p>
    <w:p w:rsidR="00DF6640" w:rsidRDefault="00DF6640" w:rsidP="00A77970">
      <w:pPr>
        <w:rPr>
          <w:b/>
          <w:kern w:val="28"/>
          <w:szCs w:val="20"/>
          <w:lang w:eastAsia="en-US"/>
        </w:rPr>
      </w:pPr>
    </w:p>
    <w:p w:rsidR="00F16603" w:rsidRPr="00825379" w:rsidRDefault="00F16603" w:rsidP="00A77970">
      <w:pPr>
        <w:contextualSpacing/>
        <w:jc w:val="both"/>
        <w:rPr>
          <w:rFonts w:eastAsia="MS Mincho"/>
          <w:lang w:eastAsia="en-US"/>
        </w:rPr>
      </w:pPr>
      <w:r w:rsidRPr="00825379">
        <w:rPr>
          <w:rFonts w:eastAsia="MS Mincho"/>
          <w:lang w:eastAsia="en-US"/>
        </w:rPr>
        <w:t xml:space="preserve">○ </w:t>
      </w:r>
      <w:r w:rsidRPr="00825379">
        <w:rPr>
          <w:rFonts w:eastAsia="MS Mincho"/>
          <w:b/>
          <w:lang w:eastAsia="en-US"/>
        </w:rPr>
        <w:t>Locuinţe sociale/tineret</w:t>
      </w:r>
    </w:p>
    <w:p w:rsidR="00A76928" w:rsidRPr="00E64932" w:rsidRDefault="00A76928" w:rsidP="00A76928">
      <w:pPr>
        <w:pStyle w:val="ListParagraph"/>
        <w:ind w:left="0" w:firstLine="720"/>
        <w:jc w:val="both"/>
      </w:pPr>
      <w:r w:rsidRPr="00E64932">
        <w:t xml:space="preserve">Având în vedere necesarul de locuinţe sociale şi de tineret la nivelul Municipiului Bucureşti, au fost identificate terenuri pe teritoriul Municipiului Bucureşti, solicitându-se în acest sens, certificate de urbanism pentru următoarele locaţii: </w:t>
      </w:r>
      <w:r w:rsidRPr="00E64932">
        <w:rPr>
          <w:lang w:val="it-IT"/>
        </w:rPr>
        <w:t>Str. Antiaeriană nr.6, Sector 5, Str. Orăştiei nr.12, Sector 4, Str.Stoica Ludescu nr. 80, sector 1, Şos.Panduri nr. 77, sector 5</w:t>
      </w:r>
      <w:r w:rsidRPr="00E64932">
        <w:t>,</w:t>
      </w:r>
      <w:r w:rsidRPr="00E64932">
        <w:rPr>
          <w:lang w:val="it-IT"/>
        </w:rPr>
        <w:t xml:space="preserve"> Str.N.D.Cocea nr.</w:t>
      </w:r>
      <w:r w:rsidRPr="00E64932">
        <w:t xml:space="preserve"> 78-82, sector 5, Şoseaua Vitan Bârzeşti nr. 20A, sector 4.</w:t>
      </w:r>
    </w:p>
    <w:p w:rsidR="00A76928" w:rsidRDefault="00A76928" w:rsidP="00A76928">
      <w:pPr>
        <w:pStyle w:val="ListParagraph"/>
        <w:ind w:left="0" w:firstLine="720"/>
        <w:jc w:val="both"/>
      </w:pPr>
      <w:r w:rsidRPr="00E64932">
        <w:t xml:space="preserve">Au fost întreprinse demersuri pentru clarificarea şi soluţionarea situaţiei juridice a amplasamentelor, au fost solicitate și obținute extrase de carte funciară și depuse cereri pentru obținerea certificatelor de urbanism. </w:t>
      </w:r>
      <w:r w:rsidRPr="00E64932">
        <w:tab/>
      </w:r>
      <w:r w:rsidRPr="00E64932">
        <w:tab/>
      </w:r>
      <w:r w:rsidRPr="00E64932">
        <w:tab/>
      </w:r>
      <w:r w:rsidRPr="00E64932">
        <w:tab/>
      </w:r>
      <w:r w:rsidRPr="00E64932">
        <w:tab/>
      </w:r>
      <w:r w:rsidRPr="00E64932">
        <w:tab/>
      </w:r>
      <w:r w:rsidRPr="00E64932">
        <w:tab/>
      </w:r>
      <w:r w:rsidRPr="00E64932">
        <w:tab/>
      </w:r>
      <w:r w:rsidRPr="00E64932">
        <w:tab/>
      </w:r>
    </w:p>
    <w:p w:rsidR="00A76928" w:rsidRPr="00E64932" w:rsidRDefault="00A76928" w:rsidP="00A76928">
      <w:pPr>
        <w:pStyle w:val="ListParagraph"/>
        <w:ind w:left="0" w:firstLine="720"/>
        <w:jc w:val="both"/>
      </w:pPr>
      <w:r w:rsidRPr="00E64932">
        <w:lastRenderedPageBreak/>
        <w:t xml:space="preserve">Terenul din </w:t>
      </w:r>
      <w:r w:rsidRPr="00E64932">
        <w:rPr>
          <w:lang w:val="it-IT"/>
        </w:rPr>
        <w:t>Str.N.D.Cocea nr.</w:t>
      </w:r>
      <w:r w:rsidRPr="00E64932">
        <w:t>78-82, sector 5, în suprafaţă de 30.000 mp. a fost transmis din administrarea Administraţiei Cimitirelor şi Crematoriilor Umane în administrarea C.G.M.B.-Direcţia Investiţii prin Hotărârea Consiliului General al Municipiului Bucureşti nr.106/28.05.2016.</w:t>
      </w:r>
    </w:p>
    <w:p w:rsidR="00A76928" w:rsidRPr="00E64932" w:rsidRDefault="00A76928" w:rsidP="00A76928">
      <w:pPr>
        <w:pStyle w:val="ListParagraph"/>
        <w:ind w:left="0" w:firstLine="720"/>
        <w:jc w:val="both"/>
        <w:rPr>
          <w:lang w:val="pt-BR"/>
        </w:rPr>
      </w:pPr>
      <w:r w:rsidRPr="00E64932">
        <w:t>Pentru imobilul din Şoseaua Vitan Bârzeşti nr.20A, sector 4 es</w:t>
      </w:r>
      <w:r w:rsidRPr="00E64932">
        <w:rPr>
          <w:lang w:val="pt-BR"/>
        </w:rPr>
        <w:t>te necesară emiterea unei hotărâri privind trecerea amplasamentului din proprietatea publică a statului în proprietatea publică a municipiului Bucureşti, în vederea construirii de locuinţe.</w:t>
      </w:r>
    </w:p>
    <w:p w:rsidR="00A76928" w:rsidRPr="00E64932" w:rsidRDefault="00A76928" w:rsidP="00A76928">
      <w:pPr>
        <w:pStyle w:val="ListParagraph"/>
        <w:ind w:left="0" w:firstLine="720"/>
        <w:jc w:val="both"/>
      </w:pPr>
      <w:r w:rsidRPr="00E64932">
        <w:t xml:space="preserve">Pentru terenul din </w:t>
      </w:r>
      <w:r w:rsidRPr="00E64932">
        <w:rPr>
          <w:lang w:val="it-IT"/>
        </w:rPr>
        <w:t xml:space="preserve">Şos.Panduri nr.77, sector </w:t>
      </w:r>
      <w:smartTag w:uri="urn:schemas-microsoft-com:office:smarttags" w:element="metricconverter">
        <w:smartTagPr>
          <w:attr w:name="ProductID" w:val="5 a"/>
        </w:smartTagPr>
        <w:r w:rsidRPr="00E64932">
          <w:rPr>
            <w:lang w:val="it-IT"/>
          </w:rPr>
          <w:t>5 a</w:t>
        </w:r>
      </w:smartTag>
      <w:r w:rsidRPr="00E64932">
        <w:rPr>
          <w:lang w:val="it-IT"/>
        </w:rPr>
        <w:t xml:space="preserve"> fost eliberat Certificatul de urbanism nr.</w:t>
      </w:r>
      <w:r w:rsidRPr="00E64932">
        <w:t xml:space="preserve">1293P/13.11.2017 de către Primăria Sectorului 5. Prin acesta, se solicită realizare PUZ. Astfel, a fost încheiat cu Compania Municipală Dezvoltare Durabilă S.A., Contractul nr.756/13.06.2018 privind prestarea serviciillor de elaborare PUZ Șos.Panduri nr.77, sector 5. Valoarea contractului este de 119.991,99 lei, fără TVA, cu termen de finalizare 15.12.2018. Ordinul de începere a fost emis începand cu data de 15.06.2018. A fost obținut avizul de oportunitate (etapa I a contractului) și s-a finalizat etapa II - elaborare PUZ. </w:t>
      </w:r>
    </w:p>
    <w:p w:rsidR="00A76928" w:rsidRPr="00E64932" w:rsidRDefault="00A76928" w:rsidP="00A76928">
      <w:pPr>
        <w:pStyle w:val="ListParagraph"/>
        <w:ind w:left="0" w:firstLine="720"/>
        <w:jc w:val="both"/>
        <w:rPr>
          <w:color w:val="FF0000"/>
        </w:rPr>
      </w:pPr>
      <w:r w:rsidRPr="00E64932">
        <w:t>Terenul din Splaiul Unirii nr.176, sector 4 și terenul din Strada Stoica Ludescu nr.80, sector 1 au fost transmise în administrarea AFI.</w:t>
      </w:r>
    </w:p>
    <w:p w:rsidR="00A76928" w:rsidRPr="00E64932" w:rsidRDefault="00A76928" w:rsidP="00A76928">
      <w:pPr>
        <w:pStyle w:val="ListParagraph"/>
        <w:ind w:left="0" w:firstLine="720"/>
        <w:jc w:val="both"/>
      </w:pPr>
      <w:r w:rsidRPr="00E64932">
        <w:t xml:space="preserve">De asemenea, au fost iniţiate demersurile privind achiziţionarea de pe piaţa liberă a două terenuri din sectorul 1, Strada Fabrica de Cărămidă nr. 3-6, Bdul. Laminorului nr.126A, precum şi pentru strada Vâlsăneşti nr. 1A, sector 2. </w:t>
      </w:r>
    </w:p>
    <w:p w:rsidR="00A76928" w:rsidRPr="00E64932" w:rsidRDefault="00A76928" w:rsidP="00A76928">
      <w:pPr>
        <w:pStyle w:val="ListParagraph"/>
        <w:ind w:left="0" w:firstLine="720"/>
        <w:jc w:val="both"/>
      </w:pPr>
      <w:r w:rsidRPr="00E64932">
        <w:t>Pe terenul situat în Bdul. Laminorului nr. 126A situat în Sectorul 1 se doreşte realizarea unui parc de agrement şi a unui acvariu public pe malul lacului Griviţa.</w:t>
      </w:r>
    </w:p>
    <w:p w:rsidR="00A76928" w:rsidRPr="00E64932" w:rsidRDefault="00A76928" w:rsidP="00A76928">
      <w:pPr>
        <w:pStyle w:val="ListParagraph"/>
        <w:ind w:left="0" w:firstLine="720"/>
        <w:jc w:val="both"/>
      </w:pPr>
      <w:r w:rsidRPr="00E64932">
        <w:t>Pe terenul situat în strada Vâlsăneşti nr. 1A, în suprafaţă de 8.035 mp, există certificat de urbanism prin care se aprobă construcţia de locuinţe sociale S+P+6E.</w:t>
      </w:r>
    </w:p>
    <w:p w:rsidR="00A76928" w:rsidRDefault="00A76928" w:rsidP="00A76928">
      <w:pPr>
        <w:pStyle w:val="ListParagraph"/>
        <w:ind w:left="0" w:firstLine="720"/>
        <w:jc w:val="both"/>
        <w:rPr>
          <w:color w:val="FF0000"/>
        </w:rPr>
      </w:pPr>
      <w:r w:rsidRPr="00E64932">
        <w:t xml:space="preserve">Terenurile au fost evaluate </w:t>
      </w:r>
      <w:smartTag w:uri="urn:schemas-microsoft-com:office:smarttags" w:element="PersonName">
        <w:smartTagPr>
          <w:attr w:name="ProductID" w:val="la Direcţia Contracte"/>
        </w:smartTagPr>
        <w:r w:rsidRPr="00E64932">
          <w:t>la Direcţia Contracte</w:t>
        </w:r>
      </w:smartTag>
      <w:r w:rsidRPr="00E64932">
        <w:t xml:space="preserve"> în vederea stabilirii de către un expert ANEVAR a preţului de achiziţie.  Pentru achiziționarea terenului din Str.Valsănești nr.1A, sector 3 au fost demarate procedurile de negociere pentru achiziţionarea terenului, ca urmare a aprobării Hotărarii Consiliului General al Municipiului București nr.254/04.05.2018</w:t>
      </w:r>
      <w:r w:rsidRPr="00E64932">
        <w:rPr>
          <w:color w:val="FF0000"/>
        </w:rPr>
        <w:t>.</w:t>
      </w:r>
    </w:p>
    <w:p w:rsidR="00A76928" w:rsidRPr="00E64932" w:rsidRDefault="00A76928" w:rsidP="00A76928">
      <w:pPr>
        <w:pStyle w:val="ListParagraph"/>
        <w:ind w:left="0" w:firstLine="720"/>
        <w:jc w:val="both"/>
        <w:rPr>
          <w:color w:val="FF0000"/>
        </w:rPr>
      </w:pPr>
    </w:p>
    <w:p w:rsidR="00A76928" w:rsidRPr="00E64932" w:rsidRDefault="00A76928" w:rsidP="00A76928">
      <w:pPr>
        <w:pStyle w:val="NoSpacing"/>
        <w:jc w:val="both"/>
        <w:rPr>
          <w:rFonts w:ascii="Times New Roman" w:hAnsi="Times New Roman" w:cs="Times New Roman"/>
          <w:sz w:val="24"/>
          <w:szCs w:val="24"/>
        </w:rPr>
      </w:pPr>
      <w:r w:rsidRPr="00E64932">
        <w:rPr>
          <w:rFonts w:ascii="Times New Roman" w:hAnsi="Times New Roman" w:cs="Times New Roman"/>
          <w:b/>
          <w:color w:val="000000"/>
          <w:sz w:val="24"/>
          <w:szCs w:val="24"/>
        </w:rPr>
        <w:t xml:space="preserve">○ </w:t>
      </w:r>
      <w:r w:rsidRPr="00E64932">
        <w:rPr>
          <w:rFonts w:ascii="Times New Roman" w:hAnsi="Times New Roman" w:cs="Times New Roman"/>
          <w:b/>
          <w:sz w:val="24"/>
          <w:szCs w:val="24"/>
        </w:rPr>
        <w:t>Elaborarea de programe de acțiuni pentru punerea în siguranță din punct de vedere seismic al construcțiilor existente în Municipiul București, monitorizarea acțiunilor de intervenție pentru reducerea riscului seismic, respectiv expertizarea tehnică, proiectarea și execuția lucrărilor de consolidare</w:t>
      </w:r>
      <w:r w:rsidRPr="00E64932">
        <w:rPr>
          <w:rFonts w:ascii="Times New Roman" w:hAnsi="Times New Roman" w:cs="Times New Roman"/>
          <w:sz w:val="24"/>
          <w:szCs w:val="24"/>
        </w:rPr>
        <w:t xml:space="preserve"> </w:t>
      </w:r>
    </w:p>
    <w:p w:rsidR="00A76928" w:rsidRPr="00E64932" w:rsidRDefault="00A76928" w:rsidP="00A76928">
      <w:pPr>
        <w:pStyle w:val="NoSpacing"/>
        <w:jc w:val="both"/>
        <w:rPr>
          <w:rFonts w:ascii="Times New Roman" w:hAnsi="Times New Roman" w:cs="Times New Roman"/>
          <w:sz w:val="24"/>
          <w:szCs w:val="24"/>
        </w:rPr>
      </w:pPr>
      <w:r w:rsidRPr="00E64932">
        <w:rPr>
          <w:rFonts w:ascii="Times New Roman" w:hAnsi="Times New Roman" w:cs="Times New Roman"/>
          <w:sz w:val="24"/>
          <w:szCs w:val="24"/>
        </w:rPr>
        <w:tab/>
        <w:t>Datele aferente expertizei tehnice, proiectării tehnice, execuției lucrărilor de intervenție-consolidare și de punere în siguranță sunt sintetizate în tabelul de mai jos:</w:t>
      </w:r>
    </w:p>
    <w:p w:rsidR="00A76928" w:rsidRPr="00E64932" w:rsidRDefault="00A76928" w:rsidP="00A76928">
      <w:pPr>
        <w:pStyle w:val="NoSpacing"/>
        <w:rPr>
          <w:rFonts w:ascii="Times New Roman" w:hAnsi="Times New Roman" w:cs="Times New Roman"/>
          <w:sz w:val="24"/>
          <w:szCs w:val="24"/>
        </w:rPr>
      </w:pPr>
    </w:p>
    <w:tbl>
      <w:tblPr>
        <w:tblW w:w="4871" w:type="pct"/>
        <w:tblInd w:w="108" w:type="dxa"/>
        <w:tblLook w:val="04A0"/>
      </w:tblPr>
      <w:tblGrid>
        <w:gridCol w:w="3354"/>
        <w:gridCol w:w="1476"/>
        <w:gridCol w:w="1476"/>
        <w:gridCol w:w="1751"/>
        <w:gridCol w:w="2012"/>
      </w:tblGrid>
      <w:tr w:rsidR="00A76928" w:rsidRPr="00E64932" w:rsidTr="002C01BC">
        <w:trPr>
          <w:trHeight w:val="860"/>
          <w:tblHeader/>
        </w:trPr>
        <w:tc>
          <w:tcPr>
            <w:tcW w:w="166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76928" w:rsidRPr="00E64932" w:rsidRDefault="00A76928" w:rsidP="00B9166B">
            <w:pPr>
              <w:pStyle w:val="NoSpacing"/>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 </w:t>
            </w:r>
          </w:p>
        </w:tc>
        <w:tc>
          <w:tcPr>
            <w:tcW w:w="728" w:type="pct"/>
            <w:tcBorders>
              <w:top w:val="single" w:sz="8" w:space="0" w:color="auto"/>
              <w:left w:val="nil"/>
              <w:bottom w:val="single" w:sz="8" w:space="0" w:color="auto"/>
              <w:right w:val="single" w:sz="8" w:space="0" w:color="auto"/>
            </w:tcBorders>
            <w:shd w:val="clear" w:color="auto" w:fill="auto"/>
            <w:vAlign w:val="center"/>
            <w:hideMark/>
          </w:tcPr>
          <w:p w:rsidR="00A76928" w:rsidRPr="00E64932" w:rsidRDefault="00A76928" w:rsidP="00B9166B">
            <w:pPr>
              <w:pStyle w:val="NoSpacing"/>
              <w:jc w:val="center"/>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Expertizare tehnică</w:t>
            </w:r>
          </w:p>
        </w:tc>
        <w:tc>
          <w:tcPr>
            <w:tcW w:w="728" w:type="pct"/>
            <w:tcBorders>
              <w:top w:val="single" w:sz="8" w:space="0" w:color="auto"/>
              <w:left w:val="nil"/>
              <w:bottom w:val="single" w:sz="8" w:space="0" w:color="auto"/>
              <w:right w:val="single" w:sz="8" w:space="0" w:color="auto"/>
            </w:tcBorders>
            <w:shd w:val="clear" w:color="auto" w:fill="auto"/>
            <w:vAlign w:val="center"/>
            <w:hideMark/>
          </w:tcPr>
          <w:p w:rsidR="00A76928" w:rsidRPr="00E64932" w:rsidRDefault="00A76928" w:rsidP="00B9166B">
            <w:pPr>
              <w:pStyle w:val="NoSpacing"/>
              <w:jc w:val="center"/>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Proiectare tehnică</w:t>
            </w:r>
          </w:p>
        </w:tc>
        <w:tc>
          <w:tcPr>
            <w:tcW w:w="873" w:type="pct"/>
            <w:tcBorders>
              <w:top w:val="single" w:sz="8" w:space="0" w:color="auto"/>
              <w:left w:val="nil"/>
              <w:bottom w:val="single" w:sz="8" w:space="0" w:color="auto"/>
              <w:right w:val="single" w:sz="8" w:space="0" w:color="auto"/>
            </w:tcBorders>
            <w:shd w:val="clear" w:color="auto" w:fill="auto"/>
            <w:vAlign w:val="center"/>
            <w:hideMark/>
          </w:tcPr>
          <w:p w:rsidR="00A76928" w:rsidRPr="00E64932" w:rsidRDefault="00A76928" w:rsidP="00B9166B">
            <w:pPr>
              <w:pStyle w:val="NoSpacing"/>
              <w:jc w:val="center"/>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Execuție lucrări de intervenție- consolidare</w:t>
            </w:r>
          </w:p>
        </w:tc>
        <w:tc>
          <w:tcPr>
            <w:tcW w:w="1002" w:type="pct"/>
            <w:tcBorders>
              <w:top w:val="single" w:sz="8" w:space="0" w:color="auto"/>
              <w:left w:val="nil"/>
              <w:bottom w:val="single" w:sz="8" w:space="0" w:color="auto"/>
              <w:right w:val="single" w:sz="8" w:space="0" w:color="auto"/>
            </w:tcBorders>
            <w:shd w:val="clear" w:color="auto" w:fill="auto"/>
            <w:vAlign w:val="center"/>
            <w:hideMark/>
          </w:tcPr>
          <w:p w:rsidR="00A76928" w:rsidRPr="00E64932" w:rsidRDefault="00A76928" w:rsidP="00B9166B">
            <w:pPr>
              <w:pStyle w:val="NoSpacing"/>
              <w:jc w:val="center"/>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Execuție lucrări de punere în siguranța</w:t>
            </w:r>
          </w:p>
        </w:tc>
      </w:tr>
      <w:tr w:rsidR="00A76928" w:rsidRPr="00E64932" w:rsidTr="002C01BC">
        <w:trPr>
          <w:trHeight w:val="295"/>
          <w:tblHeader/>
        </w:trPr>
        <w:tc>
          <w:tcPr>
            <w:tcW w:w="1669" w:type="pct"/>
            <w:tcBorders>
              <w:top w:val="nil"/>
              <w:left w:val="single" w:sz="8" w:space="0" w:color="auto"/>
              <w:bottom w:val="single" w:sz="8" w:space="0" w:color="auto"/>
              <w:right w:val="single" w:sz="8" w:space="0" w:color="auto"/>
            </w:tcBorders>
            <w:shd w:val="clear" w:color="auto" w:fill="auto"/>
            <w:vAlign w:val="center"/>
            <w:hideMark/>
          </w:tcPr>
          <w:p w:rsidR="00A76928" w:rsidRPr="00E64932" w:rsidRDefault="00A76928" w:rsidP="00B9166B">
            <w:pPr>
              <w:pStyle w:val="NoSpacing"/>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Nr. Imobile</w:t>
            </w:r>
          </w:p>
        </w:tc>
        <w:tc>
          <w:tcPr>
            <w:tcW w:w="728" w:type="pct"/>
            <w:tcBorders>
              <w:top w:val="nil"/>
              <w:left w:val="nil"/>
              <w:bottom w:val="single" w:sz="8" w:space="0" w:color="auto"/>
              <w:right w:val="single" w:sz="8" w:space="0" w:color="auto"/>
            </w:tcBorders>
            <w:shd w:val="clear" w:color="auto" w:fill="auto"/>
            <w:vAlign w:val="center"/>
            <w:hideMark/>
          </w:tcPr>
          <w:p w:rsidR="00A76928" w:rsidRPr="00E64932" w:rsidRDefault="00A76928" w:rsidP="00B9166B">
            <w:pPr>
              <w:pStyle w:val="NoSpacing"/>
              <w:jc w:val="center"/>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37</w:t>
            </w:r>
          </w:p>
        </w:tc>
        <w:tc>
          <w:tcPr>
            <w:tcW w:w="728" w:type="pct"/>
            <w:tcBorders>
              <w:top w:val="nil"/>
              <w:left w:val="nil"/>
              <w:bottom w:val="single" w:sz="8" w:space="0" w:color="auto"/>
              <w:right w:val="single" w:sz="8" w:space="0" w:color="auto"/>
            </w:tcBorders>
            <w:shd w:val="clear" w:color="auto" w:fill="auto"/>
            <w:vAlign w:val="center"/>
            <w:hideMark/>
          </w:tcPr>
          <w:p w:rsidR="00A76928" w:rsidRPr="00E64932" w:rsidRDefault="00A76928" w:rsidP="00B9166B">
            <w:pPr>
              <w:pStyle w:val="NoSpacing"/>
              <w:jc w:val="center"/>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37</w:t>
            </w:r>
          </w:p>
        </w:tc>
        <w:tc>
          <w:tcPr>
            <w:tcW w:w="873" w:type="pct"/>
            <w:tcBorders>
              <w:top w:val="nil"/>
              <w:left w:val="nil"/>
              <w:bottom w:val="single" w:sz="8" w:space="0" w:color="auto"/>
              <w:right w:val="single" w:sz="8" w:space="0" w:color="auto"/>
            </w:tcBorders>
            <w:shd w:val="clear" w:color="auto" w:fill="auto"/>
            <w:vAlign w:val="center"/>
            <w:hideMark/>
          </w:tcPr>
          <w:p w:rsidR="00A76928" w:rsidRPr="00E64932" w:rsidRDefault="00A76928" w:rsidP="00B9166B">
            <w:pPr>
              <w:pStyle w:val="NoSpacing"/>
              <w:jc w:val="center"/>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6</w:t>
            </w:r>
          </w:p>
        </w:tc>
        <w:tc>
          <w:tcPr>
            <w:tcW w:w="1002" w:type="pct"/>
            <w:tcBorders>
              <w:top w:val="nil"/>
              <w:left w:val="nil"/>
              <w:bottom w:val="single" w:sz="8" w:space="0" w:color="auto"/>
              <w:right w:val="single" w:sz="8" w:space="0" w:color="auto"/>
            </w:tcBorders>
            <w:shd w:val="clear" w:color="auto" w:fill="auto"/>
            <w:vAlign w:val="center"/>
            <w:hideMark/>
          </w:tcPr>
          <w:p w:rsidR="00A76928" w:rsidRPr="00E64932" w:rsidRDefault="00A76928" w:rsidP="00B9166B">
            <w:pPr>
              <w:pStyle w:val="NoSpacing"/>
              <w:jc w:val="center"/>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23</w:t>
            </w:r>
          </w:p>
        </w:tc>
      </w:tr>
      <w:tr w:rsidR="00A76928" w:rsidRPr="00E64932" w:rsidTr="002C01BC">
        <w:trPr>
          <w:trHeight w:val="295"/>
          <w:tblHeader/>
        </w:trPr>
        <w:tc>
          <w:tcPr>
            <w:tcW w:w="1669" w:type="pct"/>
            <w:tcBorders>
              <w:top w:val="nil"/>
              <w:left w:val="single" w:sz="8" w:space="0" w:color="auto"/>
              <w:bottom w:val="single" w:sz="8" w:space="0" w:color="auto"/>
              <w:right w:val="single" w:sz="8" w:space="0" w:color="auto"/>
            </w:tcBorders>
            <w:shd w:val="clear" w:color="auto" w:fill="auto"/>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Anul construirii</w:t>
            </w:r>
          </w:p>
        </w:tc>
        <w:tc>
          <w:tcPr>
            <w:tcW w:w="728" w:type="pct"/>
            <w:tcBorders>
              <w:top w:val="nil"/>
              <w:left w:val="nil"/>
              <w:bottom w:val="single" w:sz="8" w:space="0" w:color="auto"/>
              <w:right w:val="single" w:sz="8" w:space="0" w:color="auto"/>
            </w:tcBorders>
            <w:shd w:val="clear" w:color="auto" w:fill="auto"/>
            <w:vAlign w:val="center"/>
            <w:hideMark/>
          </w:tcPr>
          <w:p w:rsidR="00A76928" w:rsidRPr="00E64932" w:rsidRDefault="00A76928" w:rsidP="00B9166B">
            <w:pPr>
              <w:pStyle w:val="NoSpacing"/>
              <w:jc w:val="center"/>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1824-1940</w:t>
            </w:r>
          </w:p>
        </w:tc>
        <w:tc>
          <w:tcPr>
            <w:tcW w:w="728" w:type="pct"/>
            <w:tcBorders>
              <w:top w:val="nil"/>
              <w:left w:val="nil"/>
              <w:bottom w:val="single" w:sz="8" w:space="0" w:color="auto"/>
              <w:right w:val="single" w:sz="8" w:space="0" w:color="auto"/>
            </w:tcBorders>
            <w:shd w:val="clear" w:color="auto" w:fill="auto"/>
            <w:vAlign w:val="center"/>
            <w:hideMark/>
          </w:tcPr>
          <w:p w:rsidR="00A76928" w:rsidRPr="00E64932" w:rsidRDefault="00A76928" w:rsidP="00B9166B">
            <w:pPr>
              <w:pStyle w:val="NoSpacing"/>
              <w:jc w:val="center"/>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1824-1940</w:t>
            </w:r>
          </w:p>
        </w:tc>
        <w:tc>
          <w:tcPr>
            <w:tcW w:w="873" w:type="pct"/>
            <w:tcBorders>
              <w:top w:val="nil"/>
              <w:left w:val="nil"/>
              <w:bottom w:val="single" w:sz="8" w:space="0" w:color="auto"/>
              <w:right w:val="single" w:sz="8" w:space="0" w:color="auto"/>
            </w:tcBorders>
            <w:shd w:val="clear" w:color="auto" w:fill="auto"/>
            <w:vAlign w:val="center"/>
            <w:hideMark/>
          </w:tcPr>
          <w:p w:rsidR="00A76928" w:rsidRPr="00E64932" w:rsidRDefault="00A76928" w:rsidP="00B9166B">
            <w:pPr>
              <w:pStyle w:val="NoSpacing"/>
              <w:jc w:val="center"/>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1870-1936</w:t>
            </w:r>
          </w:p>
        </w:tc>
        <w:tc>
          <w:tcPr>
            <w:tcW w:w="1002" w:type="pct"/>
            <w:tcBorders>
              <w:top w:val="nil"/>
              <w:left w:val="nil"/>
              <w:bottom w:val="single" w:sz="8" w:space="0" w:color="auto"/>
              <w:right w:val="single" w:sz="8" w:space="0" w:color="auto"/>
            </w:tcBorders>
            <w:shd w:val="clear" w:color="auto" w:fill="auto"/>
            <w:vAlign w:val="center"/>
            <w:hideMark/>
          </w:tcPr>
          <w:p w:rsidR="00A76928" w:rsidRPr="00E64932" w:rsidRDefault="00A76928" w:rsidP="00B9166B">
            <w:pPr>
              <w:pStyle w:val="NoSpacing"/>
              <w:jc w:val="center"/>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1824-1940</w:t>
            </w:r>
          </w:p>
        </w:tc>
      </w:tr>
      <w:tr w:rsidR="00A76928" w:rsidRPr="00E64932" w:rsidTr="002C01BC">
        <w:trPr>
          <w:trHeight w:val="295"/>
          <w:tblHeader/>
        </w:trPr>
        <w:tc>
          <w:tcPr>
            <w:tcW w:w="1669" w:type="pct"/>
            <w:tcBorders>
              <w:top w:val="nil"/>
              <w:left w:val="single" w:sz="8" w:space="0" w:color="auto"/>
              <w:bottom w:val="single" w:sz="8" w:space="0" w:color="auto"/>
              <w:right w:val="single" w:sz="8" w:space="0" w:color="auto"/>
            </w:tcBorders>
            <w:shd w:val="clear" w:color="auto" w:fill="auto"/>
            <w:vAlign w:val="center"/>
            <w:hideMark/>
          </w:tcPr>
          <w:p w:rsidR="00A76928" w:rsidRPr="00E64932" w:rsidRDefault="00A76928" w:rsidP="00B9166B">
            <w:pPr>
              <w:pStyle w:val="NoSpacing"/>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Număr apartamente</w:t>
            </w:r>
          </w:p>
        </w:tc>
        <w:tc>
          <w:tcPr>
            <w:tcW w:w="728" w:type="pct"/>
            <w:tcBorders>
              <w:top w:val="nil"/>
              <w:left w:val="nil"/>
              <w:bottom w:val="single" w:sz="8" w:space="0" w:color="auto"/>
              <w:right w:val="single" w:sz="8" w:space="0" w:color="auto"/>
            </w:tcBorders>
            <w:shd w:val="clear" w:color="auto" w:fill="auto"/>
            <w:vAlign w:val="center"/>
            <w:hideMark/>
          </w:tcPr>
          <w:p w:rsidR="00A76928" w:rsidRPr="00E64932" w:rsidRDefault="00A76928" w:rsidP="00B9166B">
            <w:pPr>
              <w:pStyle w:val="NoSpacing"/>
              <w:jc w:val="center"/>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662</w:t>
            </w:r>
          </w:p>
        </w:tc>
        <w:tc>
          <w:tcPr>
            <w:tcW w:w="728" w:type="pct"/>
            <w:tcBorders>
              <w:top w:val="nil"/>
              <w:left w:val="nil"/>
              <w:bottom w:val="single" w:sz="8" w:space="0" w:color="auto"/>
              <w:right w:val="single" w:sz="8" w:space="0" w:color="auto"/>
            </w:tcBorders>
            <w:shd w:val="clear" w:color="auto" w:fill="auto"/>
            <w:vAlign w:val="center"/>
            <w:hideMark/>
          </w:tcPr>
          <w:p w:rsidR="00A76928" w:rsidRPr="00E64932" w:rsidRDefault="00A76928" w:rsidP="00B9166B">
            <w:pPr>
              <w:pStyle w:val="NoSpacing"/>
              <w:jc w:val="center"/>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662</w:t>
            </w:r>
          </w:p>
        </w:tc>
        <w:tc>
          <w:tcPr>
            <w:tcW w:w="873" w:type="pct"/>
            <w:tcBorders>
              <w:top w:val="nil"/>
              <w:left w:val="nil"/>
              <w:bottom w:val="single" w:sz="8" w:space="0" w:color="auto"/>
              <w:right w:val="single" w:sz="8" w:space="0" w:color="auto"/>
            </w:tcBorders>
            <w:shd w:val="clear" w:color="auto" w:fill="auto"/>
            <w:vAlign w:val="center"/>
            <w:hideMark/>
          </w:tcPr>
          <w:p w:rsidR="00A76928" w:rsidRPr="00E64932" w:rsidRDefault="00A76928" w:rsidP="00B9166B">
            <w:pPr>
              <w:pStyle w:val="NoSpacing"/>
              <w:jc w:val="center"/>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144</w:t>
            </w:r>
          </w:p>
        </w:tc>
        <w:tc>
          <w:tcPr>
            <w:tcW w:w="1002" w:type="pct"/>
            <w:tcBorders>
              <w:top w:val="nil"/>
              <w:left w:val="nil"/>
              <w:bottom w:val="single" w:sz="8" w:space="0" w:color="auto"/>
              <w:right w:val="single" w:sz="8" w:space="0" w:color="auto"/>
            </w:tcBorders>
            <w:shd w:val="clear" w:color="auto" w:fill="auto"/>
            <w:vAlign w:val="center"/>
            <w:hideMark/>
          </w:tcPr>
          <w:p w:rsidR="00A76928" w:rsidRPr="00E64932" w:rsidRDefault="00A76928" w:rsidP="00B9166B">
            <w:pPr>
              <w:pStyle w:val="NoSpacing"/>
              <w:jc w:val="center"/>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130</w:t>
            </w:r>
          </w:p>
        </w:tc>
      </w:tr>
      <w:tr w:rsidR="00A76928" w:rsidRPr="00E64932" w:rsidTr="002C01BC">
        <w:trPr>
          <w:trHeight w:val="559"/>
          <w:tblHeader/>
        </w:trPr>
        <w:tc>
          <w:tcPr>
            <w:tcW w:w="1669" w:type="pct"/>
            <w:tcBorders>
              <w:top w:val="nil"/>
              <w:left w:val="single" w:sz="8" w:space="0" w:color="auto"/>
              <w:bottom w:val="single" w:sz="8" w:space="0" w:color="auto"/>
              <w:right w:val="single" w:sz="8" w:space="0" w:color="auto"/>
            </w:tcBorders>
            <w:shd w:val="clear" w:color="auto" w:fill="auto"/>
            <w:vAlign w:val="center"/>
            <w:hideMark/>
          </w:tcPr>
          <w:p w:rsidR="00A76928" w:rsidRPr="00E64932" w:rsidRDefault="00A76928" w:rsidP="00B9166B">
            <w:pPr>
              <w:pStyle w:val="NoSpacing"/>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Suprafața construită desfășurată (mp), din care:</w:t>
            </w:r>
          </w:p>
        </w:tc>
        <w:tc>
          <w:tcPr>
            <w:tcW w:w="728" w:type="pct"/>
            <w:tcBorders>
              <w:top w:val="nil"/>
              <w:left w:val="nil"/>
              <w:bottom w:val="single" w:sz="8" w:space="0" w:color="auto"/>
              <w:right w:val="single" w:sz="8" w:space="0" w:color="auto"/>
            </w:tcBorders>
            <w:shd w:val="clear" w:color="auto" w:fill="auto"/>
            <w:vAlign w:val="center"/>
            <w:hideMark/>
          </w:tcPr>
          <w:p w:rsidR="00A76928" w:rsidRPr="00E64932" w:rsidRDefault="00A76928" w:rsidP="00B9166B">
            <w:pPr>
              <w:pStyle w:val="NoSpacing"/>
              <w:jc w:val="right"/>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80.424,57</w:t>
            </w:r>
          </w:p>
        </w:tc>
        <w:tc>
          <w:tcPr>
            <w:tcW w:w="728" w:type="pct"/>
            <w:tcBorders>
              <w:top w:val="nil"/>
              <w:left w:val="nil"/>
              <w:bottom w:val="single" w:sz="8" w:space="0" w:color="auto"/>
              <w:right w:val="single" w:sz="8" w:space="0" w:color="auto"/>
            </w:tcBorders>
            <w:shd w:val="clear" w:color="auto" w:fill="auto"/>
            <w:vAlign w:val="center"/>
            <w:hideMark/>
          </w:tcPr>
          <w:p w:rsidR="00A76928" w:rsidRPr="00E64932" w:rsidRDefault="00A76928" w:rsidP="00B9166B">
            <w:pPr>
              <w:pStyle w:val="NoSpacing"/>
              <w:jc w:val="right"/>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74.458,48</w:t>
            </w:r>
          </w:p>
        </w:tc>
        <w:tc>
          <w:tcPr>
            <w:tcW w:w="873" w:type="pct"/>
            <w:tcBorders>
              <w:top w:val="nil"/>
              <w:left w:val="nil"/>
              <w:bottom w:val="single" w:sz="8" w:space="0" w:color="auto"/>
              <w:right w:val="single" w:sz="8" w:space="0" w:color="auto"/>
            </w:tcBorders>
            <w:shd w:val="clear" w:color="auto" w:fill="auto"/>
            <w:vAlign w:val="center"/>
            <w:hideMark/>
          </w:tcPr>
          <w:p w:rsidR="00A76928" w:rsidRPr="00E64932" w:rsidRDefault="00A76928" w:rsidP="00B9166B">
            <w:pPr>
              <w:pStyle w:val="NoSpacing"/>
              <w:jc w:val="right"/>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17.271,00</w:t>
            </w:r>
          </w:p>
        </w:tc>
        <w:tc>
          <w:tcPr>
            <w:tcW w:w="1002" w:type="pct"/>
            <w:tcBorders>
              <w:top w:val="nil"/>
              <w:left w:val="nil"/>
              <w:bottom w:val="single" w:sz="8" w:space="0" w:color="auto"/>
              <w:right w:val="single" w:sz="8" w:space="0" w:color="auto"/>
            </w:tcBorders>
            <w:shd w:val="clear" w:color="auto" w:fill="auto"/>
            <w:vAlign w:val="center"/>
            <w:hideMark/>
          </w:tcPr>
          <w:p w:rsidR="00A76928" w:rsidRPr="00E64932" w:rsidRDefault="00A76928" w:rsidP="00B9166B">
            <w:pPr>
              <w:pStyle w:val="NoSpacing"/>
              <w:jc w:val="right"/>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18.520,26</w:t>
            </w:r>
          </w:p>
        </w:tc>
      </w:tr>
      <w:tr w:rsidR="00A76928" w:rsidRPr="00E64932" w:rsidTr="002C01BC">
        <w:trPr>
          <w:trHeight w:val="681"/>
          <w:tblHeader/>
        </w:trPr>
        <w:tc>
          <w:tcPr>
            <w:tcW w:w="1669" w:type="pct"/>
            <w:tcBorders>
              <w:top w:val="nil"/>
              <w:left w:val="single" w:sz="8" w:space="0" w:color="auto"/>
              <w:bottom w:val="single" w:sz="4" w:space="0" w:color="auto"/>
              <w:right w:val="single" w:sz="8" w:space="0" w:color="auto"/>
            </w:tcBorders>
            <w:shd w:val="clear" w:color="auto" w:fill="auto"/>
            <w:vAlign w:val="center"/>
            <w:hideMark/>
          </w:tcPr>
          <w:p w:rsidR="00A76928" w:rsidRPr="00E64932" w:rsidRDefault="00A76928" w:rsidP="00B9166B">
            <w:pPr>
              <w:pStyle w:val="NoSpacing"/>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Sume contractate din transferuri de la bugetul local (lei, fără TVA)</w:t>
            </w:r>
          </w:p>
        </w:tc>
        <w:tc>
          <w:tcPr>
            <w:tcW w:w="728" w:type="pct"/>
            <w:tcBorders>
              <w:top w:val="nil"/>
              <w:left w:val="nil"/>
              <w:bottom w:val="single" w:sz="4" w:space="0" w:color="auto"/>
              <w:right w:val="single" w:sz="8" w:space="0" w:color="auto"/>
            </w:tcBorders>
            <w:shd w:val="clear" w:color="auto" w:fill="auto"/>
            <w:vAlign w:val="center"/>
            <w:hideMark/>
          </w:tcPr>
          <w:p w:rsidR="00A76928" w:rsidRPr="00E64932" w:rsidRDefault="00A76928" w:rsidP="00B9166B">
            <w:pPr>
              <w:pStyle w:val="NoSpacing"/>
              <w:jc w:val="right"/>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2.834.548,30</w:t>
            </w:r>
          </w:p>
        </w:tc>
        <w:tc>
          <w:tcPr>
            <w:tcW w:w="728" w:type="pct"/>
            <w:tcBorders>
              <w:top w:val="nil"/>
              <w:left w:val="nil"/>
              <w:bottom w:val="single" w:sz="4" w:space="0" w:color="auto"/>
              <w:right w:val="single" w:sz="8" w:space="0" w:color="auto"/>
            </w:tcBorders>
            <w:shd w:val="clear" w:color="auto" w:fill="auto"/>
            <w:vAlign w:val="center"/>
            <w:hideMark/>
          </w:tcPr>
          <w:p w:rsidR="00A76928" w:rsidRPr="00E64932" w:rsidRDefault="00A76928" w:rsidP="00B9166B">
            <w:pPr>
              <w:pStyle w:val="NoSpacing"/>
              <w:jc w:val="right"/>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2.297.519,56</w:t>
            </w:r>
          </w:p>
        </w:tc>
        <w:tc>
          <w:tcPr>
            <w:tcW w:w="873" w:type="pct"/>
            <w:tcBorders>
              <w:top w:val="nil"/>
              <w:left w:val="nil"/>
              <w:bottom w:val="single" w:sz="4" w:space="0" w:color="auto"/>
              <w:right w:val="single" w:sz="8" w:space="0" w:color="auto"/>
            </w:tcBorders>
            <w:shd w:val="clear" w:color="auto" w:fill="auto"/>
            <w:vAlign w:val="center"/>
            <w:hideMark/>
          </w:tcPr>
          <w:p w:rsidR="00A76928" w:rsidRPr="00E64932" w:rsidRDefault="00A76928" w:rsidP="00B9166B">
            <w:pPr>
              <w:pStyle w:val="NoSpacing"/>
              <w:jc w:val="right"/>
              <w:rPr>
                <w:rFonts w:ascii="Times New Roman" w:hAnsi="Times New Roman" w:cs="Times New Roman"/>
                <w:color w:val="000000"/>
                <w:sz w:val="24"/>
                <w:szCs w:val="24"/>
              </w:rPr>
            </w:pPr>
          </w:p>
          <w:p w:rsidR="00A76928" w:rsidRPr="00E64932" w:rsidRDefault="00A76928" w:rsidP="00B9166B">
            <w:pPr>
              <w:pStyle w:val="NoSpacing"/>
              <w:jc w:val="right"/>
              <w:rPr>
                <w:rFonts w:ascii="Times New Roman" w:hAnsi="Times New Roman" w:cs="Times New Roman"/>
                <w:color w:val="000000"/>
                <w:sz w:val="24"/>
                <w:szCs w:val="24"/>
              </w:rPr>
            </w:pPr>
            <w:r w:rsidRPr="00E64932">
              <w:rPr>
                <w:rFonts w:ascii="Times New Roman" w:hAnsi="Times New Roman" w:cs="Times New Roman"/>
                <w:color w:val="000000"/>
                <w:sz w:val="24"/>
                <w:szCs w:val="24"/>
              </w:rPr>
              <w:t>38,264,694.93</w:t>
            </w:r>
          </w:p>
          <w:p w:rsidR="00A76928" w:rsidRPr="00E64932" w:rsidRDefault="00A76928" w:rsidP="00B9166B">
            <w:pPr>
              <w:pStyle w:val="NoSpacing"/>
              <w:jc w:val="right"/>
              <w:rPr>
                <w:rFonts w:ascii="Times New Roman" w:eastAsia="Times New Roman" w:hAnsi="Times New Roman" w:cs="Times New Roman"/>
                <w:bCs/>
                <w:color w:val="000000"/>
                <w:sz w:val="24"/>
                <w:szCs w:val="24"/>
              </w:rPr>
            </w:pPr>
          </w:p>
        </w:tc>
        <w:tc>
          <w:tcPr>
            <w:tcW w:w="1002" w:type="pct"/>
            <w:tcBorders>
              <w:top w:val="nil"/>
              <w:left w:val="nil"/>
              <w:bottom w:val="single" w:sz="4" w:space="0" w:color="auto"/>
              <w:right w:val="single" w:sz="8" w:space="0" w:color="auto"/>
            </w:tcBorders>
            <w:shd w:val="clear" w:color="auto" w:fill="auto"/>
            <w:vAlign w:val="center"/>
            <w:hideMark/>
          </w:tcPr>
          <w:p w:rsidR="00A76928" w:rsidRPr="00E64932" w:rsidRDefault="00A76928" w:rsidP="00B9166B">
            <w:pPr>
              <w:pStyle w:val="NoSpacing"/>
              <w:jc w:val="right"/>
              <w:rPr>
                <w:rFonts w:ascii="Times New Roman" w:hAnsi="Times New Roman" w:cs="Times New Roman"/>
                <w:color w:val="000000"/>
                <w:sz w:val="24"/>
                <w:szCs w:val="24"/>
              </w:rPr>
            </w:pPr>
            <w:r w:rsidRPr="00E64932">
              <w:rPr>
                <w:rFonts w:ascii="Times New Roman" w:hAnsi="Times New Roman" w:cs="Times New Roman"/>
                <w:color w:val="000000"/>
                <w:sz w:val="24"/>
                <w:szCs w:val="24"/>
              </w:rPr>
              <w:t>10,908,231.45</w:t>
            </w:r>
          </w:p>
        </w:tc>
      </w:tr>
      <w:tr w:rsidR="00A76928" w:rsidRPr="00E64932" w:rsidTr="002C01BC">
        <w:trPr>
          <w:trHeight w:val="670"/>
          <w:tblHeader/>
        </w:trPr>
        <w:tc>
          <w:tcPr>
            <w:tcW w:w="1669"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A76928" w:rsidRPr="00E64932" w:rsidRDefault="00A76928" w:rsidP="00B9166B">
            <w:pPr>
              <w:pStyle w:val="NoSpacing"/>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Sume decontate din transferuri de la bugetul local (lei, fără TVA)</w:t>
            </w:r>
          </w:p>
        </w:tc>
        <w:tc>
          <w:tcPr>
            <w:tcW w:w="728" w:type="pct"/>
            <w:tcBorders>
              <w:top w:val="single" w:sz="4" w:space="0" w:color="auto"/>
              <w:left w:val="nil"/>
              <w:bottom w:val="single" w:sz="8" w:space="0" w:color="auto"/>
              <w:right w:val="single" w:sz="8" w:space="0" w:color="auto"/>
            </w:tcBorders>
            <w:shd w:val="clear" w:color="auto" w:fill="auto"/>
            <w:vAlign w:val="center"/>
            <w:hideMark/>
          </w:tcPr>
          <w:p w:rsidR="00A76928" w:rsidRPr="00E64932" w:rsidRDefault="00A76928" w:rsidP="00B9166B">
            <w:pPr>
              <w:pStyle w:val="NoSpacing"/>
              <w:jc w:val="right"/>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1,678,859.35</w:t>
            </w:r>
          </w:p>
        </w:tc>
        <w:tc>
          <w:tcPr>
            <w:tcW w:w="728" w:type="pct"/>
            <w:tcBorders>
              <w:top w:val="single" w:sz="4" w:space="0" w:color="auto"/>
              <w:left w:val="nil"/>
              <w:bottom w:val="single" w:sz="8" w:space="0" w:color="auto"/>
              <w:right w:val="single" w:sz="8" w:space="0" w:color="auto"/>
            </w:tcBorders>
            <w:shd w:val="clear" w:color="auto" w:fill="auto"/>
            <w:vAlign w:val="center"/>
            <w:hideMark/>
          </w:tcPr>
          <w:p w:rsidR="00A76928" w:rsidRPr="00E64932" w:rsidRDefault="00A76928" w:rsidP="00B9166B">
            <w:pPr>
              <w:pStyle w:val="NoSpacing"/>
              <w:jc w:val="right"/>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w:t>
            </w:r>
          </w:p>
        </w:tc>
        <w:tc>
          <w:tcPr>
            <w:tcW w:w="873" w:type="pct"/>
            <w:tcBorders>
              <w:top w:val="single" w:sz="4" w:space="0" w:color="auto"/>
              <w:left w:val="nil"/>
              <w:bottom w:val="single" w:sz="8" w:space="0" w:color="auto"/>
              <w:right w:val="single" w:sz="8" w:space="0" w:color="auto"/>
            </w:tcBorders>
            <w:shd w:val="clear" w:color="auto" w:fill="auto"/>
            <w:vAlign w:val="center"/>
            <w:hideMark/>
          </w:tcPr>
          <w:p w:rsidR="00A76928" w:rsidRPr="00E64932" w:rsidRDefault="00A76928" w:rsidP="00B9166B">
            <w:pPr>
              <w:pStyle w:val="NoSpacing"/>
              <w:jc w:val="right"/>
              <w:rPr>
                <w:rFonts w:ascii="Times New Roman" w:eastAsia="Times New Roman" w:hAnsi="Times New Roman" w:cs="Times New Roman"/>
                <w:bCs/>
                <w:color w:val="000000"/>
                <w:sz w:val="24"/>
                <w:szCs w:val="24"/>
              </w:rPr>
            </w:pPr>
            <w:r w:rsidRPr="00E64932">
              <w:rPr>
                <w:rFonts w:ascii="Times New Roman" w:hAnsi="Times New Roman" w:cs="Times New Roman"/>
                <w:color w:val="000000"/>
                <w:sz w:val="24"/>
                <w:szCs w:val="24"/>
              </w:rPr>
              <w:t>3,952,043.21</w:t>
            </w:r>
            <w:r w:rsidRPr="00E64932">
              <w:rPr>
                <w:rFonts w:ascii="Times New Roman" w:eastAsia="Times New Roman" w:hAnsi="Times New Roman" w:cs="Times New Roman"/>
                <w:bCs/>
                <w:color w:val="000000"/>
                <w:sz w:val="24"/>
                <w:szCs w:val="24"/>
              </w:rPr>
              <w:t> </w:t>
            </w:r>
          </w:p>
        </w:tc>
        <w:tc>
          <w:tcPr>
            <w:tcW w:w="1002" w:type="pct"/>
            <w:tcBorders>
              <w:top w:val="single" w:sz="4" w:space="0" w:color="auto"/>
              <w:left w:val="nil"/>
              <w:bottom w:val="single" w:sz="8" w:space="0" w:color="auto"/>
              <w:right w:val="single" w:sz="8" w:space="0" w:color="auto"/>
            </w:tcBorders>
            <w:shd w:val="clear" w:color="auto" w:fill="auto"/>
            <w:vAlign w:val="center"/>
            <w:hideMark/>
          </w:tcPr>
          <w:p w:rsidR="00A76928" w:rsidRPr="00E64932" w:rsidRDefault="00A76928" w:rsidP="00B9166B">
            <w:pPr>
              <w:pStyle w:val="NoSpacing"/>
              <w:jc w:val="right"/>
              <w:rPr>
                <w:rFonts w:ascii="Times New Roman" w:eastAsia="Times New Roman" w:hAnsi="Times New Roman" w:cs="Times New Roman"/>
                <w:bCs/>
                <w:color w:val="000000"/>
                <w:sz w:val="24"/>
                <w:szCs w:val="24"/>
              </w:rPr>
            </w:pPr>
            <w:r w:rsidRPr="00E64932">
              <w:rPr>
                <w:rFonts w:ascii="Times New Roman" w:hAnsi="Times New Roman" w:cs="Times New Roman"/>
                <w:color w:val="000000"/>
                <w:sz w:val="24"/>
                <w:szCs w:val="24"/>
              </w:rPr>
              <w:t>6,016,189.86</w:t>
            </w:r>
          </w:p>
        </w:tc>
      </w:tr>
    </w:tbl>
    <w:p w:rsidR="00A76928" w:rsidRPr="00E64932" w:rsidRDefault="00A76928" w:rsidP="00A76928">
      <w:pPr>
        <w:pStyle w:val="NoSpacing"/>
        <w:ind w:firstLine="360"/>
        <w:jc w:val="both"/>
        <w:rPr>
          <w:rFonts w:ascii="Times New Roman" w:hAnsi="Times New Roman" w:cs="Times New Roman"/>
          <w:sz w:val="24"/>
          <w:szCs w:val="24"/>
        </w:rPr>
      </w:pPr>
      <w:r w:rsidRPr="00E64932">
        <w:rPr>
          <w:rFonts w:ascii="Times New Roman" w:hAnsi="Times New Roman" w:cs="Times New Roman"/>
          <w:sz w:val="24"/>
          <w:szCs w:val="24"/>
        </w:rPr>
        <w:lastRenderedPageBreak/>
        <w:t>Pentru îndeplinirea obiectivului de reducere a riscului seismic în Municipiul București, pe parcursul anului 2018 au fost implementate 3 programe, respectiv:</w:t>
      </w:r>
    </w:p>
    <w:p w:rsidR="00A76928" w:rsidRPr="00E64932" w:rsidRDefault="00A76928" w:rsidP="00980D72">
      <w:pPr>
        <w:pStyle w:val="NoSpacing"/>
        <w:numPr>
          <w:ilvl w:val="0"/>
          <w:numId w:val="33"/>
        </w:numPr>
        <w:rPr>
          <w:rFonts w:ascii="Times New Roman" w:hAnsi="Times New Roman" w:cs="Times New Roman"/>
          <w:sz w:val="24"/>
          <w:szCs w:val="24"/>
        </w:rPr>
      </w:pPr>
      <w:r w:rsidRPr="00E64932">
        <w:rPr>
          <w:rFonts w:ascii="Times New Roman" w:hAnsi="Times New Roman" w:cs="Times New Roman"/>
          <w:sz w:val="24"/>
          <w:szCs w:val="24"/>
        </w:rPr>
        <w:t>Programul de Consolidare;</w:t>
      </w:r>
    </w:p>
    <w:p w:rsidR="00A76928" w:rsidRPr="00E64932" w:rsidRDefault="00A76928" w:rsidP="00980D72">
      <w:pPr>
        <w:pStyle w:val="NoSpacing"/>
        <w:numPr>
          <w:ilvl w:val="0"/>
          <w:numId w:val="33"/>
        </w:numPr>
        <w:rPr>
          <w:rFonts w:ascii="Times New Roman" w:hAnsi="Times New Roman" w:cs="Times New Roman"/>
          <w:sz w:val="24"/>
          <w:szCs w:val="24"/>
        </w:rPr>
      </w:pPr>
      <w:r w:rsidRPr="00E64932">
        <w:rPr>
          <w:rFonts w:ascii="Times New Roman" w:hAnsi="Times New Roman" w:cs="Times New Roman"/>
          <w:sz w:val="24"/>
          <w:szCs w:val="24"/>
        </w:rPr>
        <w:t>Programul de Punere în Siguranță;</w:t>
      </w:r>
    </w:p>
    <w:p w:rsidR="00A76928" w:rsidRPr="00E64932" w:rsidRDefault="00A76928" w:rsidP="00980D72">
      <w:pPr>
        <w:pStyle w:val="NoSpacing"/>
        <w:numPr>
          <w:ilvl w:val="0"/>
          <w:numId w:val="33"/>
        </w:numPr>
        <w:rPr>
          <w:rFonts w:ascii="Times New Roman" w:hAnsi="Times New Roman" w:cs="Times New Roman"/>
          <w:sz w:val="24"/>
          <w:szCs w:val="24"/>
        </w:rPr>
      </w:pPr>
      <w:r w:rsidRPr="00E64932">
        <w:rPr>
          <w:rFonts w:ascii="Times New Roman" w:hAnsi="Times New Roman" w:cs="Times New Roman"/>
          <w:sz w:val="24"/>
          <w:szCs w:val="24"/>
        </w:rPr>
        <w:t>Programul de Reabilitare arhitectural-ambientală a Fațadelor.</w:t>
      </w:r>
    </w:p>
    <w:p w:rsidR="00A76928" w:rsidRPr="00E64932" w:rsidRDefault="00A76928" w:rsidP="00A76928">
      <w:pPr>
        <w:pStyle w:val="NoSpacing"/>
        <w:jc w:val="both"/>
        <w:rPr>
          <w:rFonts w:ascii="Times New Roman" w:hAnsi="Times New Roman" w:cs="Times New Roman"/>
          <w:b/>
          <w:sz w:val="24"/>
          <w:szCs w:val="24"/>
        </w:rPr>
      </w:pPr>
      <w:r w:rsidRPr="00E64932">
        <w:rPr>
          <w:rFonts w:ascii="Times New Roman" w:hAnsi="Times New Roman" w:cs="Times New Roman"/>
          <w:b/>
          <w:color w:val="000000"/>
          <w:sz w:val="24"/>
          <w:szCs w:val="24"/>
        </w:rPr>
        <w:t xml:space="preserve">► </w:t>
      </w:r>
      <w:r w:rsidRPr="00E64932">
        <w:rPr>
          <w:rFonts w:ascii="Times New Roman" w:hAnsi="Times New Roman" w:cs="Times New Roman"/>
          <w:b/>
          <w:sz w:val="24"/>
          <w:szCs w:val="24"/>
        </w:rPr>
        <w:t>Programul de consolidare</w:t>
      </w:r>
    </w:p>
    <w:p w:rsidR="00A76928" w:rsidRPr="00E64932" w:rsidRDefault="00A76928" w:rsidP="00A76928">
      <w:pPr>
        <w:pStyle w:val="NoSpacing"/>
        <w:ind w:firstLine="720"/>
        <w:jc w:val="both"/>
        <w:rPr>
          <w:rFonts w:ascii="Times New Roman" w:hAnsi="Times New Roman" w:cs="Times New Roman"/>
          <w:sz w:val="24"/>
          <w:szCs w:val="24"/>
        </w:rPr>
      </w:pPr>
      <w:r w:rsidRPr="00E64932">
        <w:rPr>
          <w:rFonts w:ascii="Times New Roman" w:hAnsi="Times New Roman" w:cs="Times New Roman"/>
          <w:sz w:val="24"/>
          <w:szCs w:val="24"/>
        </w:rPr>
        <w:t>Administrația Municipală pentru Consolidarea Clădirilor cu Risc Seismic a continuat pe parcursul anului 2018 programul (început în anul 2017 prin 3 lucrări de intervenție-consolidare), punând în aplicare cele trei etape care vizează reducerea riscului seismic: expertizare tehnică, proiectare și execuție lucrări de intervenție - consolidare.</w:t>
      </w:r>
    </w:p>
    <w:p w:rsidR="00A76928" w:rsidRPr="00E64932" w:rsidRDefault="00A76928" w:rsidP="00A76928">
      <w:pPr>
        <w:pStyle w:val="NoSpacing"/>
        <w:ind w:firstLine="720"/>
        <w:jc w:val="both"/>
        <w:rPr>
          <w:rFonts w:ascii="Times New Roman" w:hAnsi="Times New Roman" w:cs="Times New Roman"/>
          <w:sz w:val="24"/>
          <w:szCs w:val="24"/>
        </w:rPr>
      </w:pPr>
      <w:r w:rsidRPr="00E64932">
        <w:rPr>
          <w:rFonts w:ascii="Times New Roman" w:hAnsi="Times New Roman" w:cs="Times New Roman"/>
          <w:sz w:val="24"/>
          <w:szCs w:val="24"/>
        </w:rPr>
        <w:t>Conform atribuțiilor de programare, pregătire și contractare, în cadrul programului de consolidare au fost încheiate contracte de execuție lucrări de intervenție - consolidare, pentru un număr de 6 imobile încadrate în clasa I de risc seismic.</w:t>
      </w:r>
    </w:p>
    <w:p w:rsidR="00A76928" w:rsidRPr="00E64932" w:rsidRDefault="00A76928" w:rsidP="00A76928">
      <w:pPr>
        <w:pStyle w:val="NoSpacing"/>
        <w:ind w:firstLine="720"/>
        <w:jc w:val="both"/>
        <w:rPr>
          <w:rFonts w:ascii="Times New Roman" w:hAnsi="Times New Roman" w:cs="Times New Roman"/>
          <w:sz w:val="24"/>
          <w:szCs w:val="24"/>
        </w:rPr>
      </w:pPr>
      <w:r w:rsidRPr="00E64932">
        <w:rPr>
          <w:rFonts w:ascii="Times New Roman" w:hAnsi="Times New Roman" w:cs="Times New Roman"/>
          <w:sz w:val="24"/>
          <w:szCs w:val="24"/>
        </w:rPr>
        <w:t>La finalul anului 2018 sunt în derulare 7 șantiere unde se execută lucrări de consolidare, luând în calcul și lucrările începute în anul 2017.</w:t>
      </w:r>
    </w:p>
    <w:p w:rsidR="00A76928" w:rsidRPr="00E64932" w:rsidRDefault="00A76928" w:rsidP="00A76928">
      <w:pPr>
        <w:pStyle w:val="NoSpacing"/>
        <w:rPr>
          <w:rFonts w:ascii="Times New Roman" w:hAnsi="Times New Roman" w:cs="Times New Roman"/>
          <w:sz w:val="24"/>
          <w:szCs w:val="24"/>
        </w:rPr>
      </w:pPr>
    </w:p>
    <w:tbl>
      <w:tblPr>
        <w:tblW w:w="4875" w:type="pct"/>
        <w:tblInd w:w="108" w:type="dxa"/>
        <w:tblLayout w:type="fixed"/>
        <w:tblLook w:val="04A0"/>
      </w:tblPr>
      <w:tblGrid>
        <w:gridCol w:w="604"/>
        <w:gridCol w:w="2147"/>
        <w:gridCol w:w="1173"/>
        <w:gridCol w:w="1318"/>
        <w:gridCol w:w="1318"/>
        <w:gridCol w:w="734"/>
        <w:gridCol w:w="879"/>
        <w:gridCol w:w="1905"/>
      </w:tblGrid>
      <w:tr w:rsidR="00A76928" w:rsidRPr="00E64932" w:rsidTr="00B9166B">
        <w:trPr>
          <w:cantSplit/>
          <w:trHeight w:val="1134"/>
          <w:tblHeader/>
        </w:trPr>
        <w:tc>
          <w:tcPr>
            <w:tcW w:w="300"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76928" w:rsidRPr="00E64932" w:rsidRDefault="00A76928" w:rsidP="00B9166B">
            <w:pPr>
              <w:pStyle w:val="NoSpacing"/>
              <w:ind w:left="-142" w:firstLine="142"/>
              <w:jc w:val="center"/>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Nr.</w:t>
            </w:r>
          </w:p>
          <w:p w:rsidR="00A76928" w:rsidRPr="00E64932" w:rsidRDefault="00A76928" w:rsidP="00B9166B">
            <w:pPr>
              <w:pStyle w:val="NoSpacing"/>
              <w:jc w:val="center"/>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Crt.</w:t>
            </w:r>
          </w:p>
        </w:tc>
        <w:tc>
          <w:tcPr>
            <w:tcW w:w="1065" w:type="pct"/>
            <w:tcBorders>
              <w:top w:val="single" w:sz="8" w:space="0" w:color="auto"/>
              <w:left w:val="nil"/>
              <w:bottom w:val="single" w:sz="8" w:space="0" w:color="auto"/>
              <w:right w:val="single" w:sz="4" w:space="0" w:color="auto"/>
            </w:tcBorders>
            <w:shd w:val="clear" w:color="auto" w:fill="auto"/>
            <w:vAlign w:val="center"/>
            <w:hideMark/>
          </w:tcPr>
          <w:p w:rsidR="00A76928" w:rsidRPr="00E64932" w:rsidRDefault="00A76928" w:rsidP="00B9166B">
            <w:pPr>
              <w:pStyle w:val="NoSpacing"/>
              <w:jc w:val="center"/>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Adresa</w:t>
            </w:r>
          </w:p>
        </w:tc>
        <w:tc>
          <w:tcPr>
            <w:tcW w:w="582" w:type="pct"/>
            <w:tcBorders>
              <w:top w:val="single" w:sz="8" w:space="0" w:color="auto"/>
              <w:left w:val="nil"/>
              <w:bottom w:val="single" w:sz="8" w:space="0" w:color="auto"/>
              <w:right w:val="single" w:sz="4" w:space="0" w:color="auto"/>
            </w:tcBorders>
            <w:shd w:val="clear" w:color="auto" w:fill="auto"/>
            <w:vAlign w:val="center"/>
            <w:hideMark/>
          </w:tcPr>
          <w:p w:rsidR="00A76928" w:rsidRPr="00E64932" w:rsidRDefault="00A76928" w:rsidP="00B9166B">
            <w:pPr>
              <w:pStyle w:val="NoSpacing"/>
              <w:jc w:val="center"/>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Suprafață   (mp)</w:t>
            </w:r>
          </w:p>
        </w:tc>
        <w:tc>
          <w:tcPr>
            <w:tcW w:w="654" w:type="pct"/>
            <w:tcBorders>
              <w:top w:val="single" w:sz="8" w:space="0" w:color="auto"/>
              <w:left w:val="nil"/>
              <w:bottom w:val="single" w:sz="8" w:space="0" w:color="auto"/>
              <w:right w:val="single" w:sz="4" w:space="0" w:color="auto"/>
            </w:tcBorders>
            <w:shd w:val="clear" w:color="auto" w:fill="auto"/>
            <w:vAlign w:val="center"/>
            <w:hideMark/>
          </w:tcPr>
          <w:p w:rsidR="00A76928" w:rsidRPr="00E64932" w:rsidRDefault="00A76928" w:rsidP="00B9166B">
            <w:pPr>
              <w:pStyle w:val="NoSpacing"/>
              <w:jc w:val="center"/>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An construire</w:t>
            </w:r>
          </w:p>
        </w:tc>
        <w:tc>
          <w:tcPr>
            <w:tcW w:w="654" w:type="pct"/>
            <w:tcBorders>
              <w:top w:val="single" w:sz="8" w:space="0" w:color="auto"/>
              <w:left w:val="nil"/>
              <w:bottom w:val="single" w:sz="8" w:space="0" w:color="auto"/>
              <w:right w:val="single" w:sz="4" w:space="0" w:color="auto"/>
            </w:tcBorders>
            <w:shd w:val="clear" w:color="auto" w:fill="auto"/>
            <w:vAlign w:val="center"/>
            <w:hideMark/>
          </w:tcPr>
          <w:p w:rsidR="00A76928" w:rsidRPr="00E64932" w:rsidRDefault="00A76928" w:rsidP="00B9166B">
            <w:pPr>
              <w:pStyle w:val="NoSpacing"/>
              <w:jc w:val="center"/>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Regimul de înălțime</w:t>
            </w:r>
          </w:p>
          <w:p w:rsidR="00A76928" w:rsidRPr="00E64932" w:rsidRDefault="00A76928" w:rsidP="00B9166B">
            <w:pPr>
              <w:pStyle w:val="NoSpacing"/>
              <w:jc w:val="center"/>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(S+P+…)</w:t>
            </w:r>
          </w:p>
        </w:tc>
        <w:tc>
          <w:tcPr>
            <w:tcW w:w="364" w:type="pct"/>
            <w:tcBorders>
              <w:top w:val="single" w:sz="8" w:space="0" w:color="auto"/>
              <w:left w:val="nil"/>
              <w:bottom w:val="single" w:sz="8" w:space="0" w:color="auto"/>
              <w:right w:val="single" w:sz="4" w:space="0" w:color="auto"/>
            </w:tcBorders>
            <w:shd w:val="clear" w:color="auto" w:fill="auto"/>
            <w:vAlign w:val="center"/>
          </w:tcPr>
          <w:p w:rsidR="00A76928" w:rsidRPr="00E64932" w:rsidRDefault="00A76928" w:rsidP="00B9166B">
            <w:pPr>
              <w:pStyle w:val="NoSpacing"/>
              <w:jc w:val="center"/>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Nr.</w:t>
            </w:r>
          </w:p>
          <w:p w:rsidR="00A76928" w:rsidRPr="00E64932" w:rsidRDefault="00A76928" w:rsidP="00B9166B">
            <w:pPr>
              <w:pStyle w:val="NoSpacing"/>
              <w:jc w:val="center"/>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Ap.</w:t>
            </w:r>
          </w:p>
        </w:tc>
        <w:tc>
          <w:tcPr>
            <w:tcW w:w="436" w:type="pct"/>
            <w:tcBorders>
              <w:top w:val="single" w:sz="8" w:space="0" w:color="auto"/>
              <w:left w:val="nil"/>
              <w:bottom w:val="single" w:sz="8" w:space="0" w:color="auto"/>
              <w:right w:val="single" w:sz="4" w:space="0" w:color="auto"/>
            </w:tcBorders>
            <w:shd w:val="clear" w:color="auto" w:fill="auto"/>
            <w:textDirection w:val="btLr"/>
            <w:vAlign w:val="center"/>
            <w:hideMark/>
          </w:tcPr>
          <w:p w:rsidR="00A76928" w:rsidRPr="00E64932" w:rsidRDefault="00A76928" w:rsidP="00B9166B">
            <w:pPr>
              <w:pStyle w:val="NoSpacing"/>
              <w:ind w:left="113" w:right="113"/>
              <w:jc w:val="center"/>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Finanțare</w:t>
            </w:r>
          </w:p>
        </w:tc>
        <w:tc>
          <w:tcPr>
            <w:tcW w:w="945" w:type="pct"/>
            <w:tcBorders>
              <w:top w:val="single" w:sz="8" w:space="0" w:color="auto"/>
              <w:left w:val="nil"/>
              <w:bottom w:val="single" w:sz="8" w:space="0" w:color="auto"/>
              <w:right w:val="single" w:sz="4" w:space="0" w:color="auto"/>
            </w:tcBorders>
            <w:shd w:val="clear" w:color="auto" w:fill="auto"/>
            <w:vAlign w:val="center"/>
            <w:hideMark/>
          </w:tcPr>
          <w:p w:rsidR="00A76928" w:rsidRPr="00E64932" w:rsidRDefault="00A76928" w:rsidP="00B9166B">
            <w:pPr>
              <w:pStyle w:val="NoSpacing"/>
              <w:jc w:val="center"/>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Stadiu lucrări</w:t>
            </w:r>
          </w:p>
        </w:tc>
      </w:tr>
      <w:tr w:rsidR="00A76928" w:rsidRPr="00E64932" w:rsidTr="00B9166B">
        <w:trPr>
          <w:trHeight w:val="13"/>
        </w:trPr>
        <w:tc>
          <w:tcPr>
            <w:tcW w:w="300" w:type="pct"/>
            <w:tcBorders>
              <w:top w:val="nil"/>
              <w:left w:val="single" w:sz="8" w:space="0" w:color="auto"/>
              <w:bottom w:val="single" w:sz="4" w:space="0" w:color="auto"/>
              <w:right w:val="single" w:sz="4" w:space="0" w:color="auto"/>
            </w:tcBorders>
            <w:shd w:val="clear" w:color="auto" w:fill="auto"/>
            <w:noWrap/>
            <w:vAlign w:val="center"/>
            <w:hideMark/>
          </w:tcPr>
          <w:p w:rsidR="00A76928" w:rsidRPr="00E64932" w:rsidRDefault="00A76928" w:rsidP="00B9166B">
            <w:pPr>
              <w:pStyle w:val="NoSpacing"/>
              <w:jc w:val="center"/>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1</w:t>
            </w:r>
          </w:p>
        </w:tc>
        <w:tc>
          <w:tcPr>
            <w:tcW w:w="1065" w:type="pct"/>
            <w:tcBorders>
              <w:top w:val="nil"/>
              <w:left w:val="nil"/>
              <w:bottom w:val="single" w:sz="4"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Strada Blănari nr.2,</w:t>
            </w:r>
          </w:p>
          <w:p w:rsidR="00A76928" w:rsidRPr="00E64932" w:rsidRDefault="00A76928" w:rsidP="00B9166B">
            <w:pPr>
              <w:pStyle w:val="NoSpacing"/>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 xml:space="preserve"> sector 3</w:t>
            </w:r>
          </w:p>
        </w:tc>
        <w:tc>
          <w:tcPr>
            <w:tcW w:w="582" w:type="pct"/>
            <w:tcBorders>
              <w:top w:val="nil"/>
              <w:left w:val="nil"/>
              <w:bottom w:val="single" w:sz="4"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1213,20</w:t>
            </w:r>
          </w:p>
        </w:tc>
        <w:tc>
          <w:tcPr>
            <w:tcW w:w="654" w:type="pct"/>
            <w:tcBorders>
              <w:top w:val="nil"/>
              <w:left w:val="nil"/>
              <w:bottom w:val="single" w:sz="4"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1865</w:t>
            </w:r>
          </w:p>
        </w:tc>
        <w:tc>
          <w:tcPr>
            <w:tcW w:w="654" w:type="pct"/>
            <w:tcBorders>
              <w:top w:val="nil"/>
              <w:left w:val="nil"/>
              <w:bottom w:val="single" w:sz="4"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S+P+2E+</w:t>
            </w:r>
          </w:p>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+Ma</w:t>
            </w:r>
          </w:p>
        </w:tc>
        <w:tc>
          <w:tcPr>
            <w:tcW w:w="364" w:type="pct"/>
            <w:tcBorders>
              <w:top w:val="nil"/>
              <w:left w:val="nil"/>
              <w:bottom w:val="single" w:sz="4" w:space="0" w:color="auto"/>
              <w:right w:val="single" w:sz="4" w:space="0" w:color="auto"/>
            </w:tcBorders>
            <w:shd w:val="clear" w:color="auto" w:fill="auto"/>
            <w:vAlign w:val="center"/>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w:t>
            </w:r>
          </w:p>
        </w:tc>
        <w:tc>
          <w:tcPr>
            <w:tcW w:w="436" w:type="pct"/>
            <w:tcBorders>
              <w:top w:val="nil"/>
              <w:left w:val="nil"/>
              <w:bottom w:val="single" w:sz="4"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Buget</w:t>
            </w:r>
          </w:p>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local</w:t>
            </w:r>
          </w:p>
        </w:tc>
        <w:tc>
          <w:tcPr>
            <w:tcW w:w="945" w:type="pct"/>
            <w:tcBorders>
              <w:top w:val="nil"/>
              <w:left w:val="nil"/>
              <w:bottom w:val="single" w:sz="4" w:space="0" w:color="auto"/>
              <w:right w:val="single" w:sz="4" w:space="0" w:color="auto"/>
            </w:tcBorders>
            <w:shd w:val="clear" w:color="auto" w:fill="auto"/>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Lucrări începute în anul 2017</w:t>
            </w:r>
          </w:p>
        </w:tc>
      </w:tr>
      <w:tr w:rsidR="00A76928" w:rsidRPr="00E64932" w:rsidTr="00B9166B">
        <w:trPr>
          <w:trHeight w:val="13"/>
        </w:trPr>
        <w:tc>
          <w:tcPr>
            <w:tcW w:w="300" w:type="pct"/>
            <w:tcBorders>
              <w:top w:val="nil"/>
              <w:left w:val="single" w:sz="8" w:space="0" w:color="auto"/>
              <w:bottom w:val="single" w:sz="4" w:space="0" w:color="auto"/>
              <w:right w:val="single" w:sz="4" w:space="0" w:color="auto"/>
            </w:tcBorders>
            <w:shd w:val="clear" w:color="auto" w:fill="auto"/>
            <w:noWrap/>
            <w:vAlign w:val="center"/>
            <w:hideMark/>
          </w:tcPr>
          <w:p w:rsidR="00A76928" w:rsidRPr="00E64932" w:rsidRDefault="00A76928" w:rsidP="00B9166B">
            <w:pPr>
              <w:pStyle w:val="NoSpacing"/>
              <w:jc w:val="center"/>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2</w:t>
            </w:r>
          </w:p>
        </w:tc>
        <w:tc>
          <w:tcPr>
            <w:tcW w:w="1065" w:type="pct"/>
            <w:tcBorders>
              <w:top w:val="nil"/>
              <w:left w:val="nil"/>
              <w:bottom w:val="single" w:sz="4"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Strada Blănari nr.8,</w:t>
            </w:r>
          </w:p>
          <w:p w:rsidR="00A76928" w:rsidRPr="00E64932" w:rsidRDefault="00A76928" w:rsidP="00B9166B">
            <w:pPr>
              <w:pStyle w:val="NoSpacing"/>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 xml:space="preserve"> sector 3</w:t>
            </w:r>
          </w:p>
        </w:tc>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843,70</w:t>
            </w:r>
          </w:p>
        </w:tc>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1884-1885</w:t>
            </w:r>
          </w:p>
        </w:tc>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S+P+2E+</w:t>
            </w:r>
          </w:p>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+Pod</w:t>
            </w:r>
          </w:p>
        </w:tc>
        <w:tc>
          <w:tcPr>
            <w:tcW w:w="364" w:type="pct"/>
            <w:tcBorders>
              <w:top w:val="nil"/>
              <w:left w:val="single" w:sz="4" w:space="0" w:color="auto"/>
              <w:bottom w:val="single" w:sz="4" w:space="0" w:color="auto"/>
              <w:right w:val="single" w:sz="4" w:space="0" w:color="auto"/>
            </w:tcBorders>
            <w:shd w:val="clear" w:color="auto" w:fill="auto"/>
            <w:vAlign w:val="center"/>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w:t>
            </w:r>
          </w:p>
        </w:tc>
        <w:tc>
          <w:tcPr>
            <w:tcW w:w="436" w:type="pct"/>
            <w:tcBorders>
              <w:top w:val="nil"/>
              <w:left w:val="nil"/>
              <w:bottom w:val="single" w:sz="4"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Buget</w:t>
            </w:r>
          </w:p>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local</w:t>
            </w:r>
          </w:p>
        </w:tc>
        <w:tc>
          <w:tcPr>
            <w:tcW w:w="945" w:type="pct"/>
            <w:tcBorders>
              <w:top w:val="nil"/>
              <w:left w:val="nil"/>
              <w:bottom w:val="single" w:sz="4"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Lucrări începute în anul 2017</w:t>
            </w:r>
          </w:p>
        </w:tc>
      </w:tr>
      <w:tr w:rsidR="00A76928" w:rsidRPr="00E64932" w:rsidTr="00B9166B">
        <w:trPr>
          <w:trHeight w:val="16"/>
        </w:trPr>
        <w:tc>
          <w:tcPr>
            <w:tcW w:w="300" w:type="pct"/>
            <w:tcBorders>
              <w:top w:val="nil"/>
              <w:left w:val="single" w:sz="8" w:space="0" w:color="auto"/>
              <w:bottom w:val="single" w:sz="4" w:space="0" w:color="auto"/>
              <w:right w:val="single" w:sz="4" w:space="0" w:color="auto"/>
            </w:tcBorders>
            <w:shd w:val="clear" w:color="auto" w:fill="auto"/>
            <w:noWrap/>
            <w:vAlign w:val="center"/>
            <w:hideMark/>
          </w:tcPr>
          <w:p w:rsidR="00A76928" w:rsidRPr="00E64932" w:rsidRDefault="00A76928" w:rsidP="00B9166B">
            <w:pPr>
              <w:pStyle w:val="NoSpacing"/>
              <w:jc w:val="center"/>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3</w:t>
            </w:r>
          </w:p>
        </w:tc>
        <w:tc>
          <w:tcPr>
            <w:tcW w:w="1065" w:type="pct"/>
            <w:tcBorders>
              <w:top w:val="nil"/>
              <w:left w:val="nil"/>
              <w:bottom w:val="single" w:sz="4"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Strada Blănari nr.10,  sector 3</w:t>
            </w:r>
          </w:p>
        </w:tc>
        <w:tc>
          <w:tcPr>
            <w:tcW w:w="582" w:type="pct"/>
            <w:tcBorders>
              <w:top w:val="nil"/>
              <w:left w:val="nil"/>
              <w:bottom w:val="single" w:sz="4"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381,10</w:t>
            </w:r>
          </w:p>
        </w:tc>
        <w:tc>
          <w:tcPr>
            <w:tcW w:w="654" w:type="pct"/>
            <w:tcBorders>
              <w:top w:val="nil"/>
              <w:left w:val="nil"/>
              <w:bottom w:val="single" w:sz="4"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1870-1875</w:t>
            </w:r>
          </w:p>
        </w:tc>
        <w:tc>
          <w:tcPr>
            <w:tcW w:w="654" w:type="pct"/>
            <w:tcBorders>
              <w:top w:val="nil"/>
              <w:left w:val="nil"/>
              <w:bottom w:val="single" w:sz="4"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S+P+2E</w:t>
            </w:r>
          </w:p>
        </w:tc>
        <w:tc>
          <w:tcPr>
            <w:tcW w:w="364" w:type="pct"/>
            <w:tcBorders>
              <w:top w:val="nil"/>
              <w:left w:val="nil"/>
              <w:bottom w:val="single" w:sz="4" w:space="0" w:color="auto"/>
              <w:right w:val="single" w:sz="4" w:space="0" w:color="auto"/>
            </w:tcBorders>
            <w:shd w:val="clear" w:color="auto" w:fill="auto"/>
            <w:vAlign w:val="center"/>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2</w:t>
            </w:r>
          </w:p>
        </w:tc>
        <w:tc>
          <w:tcPr>
            <w:tcW w:w="436" w:type="pct"/>
            <w:tcBorders>
              <w:top w:val="nil"/>
              <w:left w:val="nil"/>
              <w:bottom w:val="single" w:sz="4"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Buget</w:t>
            </w:r>
          </w:p>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local</w:t>
            </w:r>
          </w:p>
        </w:tc>
        <w:tc>
          <w:tcPr>
            <w:tcW w:w="945" w:type="pct"/>
            <w:tcBorders>
              <w:top w:val="nil"/>
              <w:left w:val="nil"/>
              <w:bottom w:val="single" w:sz="4"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Lucrări începute în anul 2018</w:t>
            </w:r>
          </w:p>
        </w:tc>
      </w:tr>
      <w:tr w:rsidR="00A76928" w:rsidRPr="00E64932" w:rsidTr="00B9166B">
        <w:trPr>
          <w:trHeight w:val="22"/>
        </w:trPr>
        <w:tc>
          <w:tcPr>
            <w:tcW w:w="300" w:type="pct"/>
            <w:tcBorders>
              <w:top w:val="nil"/>
              <w:left w:val="single" w:sz="8" w:space="0" w:color="auto"/>
              <w:bottom w:val="single" w:sz="4" w:space="0" w:color="auto"/>
              <w:right w:val="single" w:sz="4" w:space="0" w:color="auto"/>
            </w:tcBorders>
            <w:shd w:val="clear" w:color="auto" w:fill="auto"/>
            <w:noWrap/>
            <w:vAlign w:val="center"/>
            <w:hideMark/>
          </w:tcPr>
          <w:p w:rsidR="00A76928" w:rsidRPr="00E64932" w:rsidRDefault="00A76928" w:rsidP="00B9166B">
            <w:pPr>
              <w:pStyle w:val="NoSpacing"/>
              <w:jc w:val="center"/>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4</w:t>
            </w:r>
          </w:p>
        </w:tc>
        <w:tc>
          <w:tcPr>
            <w:tcW w:w="1065" w:type="pct"/>
            <w:tcBorders>
              <w:top w:val="nil"/>
              <w:left w:val="nil"/>
              <w:bottom w:val="single" w:sz="4"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Strada Franceză nr. 30, sector 3</w:t>
            </w:r>
          </w:p>
        </w:tc>
        <w:tc>
          <w:tcPr>
            <w:tcW w:w="582" w:type="pct"/>
            <w:tcBorders>
              <w:top w:val="nil"/>
              <w:left w:val="nil"/>
              <w:bottom w:val="single" w:sz="4"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2622,00</w:t>
            </w:r>
          </w:p>
        </w:tc>
        <w:tc>
          <w:tcPr>
            <w:tcW w:w="654" w:type="pct"/>
            <w:tcBorders>
              <w:top w:val="nil"/>
              <w:left w:val="nil"/>
              <w:bottom w:val="single" w:sz="4"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1870</w:t>
            </w:r>
          </w:p>
        </w:tc>
        <w:tc>
          <w:tcPr>
            <w:tcW w:w="654" w:type="pct"/>
            <w:tcBorders>
              <w:top w:val="nil"/>
              <w:left w:val="nil"/>
              <w:bottom w:val="single" w:sz="4"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S+P+2E+</w:t>
            </w:r>
          </w:p>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Ma</w:t>
            </w:r>
          </w:p>
        </w:tc>
        <w:tc>
          <w:tcPr>
            <w:tcW w:w="364" w:type="pct"/>
            <w:tcBorders>
              <w:top w:val="nil"/>
              <w:left w:val="nil"/>
              <w:bottom w:val="single" w:sz="4" w:space="0" w:color="auto"/>
              <w:right w:val="single" w:sz="4" w:space="0" w:color="auto"/>
            </w:tcBorders>
            <w:shd w:val="clear" w:color="auto" w:fill="auto"/>
            <w:vAlign w:val="center"/>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23</w:t>
            </w:r>
          </w:p>
        </w:tc>
        <w:tc>
          <w:tcPr>
            <w:tcW w:w="436" w:type="pct"/>
            <w:tcBorders>
              <w:top w:val="nil"/>
              <w:left w:val="nil"/>
              <w:bottom w:val="single" w:sz="4"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Buget</w:t>
            </w:r>
          </w:p>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local</w:t>
            </w:r>
          </w:p>
        </w:tc>
        <w:tc>
          <w:tcPr>
            <w:tcW w:w="945" w:type="pct"/>
            <w:tcBorders>
              <w:top w:val="nil"/>
              <w:left w:val="nil"/>
              <w:bottom w:val="single" w:sz="4" w:space="0" w:color="auto"/>
              <w:right w:val="single" w:sz="4" w:space="0" w:color="auto"/>
            </w:tcBorders>
            <w:shd w:val="clear" w:color="auto" w:fill="auto"/>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Lucrări începute în anul 2018</w:t>
            </w:r>
          </w:p>
        </w:tc>
      </w:tr>
      <w:tr w:rsidR="00A76928" w:rsidRPr="00E64932" w:rsidTr="00B9166B">
        <w:trPr>
          <w:trHeight w:val="670"/>
        </w:trPr>
        <w:tc>
          <w:tcPr>
            <w:tcW w:w="300" w:type="pct"/>
            <w:tcBorders>
              <w:top w:val="nil"/>
              <w:left w:val="single" w:sz="8" w:space="0" w:color="auto"/>
              <w:bottom w:val="single" w:sz="4" w:space="0" w:color="auto"/>
              <w:right w:val="single" w:sz="4" w:space="0" w:color="auto"/>
            </w:tcBorders>
            <w:shd w:val="clear" w:color="auto" w:fill="auto"/>
            <w:noWrap/>
            <w:vAlign w:val="center"/>
            <w:hideMark/>
          </w:tcPr>
          <w:p w:rsidR="00A76928" w:rsidRPr="00E64932" w:rsidRDefault="00A76928" w:rsidP="00B9166B">
            <w:pPr>
              <w:pStyle w:val="NoSpacing"/>
              <w:jc w:val="center"/>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5</w:t>
            </w:r>
          </w:p>
        </w:tc>
        <w:tc>
          <w:tcPr>
            <w:tcW w:w="1065" w:type="pct"/>
            <w:tcBorders>
              <w:top w:val="nil"/>
              <w:left w:val="nil"/>
              <w:bottom w:val="single" w:sz="4"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 xml:space="preserve">Strada Biserica Enei </w:t>
            </w:r>
          </w:p>
          <w:p w:rsidR="00A76928" w:rsidRPr="00E64932" w:rsidRDefault="00A76928" w:rsidP="00B9166B">
            <w:pPr>
              <w:pStyle w:val="NoSpacing"/>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nr.14, sector 1</w:t>
            </w:r>
          </w:p>
        </w:tc>
        <w:tc>
          <w:tcPr>
            <w:tcW w:w="582" w:type="pct"/>
            <w:tcBorders>
              <w:top w:val="nil"/>
              <w:left w:val="nil"/>
              <w:bottom w:val="single" w:sz="4"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2849,00</w:t>
            </w:r>
          </w:p>
        </w:tc>
        <w:tc>
          <w:tcPr>
            <w:tcW w:w="654" w:type="pct"/>
            <w:tcBorders>
              <w:top w:val="nil"/>
              <w:left w:val="nil"/>
              <w:bottom w:val="single" w:sz="4"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1936</w:t>
            </w:r>
          </w:p>
        </w:tc>
        <w:tc>
          <w:tcPr>
            <w:tcW w:w="654" w:type="pct"/>
            <w:tcBorders>
              <w:top w:val="nil"/>
              <w:left w:val="nil"/>
              <w:bottom w:val="single" w:sz="4"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S+P+5E</w:t>
            </w:r>
          </w:p>
        </w:tc>
        <w:tc>
          <w:tcPr>
            <w:tcW w:w="364" w:type="pct"/>
            <w:tcBorders>
              <w:top w:val="nil"/>
              <w:left w:val="nil"/>
              <w:bottom w:val="single" w:sz="4" w:space="0" w:color="auto"/>
              <w:right w:val="single" w:sz="4" w:space="0" w:color="auto"/>
            </w:tcBorders>
            <w:shd w:val="clear" w:color="auto" w:fill="auto"/>
            <w:vAlign w:val="center"/>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25</w:t>
            </w:r>
          </w:p>
        </w:tc>
        <w:tc>
          <w:tcPr>
            <w:tcW w:w="436" w:type="pct"/>
            <w:tcBorders>
              <w:top w:val="nil"/>
              <w:left w:val="nil"/>
              <w:bottom w:val="single" w:sz="4"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Buget</w:t>
            </w:r>
          </w:p>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local</w:t>
            </w:r>
          </w:p>
        </w:tc>
        <w:tc>
          <w:tcPr>
            <w:tcW w:w="945" w:type="pct"/>
            <w:tcBorders>
              <w:top w:val="nil"/>
              <w:left w:val="nil"/>
              <w:bottom w:val="single" w:sz="4" w:space="0" w:color="auto"/>
              <w:right w:val="single" w:sz="4" w:space="0" w:color="auto"/>
            </w:tcBorders>
            <w:shd w:val="clear" w:color="auto" w:fill="auto"/>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Lucrări începute în anul 2018</w:t>
            </w:r>
          </w:p>
        </w:tc>
      </w:tr>
      <w:tr w:rsidR="00A76928" w:rsidRPr="00E64932" w:rsidTr="00B9166B">
        <w:trPr>
          <w:trHeight w:val="20"/>
        </w:trPr>
        <w:tc>
          <w:tcPr>
            <w:tcW w:w="300" w:type="pct"/>
            <w:tcBorders>
              <w:top w:val="nil"/>
              <w:left w:val="single" w:sz="8" w:space="0" w:color="auto"/>
              <w:bottom w:val="single" w:sz="8" w:space="0" w:color="auto"/>
              <w:right w:val="single" w:sz="4" w:space="0" w:color="auto"/>
            </w:tcBorders>
            <w:shd w:val="clear" w:color="auto" w:fill="auto"/>
            <w:noWrap/>
            <w:vAlign w:val="center"/>
            <w:hideMark/>
          </w:tcPr>
          <w:p w:rsidR="00A76928" w:rsidRPr="00E64932" w:rsidRDefault="00A76928" w:rsidP="00B9166B">
            <w:pPr>
              <w:pStyle w:val="NoSpacing"/>
              <w:jc w:val="center"/>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6</w:t>
            </w:r>
          </w:p>
        </w:tc>
        <w:tc>
          <w:tcPr>
            <w:tcW w:w="1065" w:type="pct"/>
            <w:tcBorders>
              <w:top w:val="nil"/>
              <w:left w:val="nil"/>
              <w:bottom w:val="single" w:sz="8"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Strada Spătarului</w:t>
            </w:r>
          </w:p>
          <w:p w:rsidR="00A76928" w:rsidRPr="00E64932" w:rsidRDefault="00A76928" w:rsidP="00B9166B">
            <w:pPr>
              <w:pStyle w:val="NoSpacing"/>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 xml:space="preserve"> nr.36, sector 2</w:t>
            </w:r>
          </w:p>
        </w:tc>
        <w:tc>
          <w:tcPr>
            <w:tcW w:w="582" w:type="pct"/>
            <w:tcBorders>
              <w:top w:val="nil"/>
              <w:left w:val="nil"/>
              <w:bottom w:val="single" w:sz="8"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2131,00</w:t>
            </w:r>
          </w:p>
        </w:tc>
        <w:tc>
          <w:tcPr>
            <w:tcW w:w="654" w:type="pct"/>
            <w:tcBorders>
              <w:top w:val="nil"/>
              <w:left w:val="nil"/>
              <w:bottom w:val="single" w:sz="8"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1934</w:t>
            </w:r>
          </w:p>
        </w:tc>
        <w:tc>
          <w:tcPr>
            <w:tcW w:w="654" w:type="pct"/>
            <w:tcBorders>
              <w:top w:val="nil"/>
              <w:left w:val="nil"/>
              <w:bottom w:val="single" w:sz="8"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S+P+4E</w:t>
            </w:r>
          </w:p>
        </w:tc>
        <w:tc>
          <w:tcPr>
            <w:tcW w:w="364" w:type="pct"/>
            <w:tcBorders>
              <w:top w:val="nil"/>
              <w:left w:val="nil"/>
              <w:bottom w:val="single" w:sz="8" w:space="0" w:color="auto"/>
              <w:right w:val="single" w:sz="4" w:space="0" w:color="auto"/>
            </w:tcBorders>
            <w:shd w:val="clear" w:color="auto" w:fill="auto"/>
            <w:vAlign w:val="center"/>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11</w:t>
            </w:r>
          </w:p>
        </w:tc>
        <w:tc>
          <w:tcPr>
            <w:tcW w:w="436" w:type="pct"/>
            <w:tcBorders>
              <w:top w:val="nil"/>
              <w:left w:val="nil"/>
              <w:bottom w:val="single" w:sz="8"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Buget</w:t>
            </w:r>
          </w:p>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local</w:t>
            </w:r>
          </w:p>
        </w:tc>
        <w:tc>
          <w:tcPr>
            <w:tcW w:w="945" w:type="pct"/>
            <w:tcBorders>
              <w:top w:val="nil"/>
              <w:left w:val="nil"/>
              <w:bottom w:val="single" w:sz="8" w:space="0" w:color="auto"/>
              <w:right w:val="single" w:sz="4" w:space="0" w:color="auto"/>
            </w:tcBorders>
            <w:shd w:val="clear" w:color="auto" w:fill="auto"/>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Lucrări începute în anul 2018</w:t>
            </w:r>
          </w:p>
        </w:tc>
      </w:tr>
      <w:tr w:rsidR="00A76928" w:rsidRPr="00E64932" w:rsidTr="00B9166B">
        <w:trPr>
          <w:trHeight w:val="19"/>
        </w:trPr>
        <w:tc>
          <w:tcPr>
            <w:tcW w:w="300" w:type="pct"/>
            <w:tcBorders>
              <w:top w:val="nil"/>
              <w:left w:val="single" w:sz="8" w:space="0" w:color="auto"/>
              <w:bottom w:val="single" w:sz="8" w:space="0" w:color="auto"/>
              <w:right w:val="single" w:sz="4" w:space="0" w:color="auto"/>
            </w:tcBorders>
            <w:shd w:val="clear" w:color="auto" w:fill="auto"/>
            <w:noWrap/>
            <w:vAlign w:val="center"/>
            <w:hideMark/>
          </w:tcPr>
          <w:p w:rsidR="00A76928" w:rsidRPr="00E64932" w:rsidRDefault="00A76928" w:rsidP="00B9166B">
            <w:pPr>
              <w:pStyle w:val="NoSpacing"/>
              <w:jc w:val="center"/>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7</w:t>
            </w:r>
          </w:p>
        </w:tc>
        <w:tc>
          <w:tcPr>
            <w:tcW w:w="1065" w:type="pct"/>
            <w:tcBorders>
              <w:top w:val="nil"/>
              <w:left w:val="nil"/>
              <w:bottom w:val="single" w:sz="8"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 xml:space="preserve">Strada Știrbei Vodă </w:t>
            </w:r>
          </w:p>
          <w:p w:rsidR="00A76928" w:rsidRPr="00E64932" w:rsidRDefault="00A76928" w:rsidP="00B9166B">
            <w:pPr>
              <w:pStyle w:val="NoSpacing"/>
              <w:rPr>
                <w:rFonts w:ascii="Times New Roman" w:eastAsia="Times New Roman" w:hAnsi="Times New Roman" w:cs="Times New Roman"/>
                <w:bCs/>
                <w:color w:val="000000"/>
                <w:sz w:val="24"/>
                <w:szCs w:val="24"/>
              </w:rPr>
            </w:pPr>
            <w:r w:rsidRPr="00E64932">
              <w:rPr>
                <w:rFonts w:ascii="Times New Roman" w:eastAsia="Times New Roman" w:hAnsi="Times New Roman" w:cs="Times New Roman"/>
                <w:bCs/>
                <w:color w:val="000000"/>
                <w:sz w:val="24"/>
                <w:szCs w:val="24"/>
              </w:rPr>
              <w:t>nr.20, sector 1</w:t>
            </w:r>
          </w:p>
        </w:tc>
        <w:tc>
          <w:tcPr>
            <w:tcW w:w="582" w:type="pct"/>
            <w:tcBorders>
              <w:top w:val="nil"/>
              <w:left w:val="nil"/>
              <w:bottom w:val="single" w:sz="8"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4250,00</w:t>
            </w:r>
          </w:p>
        </w:tc>
        <w:tc>
          <w:tcPr>
            <w:tcW w:w="654" w:type="pct"/>
            <w:tcBorders>
              <w:top w:val="nil"/>
              <w:left w:val="nil"/>
              <w:bottom w:val="single" w:sz="8"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1935</w:t>
            </w:r>
          </w:p>
        </w:tc>
        <w:tc>
          <w:tcPr>
            <w:tcW w:w="654" w:type="pct"/>
            <w:tcBorders>
              <w:top w:val="nil"/>
              <w:left w:val="nil"/>
              <w:bottom w:val="single" w:sz="8"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S+P+6E+</w:t>
            </w:r>
          </w:p>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Ma</w:t>
            </w:r>
          </w:p>
        </w:tc>
        <w:tc>
          <w:tcPr>
            <w:tcW w:w="364" w:type="pct"/>
            <w:tcBorders>
              <w:top w:val="nil"/>
              <w:left w:val="nil"/>
              <w:bottom w:val="single" w:sz="8" w:space="0" w:color="auto"/>
              <w:right w:val="single" w:sz="4" w:space="0" w:color="auto"/>
            </w:tcBorders>
            <w:shd w:val="clear" w:color="auto" w:fill="auto"/>
            <w:vAlign w:val="center"/>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36</w:t>
            </w:r>
          </w:p>
        </w:tc>
        <w:tc>
          <w:tcPr>
            <w:tcW w:w="436" w:type="pct"/>
            <w:tcBorders>
              <w:top w:val="nil"/>
              <w:left w:val="nil"/>
              <w:bottom w:val="single" w:sz="8" w:space="0" w:color="auto"/>
              <w:right w:val="single" w:sz="4" w:space="0" w:color="auto"/>
            </w:tcBorders>
            <w:shd w:val="clear" w:color="auto" w:fill="auto"/>
            <w:noWrap/>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Buget</w:t>
            </w:r>
          </w:p>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local</w:t>
            </w:r>
          </w:p>
        </w:tc>
        <w:tc>
          <w:tcPr>
            <w:tcW w:w="945" w:type="pct"/>
            <w:tcBorders>
              <w:top w:val="nil"/>
              <w:left w:val="nil"/>
              <w:bottom w:val="single" w:sz="8" w:space="0" w:color="auto"/>
              <w:right w:val="single" w:sz="4" w:space="0" w:color="auto"/>
            </w:tcBorders>
            <w:shd w:val="clear" w:color="auto" w:fill="auto"/>
            <w:vAlign w:val="center"/>
            <w:hideMark/>
          </w:tcPr>
          <w:p w:rsidR="00A76928" w:rsidRPr="00E64932" w:rsidRDefault="00A76928" w:rsidP="00B9166B">
            <w:pPr>
              <w:pStyle w:val="NoSpacing"/>
              <w:rPr>
                <w:rFonts w:ascii="Times New Roman" w:eastAsia="Times New Roman" w:hAnsi="Times New Roman" w:cs="Times New Roman"/>
                <w:color w:val="000000"/>
                <w:sz w:val="24"/>
                <w:szCs w:val="24"/>
              </w:rPr>
            </w:pPr>
            <w:r w:rsidRPr="00E64932">
              <w:rPr>
                <w:rFonts w:ascii="Times New Roman" w:eastAsia="Times New Roman" w:hAnsi="Times New Roman" w:cs="Times New Roman"/>
                <w:color w:val="000000"/>
                <w:sz w:val="24"/>
                <w:szCs w:val="24"/>
              </w:rPr>
              <w:t>Lucrări începute în anul 2018</w:t>
            </w:r>
          </w:p>
        </w:tc>
      </w:tr>
    </w:tbl>
    <w:p w:rsidR="00A76928" w:rsidRPr="00E64932" w:rsidRDefault="00A76928" w:rsidP="00A76928">
      <w:pPr>
        <w:pStyle w:val="NoSpacing"/>
        <w:rPr>
          <w:rFonts w:ascii="Times New Roman" w:hAnsi="Times New Roman" w:cs="Times New Roman"/>
          <w:sz w:val="24"/>
          <w:szCs w:val="24"/>
        </w:rPr>
      </w:pPr>
    </w:p>
    <w:p w:rsidR="00A76928" w:rsidRPr="00E64932" w:rsidRDefault="00A76928" w:rsidP="00A76928">
      <w:pPr>
        <w:pStyle w:val="NoSpacing"/>
        <w:rPr>
          <w:rFonts w:ascii="Times New Roman" w:hAnsi="Times New Roman" w:cs="Times New Roman"/>
          <w:b/>
          <w:sz w:val="24"/>
          <w:szCs w:val="24"/>
        </w:rPr>
      </w:pPr>
      <w:r w:rsidRPr="00E64932">
        <w:rPr>
          <w:rFonts w:ascii="Times New Roman" w:hAnsi="Times New Roman" w:cs="Times New Roman"/>
          <w:b/>
          <w:color w:val="000000"/>
          <w:sz w:val="24"/>
          <w:szCs w:val="24"/>
        </w:rPr>
        <w:t xml:space="preserve">► </w:t>
      </w:r>
      <w:r w:rsidRPr="00E64932">
        <w:rPr>
          <w:rFonts w:ascii="Times New Roman" w:hAnsi="Times New Roman" w:cs="Times New Roman"/>
          <w:b/>
          <w:sz w:val="24"/>
          <w:szCs w:val="24"/>
        </w:rPr>
        <w:t>Programul de Reabilitare arhitectural-ambientală a Fațadelor</w:t>
      </w:r>
    </w:p>
    <w:p w:rsidR="00A76928" w:rsidRPr="00E64932" w:rsidRDefault="00A76928" w:rsidP="00A76928">
      <w:pPr>
        <w:pStyle w:val="NoSpacing"/>
        <w:ind w:firstLine="720"/>
        <w:jc w:val="both"/>
        <w:rPr>
          <w:rFonts w:ascii="Times New Roman" w:hAnsi="Times New Roman" w:cs="Times New Roman"/>
          <w:sz w:val="24"/>
          <w:szCs w:val="24"/>
        </w:rPr>
      </w:pPr>
      <w:r w:rsidRPr="00E64932">
        <w:rPr>
          <w:rFonts w:ascii="Times New Roman" w:hAnsi="Times New Roman" w:cs="Times New Roman"/>
          <w:sz w:val="24"/>
          <w:szCs w:val="24"/>
        </w:rPr>
        <w:t>În urma aprobării Hotărârii Consiliului General al Municipiului București nr.460/2018 s-a completat obiectul de activitate cu programarea, pregătirea, contractarea, urmărirea, executarea, decontarea și recepția lucrărilor de intervenție pentru reabilitarea structural-arhitecturală a anvelopei clădirilor.</w:t>
      </w:r>
    </w:p>
    <w:p w:rsidR="00A76928" w:rsidRPr="00E64932" w:rsidRDefault="00A76928" w:rsidP="00A76928">
      <w:pPr>
        <w:pStyle w:val="NoSpacing"/>
        <w:ind w:firstLine="720"/>
        <w:jc w:val="both"/>
        <w:rPr>
          <w:rFonts w:ascii="Times New Roman" w:hAnsi="Times New Roman" w:cs="Times New Roman"/>
          <w:sz w:val="24"/>
          <w:szCs w:val="24"/>
        </w:rPr>
      </w:pPr>
      <w:r w:rsidRPr="00E64932">
        <w:rPr>
          <w:rFonts w:ascii="Times New Roman" w:hAnsi="Times New Roman" w:cs="Times New Roman"/>
          <w:sz w:val="24"/>
          <w:szCs w:val="24"/>
        </w:rPr>
        <w:t xml:space="preserve">În baza prevederilor Legii 153/2011 privind măsuri de creștere a calității arhitectural-ambientale a clădirilor și a Hotărârii Consiliului General al Municipiului General nr.384/2018 (privind aprobarea Regulamentului de intervenție cu privire Ia reabilitarea fațadelor pentru creșterea calității arhitectural-ambientale a clădirilor), Administrația Municipală pentru Consolidarea Clădirilor cu Risc Seismic a demarat  acțiunile de inventariere, identificare a imobilelor din zona I de acțiune prioritară. </w:t>
      </w:r>
    </w:p>
    <w:p w:rsidR="00A76928" w:rsidRPr="00A76928" w:rsidRDefault="00A76928" w:rsidP="00A76928">
      <w:pPr>
        <w:pStyle w:val="NoSpacing"/>
        <w:ind w:firstLine="720"/>
        <w:jc w:val="both"/>
        <w:rPr>
          <w:rFonts w:ascii="Times New Roman" w:hAnsi="Times New Roman" w:cs="Times New Roman"/>
          <w:sz w:val="24"/>
          <w:szCs w:val="24"/>
        </w:rPr>
      </w:pPr>
      <w:r w:rsidRPr="00E64932">
        <w:rPr>
          <w:rFonts w:ascii="Times New Roman" w:hAnsi="Times New Roman" w:cs="Times New Roman"/>
          <w:sz w:val="24"/>
          <w:szCs w:val="24"/>
        </w:rPr>
        <w:t>Au fost identificate și inventariate 430 de imobile cuprinse în ETAPA I – ZCP 04 Bd. Brătianu, ZCP 06 Bd. Regina Elisabeta și Bd. M. Kogălniceanu, ZCP 12Bd.  Lascăr Catargiu, ZCP 16 Calea V</w:t>
      </w:r>
      <w:r>
        <w:rPr>
          <w:rFonts w:ascii="Times New Roman" w:hAnsi="Times New Roman" w:cs="Times New Roman"/>
          <w:sz w:val="24"/>
          <w:szCs w:val="24"/>
        </w:rPr>
        <w:t>ictoriei și ZCP 5 Bd. Carol  I.</w:t>
      </w:r>
    </w:p>
    <w:p w:rsidR="00A76928" w:rsidRPr="00E64932" w:rsidRDefault="00A76928" w:rsidP="00A76928">
      <w:pPr>
        <w:pStyle w:val="NoSpacing"/>
        <w:ind w:firstLine="720"/>
        <w:jc w:val="both"/>
        <w:rPr>
          <w:rFonts w:ascii="Times New Roman" w:hAnsi="Times New Roman" w:cs="Times New Roman"/>
          <w:color w:val="0070C0"/>
          <w:sz w:val="24"/>
          <w:szCs w:val="24"/>
        </w:rPr>
      </w:pPr>
      <w:r w:rsidRPr="00E64932">
        <w:rPr>
          <w:rFonts w:ascii="Times New Roman" w:hAnsi="Times New Roman" w:cs="Times New Roman"/>
          <w:sz w:val="24"/>
          <w:szCs w:val="24"/>
        </w:rPr>
        <w:lastRenderedPageBreak/>
        <w:t>Administrația Municipală pentru Consolidarea Clădirilor cu Risc Seismic a notificat  proprietarii, persoane fizice și juridice, ai spațiilor cu destinația de locuință/spațiilor cu altă destinație decât cea de locuință, asociațiile de proprietari ai construcțiilor aflate în Etapa I, imobile care prin nivelul de degradare a sistemului de închidere perimetrală prezintă pericolul afectării sănătății, vieții, integrității fizice și a siguranței populației și/sau afectează calitatea mediului înconjurător,  privind obligațiile și răspunderile pe care și le asumă în cazul în care nu-și exprimă acordul privind trecerea la proiectarea și execuția lucrărilor de intervenție pentru reabilitarea structural-arhitecturală a anvelopei clădirilor.</w:t>
      </w:r>
    </w:p>
    <w:p w:rsidR="00A76928" w:rsidRPr="00E64932" w:rsidRDefault="00A76928" w:rsidP="00A76928">
      <w:pPr>
        <w:pStyle w:val="NoSpacing"/>
        <w:ind w:firstLine="720"/>
        <w:jc w:val="both"/>
        <w:rPr>
          <w:rFonts w:ascii="Times New Roman" w:hAnsi="Times New Roman" w:cs="Times New Roman"/>
          <w:color w:val="0070C0"/>
          <w:sz w:val="24"/>
          <w:szCs w:val="24"/>
        </w:rPr>
      </w:pPr>
      <w:r w:rsidRPr="00E64932">
        <w:rPr>
          <w:rFonts w:ascii="Times New Roman" w:hAnsi="Times New Roman" w:cs="Times New Roman"/>
          <w:sz w:val="24"/>
          <w:szCs w:val="24"/>
        </w:rPr>
        <w:t xml:space="preserve">În anul 2018 s-au trimis un număr de 32 notificări pentru reabilitarea structural-arhitecturală din care: </w:t>
      </w:r>
    </w:p>
    <w:p w:rsidR="00A76928" w:rsidRPr="00E64932" w:rsidRDefault="00A76928" w:rsidP="00980D72">
      <w:pPr>
        <w:pStyle w:val="NoSpacing"/>
        <w:numPr>
          <w:ilvl w:val="1"/>
          <w:numId w:val="33"/>
        </w:numPr>
        <w:jc w:val="both"/>
        <w:rPr>
          <w:rFonts w:ascii="Times New Roman" w:hAnsi="Times New Roman" w:cs="Times New Roman"/>
          <w:sz w:val="24"/>
          <w:szCs w:val="24"/>
        </w:rPr>
      </w:pPr>
      <w:r w:rsidRPr="00E64932">
        <w:rPr>
          <w:rFonts w:ascii="Times New Roman" w:hAnsi="Times New Roman" w:cs="Times New Roman"/>
          <w:sz w:val="24"/>
          <w:szCs w:val="24"/>
        </w:rPr>
        <w:t>21 notificări pentru imobilele încadrate în clasa II de risc seismic;</w:t>
      </w:r>
    </w:p>
    <w:p w:rsidR="00A76928" w:rsidRPr="00E64932" w:rsidRDefault="00A76928" w:rsidP="00980D72">
      <w:pPr>
        <w:pStyle w:val="NoSpacing"/>
        <w:numPr>
          <w:ilvl w:val="1"/>
          <w:numId w:val="33"/>
        </w:numPr>
        <w:jc w:val="both"/>
        <w:rPr>
          <w:rFonts w:ascii="Times New Roman" w:hAnsi="Times New Roman" w:cs="Times New Roman"/>
          <w:sz w:val="24"/>
          <w:szCs w:val="24"/>
        </w:rPr>
      </w:pPr>
      <w:r w:rsidRPr="00E64932">
        <w:rPr>
          <w:rFonts w:ascii="Times New Roman" w:hAnsi="Times New Roman" w:cs="Times New Roman"/>
          <w:sz w:val="24"/>
          <w:szCs w:val="24"/>
        </w:rPr>
        <w:t>11 notificări pentru imobilele încadrate în clasa III de risc seismic.</w:t>
      </w:r>
    </w:p>
    <w:p w:rsidR="00A76928" w:rsidRPr="00E64932" w:rsidRDefault="00A76928" w:rsidP="00A76928">
      <w:pPr>
        <w:pStyle w:val="NoSpacing"/>
        <w:ind w:firstLine="720"/>
        <w:jc w:val="both"/>
        <w:rPr>
          <w:rFonts w:ascii="Times New Roman" w:hAnsi="Times New Roman" w:cs="Times New Roman"/>
          <w:sz w:val="24"/>
          <w:szCs w:val="24"/>
        </w:rPr>
      </w:pPr>
      <w:r w:rsidRPr="00E64932">
        <w:rPr>
          <w:rFonts w:ascii="Times New Roman" w:hAnsi="Times New Roman" w:cs="Times New Roman"/>
          <w:sz w:val="24"/>
          <w:szCs w:val="24"/>
        </w:rPr>
        <w:t xml:space="preserve">În luna decembrie 2018 au fost notificate alte 120 de imobile aflate în perimetrul cuprins în Etapa I, care nu au fost expertizate și care trebuie să fie încadrate în clasă corespunzătoare de risc seismic, pentru demararea lucrărilor corespunzătoare. </w:t>
      </w:r>
    </w:p>
    <w:p w:rsidR="00A76928" w:rsidRDefault="00A76928" w:rsidP="00A76928">
      <w:pPr>
        <w:pStyle w:val="NoSpacing"/>
        <w:ind w:firstLine="720"/>
        <w:jc w:val="both"/>
        <w:rPr>
          <w:rFonts w:ascii="Times New Roman" w:hAnsi="Times New Roman" w:cs="Times New Roman"/>
          <w:sz w:val="24"/>
          <w:szCs w:val="24"/>
        </w:rPr>
      </w:pPr>
      <w:r w:rsidRPr="00E64932">
        <w:rPr>
          <w:rFonts w:ascii="Times New Roman" w:hAnsi="Times New Roman" w:cs="Times New Roman"/>
          <w:sz w:val="24"/>
          <w:szCs w:val="24"/>
        </w:rPr>
        <w:t xml:space="preserve">În perioada august-decembrie 2018 s-a răspuns la solicitările referitoare la Programul de Reabilitare arhitectural-ambientală a clădirilor, au avut loc întâlniri și discuții cu asociații de proprietari și respectiv cu proprietarii notificați, dar și cu proprietarii interesați de reabilitarea arhitectural-ambientală a imobilelor care nu fac parte din Etapa I. </w:t>
      </w:r>
    </w:p>
    <w:p w:rsidR="00A76928" w:rsidRPr="00E64932" w:rsidRDefault="00A76928" w:rsidP="00A76928">
      <w:pPr>
        <w:pStyle w:val="NoSpacing"/>
        <w:ind w:firstLine="720"/>
        <w:jc w:val="both"/>
        <w:rPr>
          <w:rFonts w:ascii="Times New Roman" w:hAnsi="Times New Roman" w:cs="Times New Roman"/>
          <w:sz w:val="24"/>
          <w:szCs w:val="24"/>
        </w:rPr>
      </w:pPr>
    </w:p>
    <w:p w:rsidR="00A76928" w:rsidRPr="00E64932" w:rsidRDefault="00A76928" w:rsidP="00A76928">
      <w:pPr>
        <w:pStyle w:val="NoSpacing"/>
        <w:jc w:val="both"/>
        <w:rPr>
          <w:rFonts w:ascii="Times New Roman" w:hAnsi="Times New Roman" w:cs="Times New Roman"/>
          <w:b/>
          <w:color w:val="000000"/>
          <w:sz w:val="24"/>
          <w:szCs w:val="24"/>
        </w:rPr>
      </w:pPr>
      <w:r w:rsidRPr="00E64932">
        <w:rPr>
          <w:rFonts w:ascii="Times New Roman" w:hAnsi="Times New Roman" w:cs="Times New Roman"/>
          <w:b/>
          <w:color w:val="000000"/>
          <w:sz w:val="24"/>
          <w:szCs w:val="24"/>
        </w:rPr>
        <w:t>○ Achiziția unor apartamente ce vor servi drept locuințe de necesitate pentru proprietarii din imobilele supuse lucrărilor de intervenție</w:t>
      </w:r>
    </w:p>
    <w:p w:rsidR="00A76928" w:rsidRPr="00E64932" w:rsidRDefault="00A76928" w:rsidP="00A76928">
      <w:pPr>
        <w:pStyle w:val="NoSpacing"/>
        <w:ind w:firstLine="720"/>
        <w:jc w:val="both"/>
        <w:rPr>
          <w:rFonts w:ascii="Times New Roman" w:hAnsi="Times New Roman" w:cs="Times New Roman"/>
          <w:sz w:val="24"/>
          <w:szCs w:val="24"/>
        </w:rPr>
      </w:pPr>
      <w:r w:rsidRPr="00E64932">
        <w:rPr>
          <w:rFonts w:ascii="Times New Roman" w:hAnsi="Times New Roman" w:cs="Times New Roman"/>
          <w:sz w:val="24"/>
          <w:szCs w:val="24"/>
        </w:rPr>
        <w:t>Având în vedere că  nu există un fond suficient de locuințe de necesitate pentru a pentru a fi atribuite persoanelor care locuiesc în imobile încadrate prin raport de expertiză tehnică în clasa I de risc seismic a fost începută procedura pentru achiziționarea unor apartamente de pe piața liberă cu destinația de locuință de necesitate.</w:t>
      </w:r>
    </w:p>
    <w:p w:rsidR="00A76928" w:rsidRPr="00E64932" w:rsidRDefault="00A76928" w:rsidP="00A76928">
      <w:pPr>
        <w:pStyle w:val="NoSpacing"/>
        <w:ind w:firstLine="720"/>
        <w:jc w:val="both"/>
        <w:rPr>
          <w:rFonts w:ascii="Times New Roman" w:hAnsi="Times New Roman" w:cs="Times New Roman"/>
          <w:sz w:val="24"/>
          <w:szCs w:val="24"/>
        </w:rPr>
      </w:pPr>
      <w:r w:rsidRPr="00E64932">
        <w:rPr>
          <w:rFonts w:ascii="Times New Roman" w:hAnsi="Times New Roman" w:cs="Times New Roman"/>
          <w:sz w:val="24"/>
          <w:szCs w:val="24"/>
        </w:rPr>
        <w:t xml:space="preserve">Prin H.C.G.M.B. nr.857/12.12.2018 A.M.C.C.R.S. a primit aprobarea pentru achiziționarea unui număr de 19 apartamente cu destinația de unități locative. </w:t>
      </w:r>
    </w:p>
    <w:p w:rsidR="00A76928" w:rsidRPr="00E64932" w:rsidRDefault="00A76928" w:rsidP="00A76928">
      <w:pPr>
        <w:pStyle w:val="NoSpacing"/>
        <w:ind w:firstLine="720"/>
        <w:jc w:val="both"/>
        <w:rPr>
          <w:rFonts w:ascii="Times New Roman" w:hAnsi="Times New Roman" w:cs="Times New Roman"/>
          <w:sz w:val="24"/>
          <w:szCs w:val="24"/>
        </w:rPr>
      </w:pPr>
      <w:r w:rsidRPr="00E64932">
        <w:rPr>
          <w:rFonts w:ascii="Times New Roman" w:hAnsi="Times New Roman" w:cs="Times New Roman"/>
          <w:sz w:val="24"/>
          <w:szCs w:val="24"/>
        </w:rPr>
        <w:t>În cursul anului 2018 s-au achiziționat de către A.M.C.C.R.S. pentru Municipiul București  un număr de 10 apartamente cu destinația locuință de necesitate.</w:t>
      </w:r>
    </w:p>
    <w:p w:rsidR="00A76928" w:rsidRDefault="00A76928" w:rsidP="00A76928">
      <w:pPr>
        <w:pStyle w:val="ListParagraph"/>
        <w:ind w:left="0"/>
        <w:jc w:val="both"/>
        <w:rPr>
          <w:b/>
        </w:rPr>
      </w:pPr>
    </w:p>
    <w:p w:rsidR="00A76928" w:rsidRPr="00E64932" w:rsidRDefault="00A76928" w:rsidP="00A76928">
      <w:pPr>
        <w:pStyle w:val="ListParagraph"/>
        <w:ind w:left="0"/>
        <w:jc w:val="both"/>
        <w:rPr>
          <w:b/>
        </w:rPr>
      </w:pPr>
      <w:r w:rsidRPr="00E64932">
        <w:rPr>
          <w:b/>
        </w:rPr>
        <w:t>Direcţia Generală Investiţii</w:t>
      </w:r>
    </w:p>
    <w:p w:rsidR="00A76928" w:rsidRPr="00E64932" w:rsidRDefault="00A76928" w:rsidP="00A76928">
      <w:pPr>
        <w:pStyle w:val="ListParagraph"/>
        <w:ind w:left="0"/>
      </w:pPr>
    </w:p>
    <w:p w:rsidR="00A76928" w:rsidRPr="00E64932" w:rsidRDefault="00A76928" w:rsidP="00A76928">
      <w:pPr>
        <w:pStyle w:val="ListParagraph"/>
        <w:ind w:left="0"/>
        <w:jc w:val="both"/>
        <w:rPr>
          <w:b/>
        </w:rPr>
      </w:pPr>
      <w:r w:rsidRPr="00E64932">
        <w:rPr>
          <w:b/>
          <w:color w:val="000000"/>
        </w:rPr>
        <w:t xml:space="preserve">► </w:t>
      </w:r>
      <w:r w:rsidRPr="00E64932">
        <w:rPr>
          <w:b/>
        </w:rPr>
        <w:t>Faţade imobile</w:t>
      </w:r>
    </w:p>
    <w:p w:rsidR="00A76928" w:rsidRPr="00E64932" w:rsidRDefault="00A76928" w:rsidP="00A76928">
      <w:pPr>
        <w:pStyle w:val="ListParagraph"/>
        <w:ind w:left="0" w:firstLine="720"/>
        <w:jc w:val="both"/>
      </w:pPr>
      <w:r w:rsidRPr="00E64932">
        <w:t>Obiectivul urmărit constă în punerea în aplicare a Legii nr.153/2011 privind creşterea calităţii arhitectural-ambientale a clădirilor, cu modificările şi completările ulterioare.</w:t>
      </w:r>
    </w:p>
    <w:p w:rsidR="00A76928" w:rsidRPr="00E64932" w:rsidRDefault="00A76928" w:rsidP="00A76928">
      <w:pPr>
        <w:pStyle w:val="ListParagraph"/>
        <w:ind w:left="0" w:firstLine="720"/>
        <w:jc w:val="both"/>
      </w:pPr>
      <w:r w:rsidRPr="00E64932">
        <w:t>Prin Hotărarea Consiliului General al Municipiului București nr.384/26.07.2018 a fost aprobat „Regulamentul de intervenție cu privire la reabilitarea faţadelor pentru creşterea calităţii arhitectural-ambientale a clădirilor, în municipiul Bucureşti”, în conformitate cu Legea nr.153/2011 privind măsuri de creştere a calităţii arhitectural-ambientale a clădirilor, cu modificările și completările ulterioare.</w:t>
      </w:r>
    </w:p>
    <w:p w:rsidR="00A76928" w:rsidRPr="00E64932" w:rsidRDefault="00A76928" w:rsidP="00A76928">
      <w:pPr>
        <w:pStyle w:val="ListParagraph"/>
        <w:ind w:left="0" w:firstLine="720"/>
        <w:jc w:val="both"/>
      </w:pPr>
      <w:r w:rsidRPr="00E64932">
        <w:t>Conform Regulamentului, au fost stabilite zonele de intervenție în municipiul București, pentru etapa I - perioada 2018-2020: B.dul Brătianu, B.dul Regina Elisabeta, B.dul Mihail Kogălniceanu, B.dul Lascăr Catargiu, B.dul Carol I și Calea Victoriei.</w:t>
      </w:r>
    </w:p>
    <w:p w:rsidR="00A76928" w:rsidRPr="00E64932" w:rsidRDefault="00A76928" w:rsidP="00A76928">
      <w:pPr>
        <w:pStyle w:val="ListParagraph"/>
        <w:ind w:left="0"/>
        <w:jc w:val="both"/>
        <w:rPr>
          <w:b/>
        </w:rPr>
      </w:pPr>
      <w:r w:rsidRPr="00E64932">
        <w:rPr>
          <w:b/>
        </w:rPr>
        <w:t xml:space="preserve">   ● Restaurare Palatul Universității din București</w:t>
      </w:r>
    </w:p>
    <w:p w:rsidR="00A76928" w:rsidRPr="00E64932" w:rsidRDefault="00A76928" w:rsidP="00A76928">
      <w:pPr>
        <w:pStyle w:val="ListParagraph"/>
        <w:ind w:left="0" w:firstLine="720"/>
        <w:jc w:val="both"/>
      </w:pPr>
      <w:r w:rsidRPr="00E64932">
        <w:t xml:space="preserve">Palatul Universității din București este monument istoric din clasa A de importanță și reprezintă un obiectiv pentru turiștii care aleg să viziteze capitala Romaniei. Urmare reabilitării curții interioare vor fi puse în valoare vestigiile arhitecturale descoperite aici, care datează din veacul al XVI-lea, fapt care va spori interesul vizitatorilor. </w:t>
      </w:r>
    </w:p>
    <w:p w:rsidR="00A76928" w:rsidRPr="00E64932" w:rsidRDefault="00A76928" w:rsidP="00A76928">
      <w:pPr>
        <w:pStyle w:val="ListParagraph"/>
        <w:ind w:left="0" w:firstLine="720"/>
        <w:jc w:val="both"/>
      </w:pPr>
      <w:r w:rsidRPr="00E64932">
        <w:t xml:space="preserve">Pentru punerea în aplicare a acestui obiectiv, Direcția Generală Investiții a inițiat și aprobat în Consiliul General al Municipiului București, Hotărarea nr.314/14.06.2018, prin care, Primăria Municipiului București va finanța cu 50% din fonduri aprobate anual cu această destinație în bugetele </w:t>
      </w:r>
      <w:r w:rsidRPr="00E64932">
        <w:lastRenderedPageBreak/>
        <w:t xml:space="preserve">locale, sub formă de grant, executarea lucrărilor de reabilitare a fațadelor, a învelitorii și amenajări conexe în curtea interioară pentru Palatul Universității din București, avand în vedere că, în bugetul Municipiului București sunt prevăzute sume avand ca destinație punerea în aplicare a Legii nr.153/2011 privind creşterea calităţii arhitectural-ambientale a clădirilor, cu modificările şi completările ulterioare. </w:t>
      </w:r>
    </w:p>
    <w:p w:rsidR="00FE31A2" w:rsidRDefault="00FE31A2" w:rsidP="00A77970">
      <w:pPr>
        <w:jc w:val="both"/>
      </w:pPr>
    </w:p>
    <w:p w:rsidR="005C57E2" w:rsidRDefault="005C57E2" w:rsidP="00A77970">
      <w:pPr>
        <w:pStyle w:val="ListParagraph"/>
        <w:numPr>
          <w:ilvl w:val="0"/>
          <w:numId w:val="3"/>
        </w:numPr>
        <w:jc w:val="both"/>
      </w:pPr>
      <w:r>
        <w:t>Servicii publice de gospodărire comunală</w:t>
      </w:r>
    </w:p>
    <w:p w:rsidR="009D165E" w:rsidRDefault="009D165E" w:rsidP="00A77970">
      <w:pPr>
        <w:ind w:left="360"/>
        <w:jc w:val="both"/>
      </w:pPr>
    </w:p>
    <w:p w:rsidR="00816415" w:rsidRDefault="009D165E" w:rsidP="00A77970">
      <w:pPr>
        <w:ind w:firstLine="709"/>
        <w:jc w:val="both"/>
        <w:outlineLvl w:val="1"/>
        <w:rPr>
          <w:kern w:val="28"/>
          <w:lang w:eastAsia="en-US"/>
        </w:rPr>
      </w:pPr>
      <w:bookmarkStart w:id="18" w:name="_Toc283308921"/>
      <w:bookmarkStart w:id="19" w:name="_Toc445282770"/>
      <w:bookmarkStart w:id="20" w:name="_Toc251680686"/>
      <w:r w:rsidRPr="00816415">
        <w:rPr>
          <w:kern w:val="28"/>
          <w:lang w:eastAsia="en-US"/>
        </w:rPr>
        <w:t>La 1 ianuarie</w:t>
      </w:r>
      <w:bookmarkEnd w:id="18"/>
      <w:bookmarkEnd w:id="19"/>
      <w:r w:rsidRPr="00816415">
        <w:rPr>
          <w:kern w:val="28"/>
          <w:lang w:eastAsia="en-US"/>
        </w:rPr>
        <w:t xml:space="preserve"> </w:t>
      </w:r>
      <w:bookmarkEnd w:id="20"/>
      <w:r w:rsidRPr="00816415">
        <w:rPr>
          <w:kern w:val="28"/>
          <w:lang w:eastAsia="en-US"/>
        </w:rPr>
        <w:t>201</w:t>
      </w:r>
      <w:r w:rsidR="00816415" w:rsidRPr="00816415">
        <w:rPr>
          <w:kern w:val="28"/>
          <w:lang w:eastAsia="en-US"/>
        </w:rPr>
        <w:t>8</w:t>
      </w:r>
      <w:r w:rsidRPr="00816415">
        <w:rPr>
          <w:kern w:val="28"/>
          <w:lang w:eastAsia="en-US"/>
        </w:rPr>
        <w:t>, lungimea totală a reţelei de distribuţie a apei potabile era de 2.80</w:t>
      </w:r>
      <w:r w:rsidR="00816415" w:rsidRPr="00816415">
        <w:rPr>
          <w:kern w:val="28"/>
          <w:lang w:eastAsia="en-US"/>
        </w:rPr>
        <w:t>2</w:t>
      </w:r>
      <w:r w:rsidRPr="00816415">
        <w:rPr>
          <w:kern w:val="28"/>
          <w:lang w:eastAsia="en-US"/>
        </w:rPr>
        <w:t xml:space="preserve"> km, lungimea totală simplă a conductelor de canalizare însuma </w:t>
      </w:r>
      <w:r w:rsidR="00816415" w:rsidRPr="00816415">
        <w:rPr>
          <w:kern w:val="28"/>
          <w:lang w:eastAsia="en-US"/>
        </w:rPr>
        <w:t>4.013</w:t>
      </w:r>
      <w:r w:rsidRPr="00816415">
        <w:rPr>
          <w:kern w:val="28"/>
          <w:lang w:eastAsia="en-US"/>
        </w:rPr>
        <w:t xml:space="preserve"> km, iar cea a reţelei de distribuţie a gazelor naturale 2.0</w:t>
      </w:r>
      <w:r w:rsidR="00816415" w:rsidRPr="00816415">
        <w:rPr>
          <w:kern w:val="28"/>
          <w:lang w:eastAsia="en-US"/>
        </w:rPr>
        <w:t>93</w:t>
      </w:r>
      <w:r w:rsidRPr="00816415">
        <w:rPr>
          <w:kern w:val="28"/>
          <w:lang w:eastAsia="en-US"/>
        </w:rPr>
        <w:t xml:space="preserve"> km. </w:t>
      </w:r>
      <w:bookmarkStart w:id="21" w:name="cantapa"/>
    </w:p>
    <w:p w:rsidR="00B94DC6" w:rsidRDefault="00B94DC6" w:rsidP="00A77970">
      <w:pPr>
        <w:ind w:firstLine="709"/>
        <w:jc w:val="both"/>
        <w:outlineLvl w:val="1"/>
        <w:rPr>
          <w:kern w:val="28"/>
          <w:lang w:eastAsia="en-US"/>
        </w:rPr>
      </w:pPr>
    </w:p>
    <w:p w:rsidR="00B94DC6" w:rsidRPr="00B94DC6" w:rsidRDefault="00B94DC6" w:rsidP="00B94DC6">
      <w:pPr>
        <w:jc w:val="both"/>
        <w:outlineLvl w:val="1"/>
        <w:rPr>
          <w:b/>
          <w:kern w:val="28"/>
          <w:lang w:eastAsia="en-US"/>
        </w:rPr>
      </w:pPr>
      <w:r w:rsidRPr="00B94DC6">
        <w:rPr>
          <w:b/>
          <w:kern w:val="28"/>
          <w:lang w:eastAsia="en-US"/>
        </w:rPr>
        <w:t>Principalele realizări ale Apa Nova București</w:t>
      </w:r>
    </w:p>
    <w:p w:rsidR="00816415" w:rsidRDefault="00816415" w:rsidP="00816415">
      <w:pPr>
        <w:jc w:val="both"/>
        <w:outlineLvl w:val="1"/>
        <w:rPr>
          <w:kern w:val="28"/>
          <w:lang w:eastAsia="en-US"/>
        </w:rPr>
      </w:pPr>
    </w:p>
    <w:p w:rsidR="00B94DC6" w:rsidRPr="00B94DC6" w:rsidRDefault="00B94DC6" w:rsidP="00B94DC6">
      <w:pPr>
        <w:jc w:val="both"/>
        <w:outlineLvl w:val="1"/>
        <w:rPr>
          <w:kern w:val="28"/>
          <w:lang w:eastAsia="en-US"/>
        </w:rPr>
      </w:pPr>
      <w:r>
        <w:rPr>
          <w:kern w:val="28"/>
          <w:lang w:eastAsia="en-US"/>
        </w:rPr>
        <w:tab/>
      </w:r>
      <w:r w:rsidRPr="00B94DC6">
        <w:rPr>
          <w:kern w:val="28"/>
          <w:lang w:eastAsia="en-US"/>
        </w:rPr>
        <w:t>Lucrări de reabilitare a Uzinelor de tratare a apei potabile şi a Staţiilor de Pompare</w:t>
      </w:r>
    </w:p>
    <w:p w:rsidR="00B94DC6" w:rsidRPr="00B94DC6" w:rsidRDefault="00B94DC6" w:rsidP="00B94DC6">
      <w:pPr>
        <w:jc w:val="both"/>
        <w:outlineLvl w:val="1"/>
        <w:rPr>
          <w:kern w:val="28"/>
          <w:lang w:eastAsia="en-US"/>
        </w:rPr>
      </w:pPr>
      <w:r>
        <w:rPr>
          <w:kern w:val="28"/>
          <w:lang w:eastAsia="en-US"/>
        </w:rPr>
        <w:tab/>
      </w:r>
      <w:r w:rsidRPr="00B94DC6">
        <w:rPr>
          <w:kern w:val="28"/>
          <w:lang w:eastAsia="en-US"/>
        </w:rPr>
        <w:t>Cele mai importante lucrări de reabilitare în domeniul tratării şi pompării apei potabile au fost:</w:t>
      </w:r>
    </w:p>
    <w:p w:rsidR="00B94DC6" w:rsidRPr="00B94DC6" w:rsidRDefault="00B94DC6" w:rsidP="00B94DC6">
      <w:pPr>
        <w:jc w:val="both"/>
        <w:outlineLvl w:val="1"/>
        <w:rPr>
          <w:kern w:val="28"/>
          <w:lang w:eastAsia="en-US"/>
        </w:rPr>
      </w:pPr>
      <w:r w:rsidRPr="00B94DC6">
        <w:rPr>
          <w:kern w:val="28"/>
          <w:lang w:eastAsia="en-US"/>
        </w:rPr>
        <w:t>•</w:t>
      </w:r>
      <w:r w:rsidRPr="00B94DC6">
        <w:rPr>
          <w:kern w:val="28"/>
          <w:lang w:eastAsia="en-US"/>
        </w:rPr>
        <w:tab/>
        <w:t>reabilitarea termică a clădirii staţiei de tratare Arcuda - filtre;</w:t>
      </w:r>
    </w:p>
    <w:p w:rsidR="00B94DC6" w:rsidRPr="00B94DC6" w:rsidRDefault="00B94DC6" w:rsidP="00B94DC6">
      <w:pPr>
        <w:jc w:val="both"/>
        <w:outlineLvl w:val="1"/>
        <w:rPr>
          <w:kern w:val="28"/>
          <w:lang w:eastAsia="en-US"/>
        </w:rPr>
      </w:pPr>
      <w:r w:rsidRPr="00B94DC6">
        <w:rPr>
          <w:kern w:val="28"/>
          <w:lang w:eastAsia="en-US"/>
        </w:rPr>
        <w:t>•</w:t>
      </w:r>
      <w:r w:rsidRPr="00B94DC6">
        <w:rPr>
          <w:kern w:val="28"/>
          <w:lang w:eastAsia="en-US"/>
        </w:rPr>
        <w:tab/>
        <w:t>finalizarea înlocuirii şi automatizării vanelor la staţia de tratare Arcuda;</w:t>
      </w:r>
    </w:p>
    <w:p w:rsidR="00B94DC6" w:rsidRPr="00B94DC6" w:rsidRDefault="00B94DC6" w:rsidP="00B94DC6">
      <w:pPr>
        <w:jc w:val="both"/>
        <w:outlineLvl w:val="1"/>
        <w:rPr>
          <w:kern w:val="28"/>
          <w:lang w:eastAsia="en-US"/>
        </w:rPr>
      </w:pPr>
      <w:r w:rsidRPr="00B94DC6">
        <w:rPr>
          <w:kern w:val="28"/>
          <w:lang w:eastAsia="en-US"/>
        </w:rPr>
        <w:t>•</w:t>
      </w:r>
      <w:r w:rsidRPr="00B94DC6">
        <w:rPr>
          <w:kern w:val="28"/>
          <w:lang w:eastAsia="en-US"/>
        </w:rPr>
        <w:tab/>
        <w:t>reabilitarea şi reparaţiile filtrelor rapide la staţiile de tratare Roşu şi Arcuda;</w:t>
      </w:r>
    </w:p>
    <w:p w:rsidR="00B94DC6" w:rsidRPr="00B94DC6" w:rsidRDefault="00B94DC6" w:rsidP="00B94DC6">
      <w:pPr>
        <w:jc w:val="both"/>
        <w:outlineLvl w:val="1"/>
        <w:rPr>
          <w:kern w:val="28"/>
          <w:lang w:eastAsia="en-US"/>
        </w:rPr>
      </w:pPr>
      <w:r w:rsidRPr="00B94DC6">
        <w:rPr>
          <w:kern w:val="28"/>
          <w:lang w:eastAsia="en-US"/>
        </w:rPr>
        <w:t>•</w:t>
      </w:r>
      <w:r w:rsidRPr="00B94DC6">
        <w:rPr>
          <w:kern w:val="28"/>
          <w:lang w:eastAsia="en-US"/>
        </w:rPr>
        <w:tab/>
        <w:t>lucrări de remediere mal, canal Brezoaele - Arcuda;</w:t>
      </w:r>
    </w:p>
    <w:p w:rsidR="00B94DC6" w:rsidRPr="00B94DC6" w:rsidRDefault="00B94DC6" w:rsidP="00B94DC6">
      <w:pPr>
        <w:jc w:val="both"/>
        <w:outlineLvl w:val="1"/>
        <w:rPr>
          <w:kern w:val="28"/>
          <w:lang w:eastAsia="en-US"/>
        </w:rPr>
      </w:pPr>
      <w:r w:rsidRPr="00B94DC6">
        <w:rPr>
          <w:kern w:val="28"/>
          <w:lang w:eastAsia="en-US"/>
        </w:rPr>
        <w:t>•</w:t>
      </w:r>
      <w:r w:rsidRPr="00B94DC6">
        <w:rPr>
          <w:kern w:val="28"/>
          <w:lang w:eastAsia="en-US"/>
        </w:rPr>
        <w:tab/>
        <w:t>înlocuirea stavilei la canalul descărcător Pod Joiţa, pentru reducerea pierderilor de apă brută la evacuarea zaiului;</w:t>
      </w:r>
    </w:p>
    <w:p w:rsidR="00B94DC6" w:rsidRPr="00B94DC6" w:rsidRDefault="00B94DC6" w:rsidP="00B94DC6">
      <w:pPr>
        <w:jc w:val="both"/>
        <w:outlineLvl w:val="1"/>
        <w:rPr>
          <w:kern w:val="28"/>
          <w:lang w:eastAsia="en-US"/>
        </w:rPr>
      </w:pPr>
      <w:r w:rsidRPr="00B94DC6">
        <w:rPr>
          <w:kern w:val="28"/>
          <w:lang w:eastAsia="en-US"/>
        </w:rPr>
        <w:t>•</w:t>
      </w:r>
      <w:r w:rsidRPr="00B94DC6">
        <w:rPr>
          <w:kern w:val="28"/>
          <w:lang w:eastAsia="en-US"/>
        </w:rPr>
        <w:tab/>
        <w:t>finalizarea instalaţiei de preclorinare cu injecţie, la ieşirea din decantoarele 3 şi 4 la staţia de tratare Arcuda;</w:t>
      </w:r>
    </w:p>
    <w:p w:rsidR="00B94DC6" w:rsidRPr="00B94DC6" w:rsidRDefault="00B94DC6" w:rsidP="00B94DC6">
      <w:pPr>
        <w:jc w:val="both"/>
        <w:outlineLvl w:val="1"/>
        <w:rPr>
          <w:kern w:val="28"/>
          <w:lang w:eastAsia="en-US"/>
        </w:rPr>
      </w:pPr>
      <w:r w:rsidRPr="00B94DC6">
        <w:rPr>
          <w:kern w:val="28"/>
          <w:lang w:eastAsia="en-US"/>
        </w:rPr>
        <w:t>•</w:t>
      </w:r>
      <w:r w:rsidRPr="00B94DC6">
        <w:rPr>
          <w:kern w:val="28"/>
          <w:lang w:eastAsia="en-US"/>
        </w:rPr>
        <w:tab/>
        <w:t>finalizarea instalaţiei de dozare cărbune activ pulbere, la staţia de tratare Roşu;</w:t>
      </w:r>
    </w:p>
    <w:p w:rsidR="00B94DC6" w:rsidRPr="00B94DC6" w:rsidRDefault="00B94DC6" w:rsidP="00B94DC6">
      <w:pPr>
        <w:jc w:val="both"/>
        <w:outlineLvl w:val="1"/>
        <w:rPr>
          <w:kern w:val="28"/>
          <w:lang w:eastAsia="en-US"/>
        </w:rPr>
      </w:pPr>
      <w:r w:rsidRPr="00B94DC6">
        <w:rPr>
          <w:kern w:val="28"/>
          <w:lang w:eastAsia="en-US"/>
        </w:rPr>
        <w:t>•</w:t>
      </w:r>
      <w:r w:rsidRPr="00B94DC6">
        <w:rPr>
          <w:kern w:val="28"/>
          <w:lang w:eastAsia="en-US"/>
        </w:rPr>
        <w:tab/>
        <w:t>revizii la decantoare, staţia de tratare Roşu;</w:t>
      </w:r>
    </w:p>
    <w:p w:rsidR="00B94DC6" w:rsidRPr="00B94DC6" w:rsidRDefault="00B94DC6" w:rsidP="00B94DC6">
      <w:pPr>
        <w:jc w:val="both"/>
        <w:outlineLvl w:val="1"/>
        <w:rPr>
          <w:kern w:val="28"/>
          <w:lang w:eastAsia="en-US"/>
        </w:rPr>
      </w:pPr>
      <w:r w:rsidRPr="00B94DC6">
        <w:rPr>
          <w:kern w:val="28"/>
          <w:lang w:eastAsia="en-US"/>
        </w:rPr>
        <w:t>•</w:t>
      </w:r>
      <w:r w:rsidRPr="00B94DC6">
        <w:rPr>
          <w:kern w:val="28"/>
          <w:lang w:eastAsia="en-US"/>
        </w:rPr>
        <w:tab/>
        <w:t>înlocuirea reţelei de agent termic în staţia de tratare Roşu;</w:t>
      </w:r>
    </w:p>
    <w:p w:rsidR="00B94DC6" w:rsidRPr="00B94DC6" w:rsidRDefault="00B94DC6" w:rsidP="00B94DC6">
      <w:pPr>
        <w:jc w:val="both"/>
        <w:outlineLvl w:val="1"/>
        <w:rPr>
          <w:kern w:val="28"/>
          <w:lang w:eastAsia="en-US"/>
        </w:rPr>
      </w:pPr>
      <w:r w:rsidRPr="00B94DC6">
        <w:rPr>
          <w:kern w:val="28"/>
          <w:lang w:eastAsia="en-US"/>
        </w:rPr>
        <w:t>•</w:t>
      </w:r>
      <w:r w:rsidRPr="00B94DC6">
        <w:rPr>
          <w:kern w:val="28"/>
          <w:lang w:eastAsia="en-US"/>
        </w:rPr>
        <w:tab/>
        <w:t>reabilitarea deschiderii 4, baraj Crivina;</w:t>
      </w:r>
    </w:p>
    <w:p w:rsidR="00B94DC6" w:rsidRPr="00B94DC6" w:rsidRDefault="00B94DC6" w:rsidP="00B94DC6">
      <w:pPr>
        <w:jc w:val="both"/>
        <w:outlineLvl w:val="1"/>
        <w:rPr>
          <w:kern w:val="28"/>
          <w:lang w:eastAsia="en-US"/>
        </w:rPr>
      </w:pPr>
      <w:r w:rsidRPr="00B94DC6">
        <w:rPr>
          <w:kern w:val="28"/>
          <w:lang w:eastAsia="en-US"/>
        </w:rPr>
        <w:t>•</w:t>
      </w:r>
      <w:r w:rsidRPr="00B94DC6">
        <w:rPr>
          <w:kern w:val="28"/>
          <w:lang w:eastAsia="en-US"/>
        </w:rPr>
        <w:tab/>
        <w:t>reabilitarea interioară, acces şi post-trafo la staţia de pompare Nord;</w:t>
      </w:r>
    </w:p>
    <w:p w:rsidR="00B94DC6" w:rsidRPr="00B94DC6" w:rsidRDefault="00B94DC6" w:rsidP="00B94DC6">
      <w:pPr>
        <w:jc w:val="both"/>
        <w:outlineLvl w:val="1"/>
        <w:rPr>
          <w:kern w:val="28"/>
          <w:lang w:eastAsia="en-US"/>
        </w:rPr>
      </w:pPr>
      <w:r w:rsidRPr="00B94DC6">
        <w:rPr>
          <w:kern w:val="28"/>
          <w:lang w:eastAsia="en-US"/>
        </w:rPr>
        <w:t>•</w:t>
      </w:r>
      <w:r w:rsidRPr="00B94DC6">
        <w:rPr>
          <w:kern w:val="28"/>
          <w:lang w:eastAsia="en-US"/>
        </w:rPr>
        <w:tab/>
        <w:t>lucrări de optimizare energetică la staţiile de pompare Grozăveşti, Nord şi Preciziei;</w:t>
      </w:r>
    </w:p>
    <w:p w:rsidR="00B94DC6" w:rsidRDefault="00B94DC6" w:rsidP="00B94DC6">
      <w:pPr>
        <w:jc w:val="both"/>
        <w:outlineLvl w:val="1"/>
        <w:rPr>
          <w:kern w:val="28"/>
          <w:lang w:eastAsia="en-US"/>
        </w:rPr>
      </w:pPr>
      <w:r w:rsidRPr="00B94DC6">
        <w:rPr>
          <w:kern w:val="28"/>
          <w:lang w:eastAsia="en-US"/>
        </w:rPr>
        <w:t>•</w:t>
      </w:r>
      <w:r w:rsidRPr="00B94DC6">
        <w:rPr>
          <w:kern w:val="28"/>
          <w:lang w:eastAsia="en-US"/>
        </w:rPr>
        <w:tab/>
        <w:t>înlocuirea tronsonului refulare de la grupul 5, la staţia de pompare Drumul Taberei.</w:t>
      </w:r>
    </w:p>
    <w:p w:rsidR="00B94DC6" w:rsidRDefault="00B94DC6" w:rsidP="00816415">
      <w:pPr>
        <w:jc w:val="both"/>
        <w:outlineLvl w:val="1"/>
        <w:rPr>
          <w:kern w:val="28"/>
          <w:lang w:eastAsia="en-US"/>
        </w:rPr>
      </w:pPr>
    </w:p>
    <w:p w:rsidR="00B94DC6" w:rsidRDefault="00B94DC6" w:rsidP="00816415">
      <w:pPr>
        <w:jc w:val="both"/>
        <w:outlineLvl w:val="1"/>
        <w:rPr>
          <w:kern w:val="28"/>
          <w:lang w:eastAsia="en-US"/>
        </w:rPr>
      </w:pPr>
      <w:r>
        <w:rPr>
          <w:kern w:val="28"/>
          <w:lang w:eastAsia="en-US"/>
        </w:rPr>
        <w:tab/>
        <w:t>Î</w:t>
      </w:r>
      <w:r w:rsidRPr="00B94DC6">
        <w:rPr>
          <w:kern w:val="28"/>
          <w:lang w:eastAsia="en-US"/>
        </w:rPr>
        <w:t>n cursul anului 2018, din totalul de 13.051 contoare instalate pe branşamentele ANB, un număr de 7.816 au fost contoare “smart”. Astfel, la sfârşitul anului 2018, numărul total de contoare inteligente existente pe branşamente a fost de 29.042.</w:t>
      </w:r>
    </w:p>
    <w:p w:rsidR="00B94DC6" w:rsidRPr="00B94DC6" w:rsidRDefault="00B94DC6" w:rsidP="00B94DC6">
      <w:pPr>
        <w:jc w:val="both"/>
        <w:outlineLvl w:val="1"/>
        <w:rPr>
          <w:b/>
          <w:kern w:val="28"/>
          <w:lang w:eastAsia="en-US"/>
        </w:rPr>
      </w:pPr>
      <w:r w:rsidRPr="00B94DC6">
        <w:rPr>
          <w:b/>
          <w:kern w:val="28"/>
          <w:lang w:eastAsia="en-US"/>
        </w:rPr>
        <w:tab/>
        <w:t>Reabilitarea reţelei de alimentare cu apă potabilă</w:t>
      </w:r>
    </w:p>
    <w:p w:rsidR="00B94DC6" w:rsidRPr="00B94DC6" w:rsidRDefault="00B94DC6" w:rsidP="00B94DC6">
      <w:pPr>
        <w:jc w:val="both"/>
        <w:outlineLvl w:val="1"/>
        <w:rPr>
          <w:kern w:val="28"/>
          <w:lang w:eastAsia="en-US"/>
        </w:rPr>
      </w:pPr>
      <w:r>
        <w:rPr>
          <w:kern w:val="28"/>
          <w:lang w:eastAsia="en-US"/>
        </w:rPr>
        <w:tab/>
      </w:r>
      <w:r w:rsidRPr="00B94DC6">
        <w:rPr>
          <w:kern w:val="28"/>
          <w:lang w:eastAsia="en-US"/>
        </w:rPr>
        <w:t>Reabilitarea reţelelor de apă potabilă a avut în vedere toate sectoarele din Bucureşti, prioritare fiind zonele cu potenţial de avarii ridicat.</w:t>
      </w:r>
    </w:p>
    <w:p w:rsidR="00B94DC6" w:rsidRPr="00B94DC6" w:rsidRDefault="00B94DC6" w:rsidP="00B94DC6">
      <w:pPr>
        <w:jc w:val="both"/>
        <w:outlineLvl w:val="1"/>
        <w:rPr>
          <w:kern w:val="28"/>
          <w:lang w:eastAsia="en-US"/>
        </w:rPr>
      </w:pPr>
      <w:r>
        <w:rPr>
          <w:kern w:val="28"/>
          <w:lang w:eastAsia="en-US"/>
        </w:rPr>
        <w:tab/>
      </w:r>
      <w:r w:rsidRPr="00B94DC6">
        <w:rPr>
          <w:kern w:val="28"/>
          <w:lang w:eastAsia="en-US"/>
        </w:rPr>
        <w:t>Au fost finalizate lucrările de reabilitare a conductelor publice de alimentare cu apă pe următoarele străzi: Popa Nan, Pache Protopopescu, Constantin Noica, Cezar Bolliac, Onisifor Ghibu, Vistierul Stravinos, Orşova, Dealului, Dreptăţii, Dealul Ţugulea, Veteranilor, Apeductului, Teleajen, Turda, Şaradei, Feldioara. Lungimea înlocuită a însumat aproximativ 9 km.</w:t>
      </w:r>
    </w:p>
    <w:p w:rsidR="00B94DC6" w:rsidRPr="00B94DC6" w:rsidRDefault="00B94DC6" w:rsidP="00B94DC6">
      <w:pPr>
        <w:jc w:val="both"/>
        <w:outlineLvl w:val="1"/>
        <w:rPr>
          <w:b/>
          <w:kern w:val="28"/>
          <w:lang w:eastAsia="en-US"/>
        </w:rPr>
      </w:pPr>
      <w:r w:rsidRPr="00B94DC6">
        <w:rPr>
          <w:b/>
          <w:kern w:val="28"/>
          <w:lang w:eastAsia="en-US"/>
        </w:rPr>
        <w:tab/>
        <w:t>Reabilitarea reţelei de canalizare</w:t>
      </w:r>
    </w:p>
    <w:p w:rsidR="00B94DC6" w:rsidRPr="00B94DC6" w:rsidRDefault="00B94DC6" w:rsidP="00B94DC6">
      <w:pPr>
        <w:jc w:val="both"/>
        <w:outlineLvl w:val="1"/>
        <w:rPr>
          <w:kern w:val="28"/>
          <w:lang w:eastAsia="en-US"/>
        </w:rPr>
      </w:pPr>
      <w:r>
        <w:rPr>
          <w:kern w:val="28"/>
          <w:lang w:eastAsia="en-US"/>
        </w:rPr>
        <w:tab/>
      </w:r>
      <w:r w:rsidRPr="00B94DC6">
        <w:rPr>
          <w:kern w:val="28"/>
          <w:lang w:eastAsia="en-US"/>
        </w:rPr>
        <w:t>Reţeaua de canalizare a fost reabilitată, în anul 2018, pe o lungime de aproximativ 9,8 km.</w:t>
      </w:r>
    </w:p>
    <w:p w:rsidR="00B94DC6" w:rsidRDefault="00B94DC6" w:rsidP="00B94DC6">
      <w:pPr>
        <w:jc w:val="both"/>
        <w:outlineLvl w:val="1"/>
        <w:rPr>
          <w:kern w:val="28"/>
          <w:lang w:eastAsia="en-US"/>
        </w:rPr>
      </w:pPr>
      <w:r>
        <w:rPr>
          <w:kern w:val="28"/>
          <w:lang w:eastAsia="en-US"/>
        </w:rPr>
        <w:tab/>
      </w:r>
      <w:r w:rsidRPr="00B94DC6">
        <w:rPr>
          <w:kern w:val="28"/>
          <w:lang w:eastAsia="en-US"/>
        </w:rPr>
        <w:t>S-au înlocuit reţelele publice de canalizare existente pe stăzile: Mihai Bravu, Popa Nan, Cezar Bolliac, Corneliu Coposu, Luterană, Gen. Berthelot, Mitropolit losif, Aristotel Pappia, Sfânta Treime, Turnul Eiffel, Horei, Bihor, Gh. Palade, Cisnădie, Daniel Ciugureanu, Gheorghe Demetriade.</w:t>
      </w:r>
    </w:p>
    <w:p w:rsidR="00DE48EA" w:rsidRPr="00DE48EA" w:rsidRDefault="00DE48EA" w:rsidP="00DE48EA">
      <w:pPr>
        <w:jc w:val="both"/>
        <w:outlineLvl w:val="1"/>
        <w:rPr>
          <w:b/>
          <w:kern w:val="28"/>
          <w:lang w:eastAsia="en-US"/>
        </w:rPr>
      </w:pPr>
      <w:r w:rsidRPr="00DE48EA">
        <w:rPr>
          <w:b/>
          <w:kern w:val="28"/>
          <w:lang w:eastAsia="en-US"/>
        </w:rPr>
        <w:tab/>
        <w:t>Extinderea reţelelor de alimentare cu apă potabilă</w:t>
      </w:r>
    </w:p>
    <w:p w:rsidR="00DE48EA" w:rsidRPr="00DE48EA" w:rsidRDefault="00DE48EA" w:rsidP="00DE48EA">
      <w:pPr>
        <w:jc w:val="both"/>
        <w:outlineLvl w:val="1"/>
        <w:rPr>
          <w:kern w:val="28"/>
          <w:lang w:eastAsia="en-US"/>
        </w:rPr>
      </w:pPr>
      <w:r>
        <w:rPr>
          <w:kern w:val="28"/>
          <w:lang w:eastAsia="en-US"/>
        </w:rPr>
        <w:tab/>
        <w:t>Î</w:t>
      </w:r>
      <w:r w:rsidRPr="00DE48EA">
        <w:rPr>
          <w:kern w:val="28"/>
          <w:lang w:eastAsia="en-US"/>
        </w:rPr>
        <w:t>n cadrul Programului BUCUR au fost executate lucrări de extindere a reţelei publice de apă pe o lungime de aproximativ 4,4 km. Au fost finalizate şi recepţionate lucrările de pe străzile Turnu Măgurele, Luică, Aurel Persu, Odei, Floare de Gheaţă, Gelu Naum, Cutescu Stork Cecilia şi Tihuţa.</w:t>
      </w:r>
    </w:p>
    <w:p w:rsidR="00DE48EA" w:rsidRPr="00DE48EA" w:rsidRDefault="00DE48EA" w:rsidP="00DE48EA">
      <w:pPr>
        <w:jc w:val="both"/>
        <w:outlineLvl w:val="1"/>
        <w:rPr>
          <w:b/>
          <w:kern w:val="28"/>
          <w:lang w:eastAsia="en-US"/>
        </w:rPr>
      </w:pPr>
      <w:r w:rsidRPr="00DE48EA">
        <w:rPr>
          <w:b/>
          <w:kern w:val="28"/>
          <w:lang w:eastAsia="en-US"/>
        </w:rPr>
        <w:lastRenderedPageBreak/>
        <w:tab/>
        <w:t>Extinderea reţelelor de canalizare</w:t>
      </w:r>
    </w:p>
    <w:p w:rsidR="00DE48EA" w:rsidRPr="00DE48EA" w:rsidRDefault="00DE48EA" w:rsidP="00DE48EA">
      <w:pPr>
        <w:jc w:val="both"/>
        <w:outlineLvl w:val="1"/>
        <w:rPr>
          <w:kern w:val="28"/>
          <w:lang w:eastAsia="en-US"/>
        </w:rPr>
      </w:pPr>
      <w:r>
        <w:rPr>
          <w:kern w:val="28"/>
          <w:lang w:eastAsia="en-US"/>
        </w:rPr>
        <w:tab/>
      </w:r>
      <w:r w:rsidRPr="00DE48EA">
        <w:rPr>
          <w:kern w:val="28"/>
          <w:lang w:eastAsia="en-US"/>
        </w:rPr>
        <w:t>Extinderea reţelelor de canalizare a reprezentat aproximativ 3,3 km de reţea.</w:t>
      </w:r>
    </w:p>
    <w:p w:rsidR="00DE48EA" w:rsidRPr="00DE48EA" w:rsidRDefault="00DE48EA" w:rsidP="00DE48EA">
      <w:pPr>
        <w:jc w:val="both"/>
        <w:outlineLvl w:val="1"/>
        <w:rPr>
          <w:kern w:val="28"/>
          <w:lang w:eastAsia="en-US"/>
        </w:rPr>
      </w:pPr>
      <w:r>
        <w:rPr>
          <w:kern w:val="28"/>
          <w:lang w:eastAsia="en-US"/>
        </w:rPr>
        <w:tab/>
      </w:r>
      <w:r w:rsidRPr="00DE48EA">
        <w:rPr>
          <w:kern w:val="28"/>
          <w:lang w:eastAsia="en-US"/>
        </w:rPr>
        <w:t>Au fost finalizate şi recepţionate lucrările de pe străzile: Dreptăţii, Floare de Gheaţă, Gelu Naum, Turnu Măgurele, Luică, Aurel Persu, Odei, Cutescu Stork Cecilia, Tihuţa, Trecătorii şi Tei Toboc.</w:t>
      </w:r>
    </w:p>
    <w:p w:rsidR="00DE48EA" w:rsidRPr="00DE48EA" w:rsidRDefault="00DE48EA" w:rsidP="00DE48EA">
      <w:pPr>
        <w:jc w:val="both"/>
        <w:outlineLvl w:val="1"/>
        <w:rPr>
          <w:kern w:val="28"/>
          <w:lang w:eastAsia="en-US"/>
        </w:rPr>
      </w:pPr>
      <w:r w:rsidRPr="00DE48EA">
        <w:rPr>
          <w:kern w:val="28"/>
          <w:lang w:eastAsia="en-US"/>
        </w:rPr>
        <w:t>Obligaţii noi acceptate în AA10</w:t>
      </w:r>
    </w:p>
    <w:p w:rsidR="00DE48EA" w:rsidRPr="00DE48EA" w:rsidRDefault="00DE48EA" w:rsidP="00DE48EA">
      <w:pPr>
        <w:jc w:val="both"/>
        <w:outlineLvl w:val="1"/>
        <w:rPr>
          <w:kern w:val="28"/>
          <w:lang w:eastAsia="en-US"/>
        </w:rPr>
      </w:pPr>
      <w:r>
        <w:rPr>
          <w:kern w:val="28"/>
          <w:lang w:eastAsia="en-US"/>
        </w:rPr>
        <w:tab/>
      </w:r>
      <w:r w:rsidRPr="00DE48EA">
        <w:rPr>
          <w:kern w:val="28"/>
          <w:lang w:eastAsia="en-US"/>
        </w:rPr>
        <w:t>Ca obligaţii noi acceptate în Actul Adiţional nr. 10, în anul 2018, s-au finalizat lucrările de reabilitare şi modernizare fântâni P-ţa Unirii şi lucrările de reabilitare a Barajului Pantelimon. Pentru ultima staţie de hidrofor reabilitată se aşteaptă emiterea de către autorităţi, a avizelor şi autorizaţiilor.</w:t>
      </w:r>
    </w:p>
    <w:p w:rsidR="00DE48EA" w:rsidRPr="00DE48EA" w:rsidRDefault="00DE48EA" w:rsidP="00DE48EA">
      <w:pPr>
        <w:jc w:val="both"/>
        <w:outlineLvl w:val="1"/>
        <w:rPr>
          <w:b/>
          <w:kern w:val="28"/>
          <w:lang w:eastAsia="en-US"/>
        </w:rPr>
      </w:pPr>
      <w:r w:rsidRPr="00DE48EA">
        <w:rPr>
          <w:b/>
          <w:kern w:val="28"/>
          <w:lang w:eastAsia="en-US"/>
        </w:rPr>
        <w:tab/>
        <w:t>Lucrări de reabilitare pe marile colectoare şi Caseta de Apă Uzată</w:t>
      </w:r>
    </w:p>
    <w:p w:rsidR="00DE48EA" w:rsidRPr="00DE48EA" w:rsidRDefault="00DE48EA" w:rsidP="00DE48EA">
      <w:pPr>
        <w:jc w:val="both"/>
        <w:outlineLvl w:val="1"/>
        <w:rPr>
          <w:kern w:val="28"/>
          <w:lang w:eastAsia="en-US"/>
        </w:rPr>
      </w:pPr>
      <w:r>
        <w:rPr>
          <w:kern w:val="28"/>
          <w:lang w:eastAsia="en-US"/>
        </w:rPr>
        <w:tab/>
        <w:t>Î</w:t>
      </w:r>
      <w:r w:rsidRPr="00DE48EA">
        <w:rPr>
          <w:kern w:val="28"/>
          <w:lang w:eastAsia="en-US"/>
        </w:rPr>
        <w:t>mbunătăţirea sistemului principal de canalizare, care are rol de transport al apelor uzate menajere, este supus anual unui Program Preventiv riguros, în cadrul căruia sunt desfăşurate acţiuni de inspectare şi de curăţare a reţelei precum şi eliminarea deşeurilor din interior. Totodată, în urma efectuării inspecţiilor tehnice au fost realizate lucrări de reparaţii locale, în vederea limitării degradării structurii de rezistenţă a reţelelor vizitabile, toate acestea având ca scop creşterea eficienţei în exploatare şi gestionarea optimă a evenimentelor pluviale.</w:t>
      </w:r>
    </w:p>
    <w:p w:rsidR="00DE48EA" w:rsidRPr="00DE48EA" w:rsidRDefault="00DE48EA" w:rsidP="00DE48EA">
      <w:pPr>
        <w:jc w:val="both"/>
        <w:outlineLvl w:val="1"/>
        <w:rPr>
          <w:kern w:val="28"/>
          <w:lang w:eastAsia="en-US"/>
        </w:rPr>
      </w:pPr>
      <w:r>
        <w:rPr>
          <w:kern w:val="28"/>
          <w:lang w:eastAsia="en-US"/>
        </w:rPr>
        <w:tab/>
      </w:r>
      <w:r w:rsidRPr="00DE48EA">
        <w:rPr>
          <w:kern w:val="28"/>
          <w:lang w:eastAsia="en-US"/>
        </w:rPr>
        <w:t>Astfel, în decursul anului 2018, au fost realizate următoarele acţiuni preventive:</w:t>
      </w:r>
    </w:p>
    <w:p w:rsidR="00B94DC6" w:rsidRDefault="00DE48EA" w:rsidP="00DE48EA">
      <w:pPr>
        <w:jc w:val="both"/>
        <w:outlineLvl w:val="1"/>
        <w:rPr>
          <w:kern w:val="28"/>
          <w:lang w:eastAsia="en-US"/>
        </w:rPr>
      </w:pPr>
      <w:r>
        <w:rPr>
          <w:kern w:val="28"/>
          <w:lang w:eastAsia="en-US"/>
        </w:rPr>
        <w:t>•</w:t>
      </w:r>
      <w:r w:rsidRPr="00DE48EA">
        <w:rPr>
          <w:kern w:val="28"/>
          <w:lang w:eastAsia="en-US"/>
        </w:rPr>
        <w:t>inspecţia video a 111 km de reţea de canalizare vizitabilă, din care 68 km pe colectoare şi 43 km pe Casetă, în vederea identificării eventualelor probleme privind funcţionarea şi/sau starea constructivă a acestora;</w:t>
      </w:r>
    </w:p>
    <w:p w:rsidR="00DE48EA" w:rsidRPr="00DE48EA" w:rsidRDefault="00DE48EA" w:rsidP="00DE48EA">
      <w:pPr>
        <w:jc w:val="both"/>
        <w:outlineLvl w:val="1"/>
        <w:rPr>
          <w:kern w:val="28"/>
          <w:lang w:eastAsia="en-US"/>
        </w:rPr>
      </w:pPr>
      <w:r>
        <w:rPr>
          <w:kern w:val="28"/>
          <w:lang w:eastAsia="en-US"/>
        </w:rPr>
        <w:t>•</w:t>
      </w:r>
      <w:r w:rsidRPr="00DE48EA">
        <w:rPr>
          <w:kern w:val="28"/>
          <w:lang w:eastAsia="en-US"/>
        </w:rPr>
        <w:t>curăţarea manuală şi mecanizată a 6,3 km de reţea de canalizare, respectiv colectoare vizitabile şi Casetă, în vederea îmbunătăţirii hidraulicii de curgere;</w:t>
      </w:r>
    </w:p>
    <w:p w:rsidR="00DE48EA" w:rsidRPr="00DE48EA" w:rsidRDefault="00DE48EA" w:rsidP="00DE48EA">
      <w:pPr>
        <w:jc w:val="both"/>
        <w:outlineLvl w:val="1"/>
        <w:rPr>
          <w:kern w:val="28"/>
          <w:lang w:eastAsia="en-US"/>
        </w:rPr>
      </w:pPr>
      <w:r>
        <w:rPr>
          <w:kern w:val="28"/>
          <w:lang w:eastAsia="en-US"/>
        </w:rPr>
        <w:t>•</w:t>
      </w:r>
      <w:r w:rsidRPr="00DE48EA">
        <w:rPr>
          <w:kern w:val="28"/>
          <w:lang w:eastAsia="en-US"/>
        </w:rPr>
        <w:t>reparaţii locale cu forţe proprii, prin metode fără săpătură, a 815 m de reţea de canalizare în vederea creşterii gradului de siguranţă în exploatare;</w:t>
      </w:r>
    </w:p>
    <w:p w:rsidR="00DE48EA" w:rsidRPr="00DE48EA" w:rsidRDefault="00DE48EA" w:rsidP="00DE48EA">
      <w:pPr>
        <w:jc w:val="both"/>
        <w:outlineLvl w:val="1"/>
        <w:rPr>
          <w:kern w:val="28"/>
          <w:lang w:eastAsia="en-US"/>
        </w:rPr>
      </w:pPr>
      <w:r>
        <w:rPr>
          <w:kern w:val="28"/>
          <w:lang w:eastAsia="en-US"/>
        </w:rPr>
        <w:t>•</w:t>
      </w:r>
      <w:r w:rsidRPr="00DE48EA">
        <w:rPr>
          <w:kern w:val="28"/>
          <w:lang w:eastAsia="en-US"/>
        </w:rPr>
        <w:t>monitorizarea calitativă a apelor uzate transportate la SEAU Glina prin prelevarea zilnică de probe eşantion şi analiza acestora în Laboratorul ANB, ţinând cont de indicatorii impuşi de legislaţia în vigoare.</w:t>
      </w:r>
    </w:p>
    <w:p w:rsidR="00DE48EA" w:rsidRPr="00DE48EA" w:rsidRDefault="00DE48EA" w:rsidP="00DE48EA">
      <w:pPr>
        <w:jc w:val="both"/>
        <w:outlineLvl w:val="1"/>
        <w:rPr>
          <w:kern w:val="28"/>
          <w:lang w:eastAsia="en-US"/>
        </w:rPr>
      </w:pPr>
      <w:r>
        <w:rPr>
          <w:kern w:val="28"/>
          <w:lang w:eastAsia="en-US"/>
        </w:rPr>
        <w:tab/>
      </w:r>
      <w:r w:rsidRPr="00DE48EA">
        <w:rPr>
          <w:kern w:val="28"/>
          <w:lang w:eastAsia="en-US"/>
        </w:rPr>
        <w:t>Cele mai importante lucrări de reabilitare a marilor colectoare şi</w:t>
      </w:r>
      <w:r>
        <w:rPr>
          <w:kern w:val="28"/>
          <w:lang w:eastAsia="en-US"/>
        </w:rPr>
        <w:t xml:space="preserve"> a Casetei de Apă </w:t>
      </w:r>
      <w:r w:rsidRPr="00DE48EA">
        <w:rPr>
          <w:kern w:val="28"/>
          <w:lang w:eastAsia="en-US"/>
        </w:rPr>
        <w:t>Uzată au fost:</w:t>
      </w:r>
    </w:p>
    <w:p w:rsidR="00DE48EA" w:rsidRPr="00DE48EA" w:rsidRDefault="00DE48EA" w:rsidP="00DE48EA">
      <w:pPr>
        <w:jc w:val="both"/>
        <w:outlineLvl w:val="1"/>
        <w:rPr>
          <w:kern w:val="28"/>
          <w:lang w:eastAsia="en-US"/>
        </w:rPr>
      </w:pPr>
      <w:r>
        <w:rPr>
          <w:kern w:val="28"/>
          <w:lang w:eastAsia="en-US"/>
        </w:rPr>
        <w:t>•</w:t>
      </w:r>
      <w:r w:rsidRPr="00DE48EA">
        <w:rPr>
          <w:kern w:val="28"/>
          <w:lang w:eastAsia="en-US"/>
        </w:rPr>
        <w:t>finalizarea lucrărilor pe colectorul pozat pe şos. Mihai Bravu din cadrul proiectului “Reabilitare colector existent pe şos. Mihai Bravu (tronson cuprins între str. Soldat Magatti Alexandru şi str. Baba Novac)“. Au fost finalizate cele 5 camere de vizitare necesare execuţiei lucrărilor de pipe-jacking. Totodată a fost necesară preluarea racordului aferent spitalului V. Babeş, prin execuţia intubării cu conductă PVC şi Dn 500 mm pe o lungime de 215 m prin vechiul colector şi înglobarea acestuia în beton;</w:t>
      </w:r>
    </w:p>
    <w:p w:rsidR="00DE48EA" w:rsidRPr="00DE48EA" w:rsidRDefault="00DE48EA" w:rsidP="00DE48EA">
      <w:pPr>
        <w:jc w:val="both"/>
        <w:outlineLvl w:val="1"/>
        <w:rPr>
          <w:kern w:val="28"/>
          <w:lang w:eastAsia="en-US"/>
        </w:rPr>
      </w:pPr>
      <w:r>
        <w:rPr>
          <w:kern w:val="28"/>
          <w:lang w:eastAsia="en-US"/>
        </w:rPr>
        <w:t>•</w:t>
      </w:r>
      <w:r w:rsidRPr="00DE48EA">
        <w:rPr>
          <w:kern w:val="28"/>
          <w:lang w:eastAsia="en-US"/>
        </w:rPr>
        <w:t>reabilitarea, prin cămăşuire, pe o lungime de 14 ml a canalului Colector B 100/150 situat în b-dul Corneliu Coposu în amonte de intersecţia cu colectorul B 120/180 pozat pe str. Sfânta Vineri;</w:t>
      </w:r>
    </w:p>
    <w:p w:rsidR="00DE48EA" w:rsidRPr="00DE48EA" w:rsidRDefault="00DE48EA" w:rsidP="00DE48EA">
      <w:pPr>
        <w:jc w:val="both"/>
        <w:outlineLvl w:val="1"/>
        <w:rPr>
          <w:kern w:val="28"/>
          <w:lang w:eastAsia="en-US"/>
        </w:rPr>
      </w:pPr>
      <w:r>
        <w:rPr>
          <w:kern w:val="28"/>
          <w:lang w:eastAsia="en-US"/>
        </w:rPr>
        <w:t>•</w:t>
      </w:r>
      <w:r w:rsidRPr="00DE48EA">
        <w:rPr>
          <w:kern w:val="28"/>
          <w:lang w:eastAsia="en-US"/>
        </w:rPr>
        <w:t>reabilitarea, prin relining cu tuburi PAFSIN cu dimensiuni de D 618/1084 mm pe o lungime de 47 ml şi D 600/900 mm pe o lungime de 18 ml, a canalului colector de pe str. Luterană, tronson cuprins între str. Ştirbei Vodă şi str. G-ral Henri M. Berthelot;</w:t>
      </w:r>
    </w:p>
    <w:p w:rsidR="00DE48EA" w:rsidRPr="00DE48EA" w:rsidRDefault="00DE48EA" w:rsidP="00DE48EA">
      <w:pPr>
        <w:jc w:val="both"/>
        <w:outlineLvl w:val="1"/>
        <w:rPr>
          <w:kern w:val="28"/>
          <w:lang w:eastAsia="en-US"/>
        </w:rPr>
      </w:pPr>
      <w:r>
        <w:rPr>
          <w:kern w:val="28"/>
          <w:lang w:eastAsia="en-US"/>
        </w:rPr>
        <w:t>•</w:t>
      </w:r>
      <w:r w:rsidRPr="00DE48EA">
        <w:rPr>
          <w:kern w:val="28"/>
          <w:lang w:eastAsia="en-US"/>
        </w:rPr>
        <w:t>asigurarea suportului operaţional şi tehnic pentru realizarea expertizei tehnice asupra structurii colectorului tip ovoid Dn 100/195 cm pozat pe b-dul Lascăr Catargiu în vederea stabilirii soluţiei optime de reabilitare prin programul de investiţii;</w:t>
      </w:r>
    </w:p>
    <w:p w:rsidR="00DE48EA" w:rsidRDefault="00DE48EA" w:rsidP="00DE48EA">
      <w:pPr>
        <w:jc w:val="both"/>
        <w:outlineLvl w:val="1"/>
        <w:rPr>
          <w:kern w:val="28"/>
          <w:lang w:eastAsia="en-US"/>
        </w:rPr>
      </w:pPr>
      <w:r>
        <w:rPr>
          <w:kern w:val="28"/>
          <w:lang w:eastAsia="en-US"/>
        </w:rPr>
        <w:t>•</w:t>
      </w:r>
      <w:r w:rsidRPr="00DE48EA">
        <w:rPr>
          <w:kern w:val="28"/>
          <w:lang w:eastAsia="en-US"/>
        </w:rPr>
        <w:t>asistenţă tehnică şi operaţională pentru buna derulare a lucrărilor în cadrul Proiectului Faza II Glina, prin efectuarea verificărilor prin inspecţie tehnică cu dispozitive video, a tronsoanelor de canalizare reabilitate în cadrul CL3 - “Reabilitarea colectoarelor principale de canalizare A0 şi B0”.</w:t>
      </w:r>
    </w:p>
    <w:bookmarkEnd w:id="21"/>
    <w:p w:rsidR="00756F46" w:rsidRDefault="00756F46" w:rsidP="00A77970">
      <w:pPr>
        <w:pStyle w:val="ListParagraph"/>
        <w:jc w:val="both"/>
      </w:pPr>
    </w:p>
    <w:p w:rsidR="00474FAB" w:rsidRDefault="00474FAB" w:rsidP="00474FAB">
      <w:pPr>
        <w:pStyle w:val="ListParagraph"/>
        <w:ind w:left="0"/>
        <w:jc w:val="both"/>
        <w:rPr>
          <w:b/>
        </w:rPr>
      </w:pPr>
      <w:r w:rsidRPr="00474FAB">
        <w:rPr>
          <w:b/>
        </w:rPr>
        <w:t>Regia Autonomă de Distribuție a Energiei Termice (R.A.D.E.T.)</w:t>
      </w:r>
    </w:p>
    <w:p w:rsidR="00474FAB" w:rsidRDefault="00474FAB" w:rsidP="00474FAB">
      <w:pPr>
        <w:pStyle w:val="ListParagraph"/>
        <w:ind w:left="0"/>
        <w:jc w:val="both"/>
        <w:rPr>
          <w:b/>
        </w:rPr>
      </w:pPr>
    </w:p>
    <w:p w:rsidR="00474FAB" w:rsidRDefault="00474FAB" w:rsidP="00474FAB">
      <w:pPr>
        <w:pStyle w:val="ListParagraph"/>
        <w:ind w:left="0"/>
        <w:jc w:val="both"/>
      </w:pPr>
      <w:r>
        <w:tab/>
      </w:r>
      <w:r w:rsidRPr="00474FAB">
        <w:t xml:space="preserve">RADET Bucureşti este administratorul celui mai mare sistem de termoficare din România, deţinând 43% din piaţă. Furnizează energie termică pentru aproximativ 562.000 de apartamente, reprezentând aproximativ 8.200 de blocuri de locuinţe şi 320 imobile, în care trăiesc 1,21 milioane locuitori, precum şi pentru aproximativ 4900 de instituţii, obiective sociale şi agenţi economici. RADET </w:t>
      </w:r>
      <w:r w:rsidRPr="00474FAB">
        <w:lastRenderedPageBreak/>
        <w:t>Bucureşti este operatorul sistemului public de alimentare cu energie termică, asigurând 72% din necesarul de energie termică al Capitalei. Din totalul energiei termice furnizate de RADET, consumul populaţiei reprezintă aproximativ 90%.</w:t>
      </w:r>
    </w:p>
    <w:p w:rsidR="007D2B49" w:rsidRDefault="007D2B49" w:rsidP="00474FAB">
      <w:pPr>
        <w:pStyle w:val="ListParagraph"/>
        <w:ind w:left="0"/>
        <w:jc w:val="both"/>
      </w:pPr>
    </w:p>
    <w:p w:rsidR="00474FAB" w:rsidRDefault="00474FAB" w:rsidP="00474FAB">
      <w:pPr>
        <w:pStyle w:val="ListParagraph"/>
        <w:jc w:val="both"/>
      </w:pPr>
      <w:r>
        <w:t>RADET Bucureşti exploatează:</w:t>
      </w:r>
    </w:p>
    <w:p w:rsidR="00474FAB" w:rsidRDefault="00474FAB" w:rsidP="00474FAB">
      <w:pPr>
        <w:pStyle w:val="ListParagraph"/>
        <w:ind w:left="0"/>
        <w:jc w:val="both"/>
      </w:pPr>
      <w:r>
        <w:t>•</w:t>
      </w:r>
      <w:r>
        <w:tab/>
        <w:t>954 km conducta retele termice de transport apa fierbinte (retea primara), cu diametre intre 25-1300 mm ce sunt pozate la adancimi cuprinse de 1 - 11 m. Din aceste conducte, 79% sunt mai vechi de 20 ani, prezinta coroziune avansata si un numar mare de reparatii locale .</w:t>
      </w:r>
    </w:p>
    <w:p w:rsidR="00474FAB" w:rsidRDefault="00474FAB" w:rsidP="00474FAB">
      <w:pPr>
        <w:pStyle w:val="ListParagraph"/>
        <w:ind w:left="0"/>
        <w:jc w:val="both"/>
      </w:pPr>
      <w:r>
        <w:t>•</w:t>
      </w:r>
      <w:r>
        <w:tab/>
        <w:t xml:space="preserve">2963 km conducta retele termice de distributie a apei calde /agentului de incalzire (retele secundare) cu diametre intre 15-400 mm. Si aceste conducte prezinta coroziune avansata si un numar mare de reparatii locale, in conditiile in care 61% sunt mai vechi de 20 ani, </w:t>
      </w:r>
    </w:p>
    <w:p w:rsidR="00474FAB" w:rsidRDefault="00474FAB" w:rsidP="00474FAB">
      <w:pPr>
        <w:pStyle w:val="ListParagraph"/>
        <w:ind w:left="0"/>
        <w:jc w:val="both"/>
      </w:pPr>
      <w:r>
        <w:t>•</w:t>
      </w:r>
      <w:r>
        <w:tab/>
        <w:t>1059 puncte termice/ centrale termice/ module si o centrala termica de zona, echipate cu 3635 schimbatoare de caldura, 6617 pompe. Avand in vedere vechimea obiectivelor administrate, sunt necesare in prezent numeroase lucrari de reparatii la constructii: refacere zidarie, tencuiala, hidroizolatie, burlane, etc.</w:t>
      </w:r>
    </w:p>
    <w:p w:rsidR="00474FAB" w:rsidRPr="00474FAB" w:rsidRDefault="00474FAB" w:rsidP="00474FAB">
      <w:pPr>
        <w:ind w:left="450" w:firstLine="270"/>
        <w:jc w:val="both"/>
        <w:rPr>
          <w:noProof/>
          <w:lang w:eastAsia="en-US"/>
        </w:rPr>
      </w:pPr>
      <w:r w:rsidRPr="00474FAB">
        <w:rPr>
          <w:noProof/>
          <w:lang w:eastAsia="en-US"/>
        </w:rPr>
        <w:t xml:space="preserve">La data de 31.12.2018  se înregistrau un număr total de </w:t>
      </w:r>
      <w:r w:rsidRPr="00474FAB">
        <w:rPr>
          <w:b/>
          <w:noProof/>
          <w:lang w:eastAsia="en-US"/>
        </w:rPr>
        <w:t>13.992</w:t>
      </w:r>
      <w:r w:rsidRPr="00474FAB">
        <w:rPr>
          <w:noProof/>
          <w:lang w:eastAsia="en-US"/>
        </w:rPr>
        <w:t xml:space="preserve"> contracte furnizare energie termică în derulare:</w:t>
      </w:r>
    </w:p>
    <w:p w:rsidR="00474FAB" w:rsidRPr="00474FAB" w:rsidRDefault="00474FAB" w:rsidP="00980D72">
      <w:pPr>
        <w:numPr>
          <w:ilvl w:val="2"/>
          <w:numId w:val="37"/>
        </w:numPr>
        <w:tabs>
          <w:tab w:val="clear" w:pos="2160"/>
          <w:tab w:val="num" w:pos="0"/>
        </w:tabs>
        <w:ind w:left="0" w:firstLine="0"/>
        <w:jc w:val="both"/>
        <w:rPr>
          <w:noProof/>
          <w:lang w:val="it-IT" w:eastAsia="en-US"/>
        </w:rPr>
      </w:pPr>
      <w:r w:rsidRPr="00474FAB">
        <w:rPr>
          <w:noProof/>
          <w:lang w:eastAsia="en-US"/>
        </w:rPr>
        <w:t xml:space="preserve">consumator casnic (asociaţii/imobile/individuali) – </w:t>
      </w:r>
      <w:r w:rsidRPr="00474FAB">
        <w:rPr>
          <w:b/>
          <w:noProof/>
          <w:lang w:eastAsia="en-US"/>
        </w:rPr>
        <w:t xml:space="preserve">10.612 </w:t>
      </w:r>
    </w:p>
    <w:p w:rsidR="00474FAB" w:rsidRPr="00474FAB" w:rsidRDefault="00474FAB" w:rsidP="00980D72">
      <w:pPr>
        <w:numPr>
          <w:ilvl w:val="2"/>
          <w:numId w:val="37"/>
        </w:numPr>
        <w:tabs>
          <w:tab w:val="clear" w:pos="2160"/>
          <w:tab w:val="num" w:pos="0"/>
        </w:tabs>
        <w:ind w:left="0" w:firstLine="0"/>
        <w:jc w:val="both"/>
        <w:rPr>
          <w:noProof/>
          <w:lang w:val="it-IT" w:eastAsia="en-US"/>
        </w:rPr>
      </w:pPr>
      <w:r w:rsidRPr="00474FAB">
        <w:rPr>
          <w:noProof/>
          <w:lang w:eastAsia="en-US"/>
        </w:rPr>
        <w:t xml:space="preserve">consumator non-casnic (agenţi economici/instituţii publice) – </w:t>
      </w:r>
      <w:r w:rsidRPr="00474FAB">
        <w:rPr>
          <w:b/>
          <w:noProof/>
          <w:lang w:eastAsia="en-US"/>
        </w:rPr>
        <w:t xml:space="preserve">3.380 </w:t>
      </w:r>
    </w:p>
    <w:p w:rsidR="00474FAB" w:rsidRPr="00474FAB" w:rsidRDefault="00474FAB" w:rsidP="00474FAB">
      <w:pPr>
        <w:ind w:left="1800"/>
        <w:jc w:val="both"/>
        <w:rPr>
          <w:noProof/>
          <w:lang w:val="it-IT" w:eastAsia="en-US"/>
        </w:rPr>
      </w:pPr>
    </w:p>
    <w:p w:rsidR="00474FAB" w:rsidRPr="00474FAB" w:rsidRDefault="00474FAB" w:rsidP="00816415">
      <w:pPr>
        <w:jc w:val="both"/>
        <w:rPr>
          <w:b/>
          <w:noProof/>
          <w:lang w:eastAsia="en-US"/>
        </w:rPr>
      </w:pPr>
      <w:r w:rsidRPr="00474FAB">
        <w:rPr>
          <w:b/>
          <w:noProof/>
          <w:lang w:val="en-US" w:eastAsia="en-US"/>
        </w:rPr>
        <w:t>Situaţia contractelor de furnizare a energiei termice şi a punctelor de consum aferente acestora:</w:t>
      </w:r>
    </w:p>
    <w:tbl>
      <w:tblPr>
        <w:tblW w:w="9938" w:type="dxa"/>
        <w:jc w:val="center"/>
        <w:tblInd w:w="-1838" w:type="dxa"/>
        <w:shd w:val="clear" w:color="auto" w:fill="FFFFFF" w:themeFill="background1"/>
        <w:tblLook w:val="0000"/>
      </w:tblPr>
      <w:tblGrid>
        <w:gridCol w:w="1087"/>
        <w:gridCol w:w="4584"/>
        <w:gridCol w:w="2126"/>
        <w:gridCol w:w="2141"/>
      </w:tblGrid>
      <w:tr w:rsidR="00474FAB" w:rsidRPr="00474FAB" w:rsidTr="00816415">
        <w:trPr>
          <w:trHeight w:val="171"/>
          <w:jc w:val="center"/>
        </w:trPr>
        <w:tc>
          <w:tcPr>
            <w:tcW w:w="1087" w:type="dxa"/>
            <w:tcBorders>
              <w:top w:val="single" w:sz="8" w:space="0" w:color="auto"/>
              <w:left w:val="single" w:sz="8" w:space="0" w:color="auto"/>
              <w:bottom w:val="single" w:sz="4" w:space="0" w:color="auto"/>
              <w:right w:val="single" w:sz="8" w:space="0" w:color="auto"/>
            </w:tcBorders>
            <w:shd w:val="clear" w:color="auto" w:fill="FFFFFF" w:themeFill="background1"/>
            <w:noWrap/>
            <w:vAlign w:val="center"/>
          </w:tcPr>
          <w:p w:rsidR="00474FAB" w:rsidRPr="00474FAB" w:rsidRDefault="00474FAB" w:rsidP="00816415">
            <w:pPr>
              <w:jc w:val="both"/>
              <w:rPr>
                <w:b/>
                <w:bCs/>
                <w:lang w:val="en-US" w:eastAsia="en-US"/>
              </w:rPr>
            </w:pPr>
            <w:r w:rsidRPr="00474FAB">
              <w:rPr>
                <w:b/>
                <w:bCs/>
                <w:lang w:val="en-US" w:eastAsia="en-US"/>
              </w:rPr>
              <w:t xml:space="preserve">Nr. </w:t>
            </w:r>
            <w:r w:rsidR="00816415">
              <w:rPr>
                <w:b/>
                <w:bCs/>
                <w:lang w:val="en-US" w:eastAsia="en-US"/>
              </w:rPr>
              <w:t>c</w:t>
            </w:r>
            <w:r w:rsidRPr="00474FAB">
              <w:rPr>
                <w:b/>
                <w:bCs/>
                <w:lang w:val="en-US" w:eastAsia="en-US"/>
              </w:rPr>
              <w:t>rt</w:t>
            </w:r>
            <w:r w:rsidR="00816415">
              <w:rPr>
                <w:b/>
                <w:bCs/>
                <w:lang w:val="en-US" w:eastAsia="en-US"/>
              </w:rPr>
              <w:t>.</w:t>
            </w:r>
          </w:p>
        </w:tc>
        <w:tc>
          <w:tcPr>
            <w:tcW w:w="4584" w:type="dxa"/>
            <w:tcBorders>
              <w:top w:val="single" w:sz="8" w:space="0" w:color="auto"/>
              <w:left w:val="nil"/>
              <w:bottom w:val="single" w:sz="8" w:space="0" w:color="auto"/>
              <w:right w:val="single" w:sz="8" w:space="0" w:color="auto"/>
            </w:tcBorders>
            <w:shd w:val="clear" w:color="auto" w:fill="FFFFFF" w:themeFill="background1"/>
            <w:vAlign w:val="center"/>
          </w:tcPr>
          <w:p w:rsidR="00474FAB" w:rsidRPr="00474FAB" w:rsidRDefault="00474FAB" w:rsidP="00474FAB">
            <w:pPr>
              <w:jc w:val="both"/>
              <w:rPr>
                <w:b/>
                <w:bCs/>
                <w:lang w:val="en-US" w:eastAsia="en-US"/>
              </w:rPr>
            </w:pPr>
            <w:r w:rsidRPr="00474FAB">
              <w:rPr>
                <w:b/>
                <w:bCs/>
                <w:lang w:val="en-US" w:eastAsia="en-US"/>
              </w:rPr>
              <w:t>Tip</w:t>
            </w:r>
          </w:p>
        </w:tc>
        <w:tc>
          <w:tcPr>
            <w:tcW w:w="2126" w:type="dxa"/>
            <w:tcBorders>
              <w:top w:val="single" w:sz="8" w:space="0" w:color="auto"/>
              <w:left w:val="nil"/>
              <w:bottom w:val="single" w:sz="8" w:space="0" w:color="auto"/>
              <w:right w:val="single" w:sz="8" w:space="0" w:color="auto"/>
            </w:tcBorders>
            <w:shd w:val="clear" w:color="auto" w:fill="FFFFFF" w:themeFill="background1"/>
            <w:vAlign w:val="center"/>
          </w:tcPr>
          <w:p w:rsidR="00474FAB" w:rsidRPr="00474FAB" w:rsidRDefault="00474FAB" w:rsidP="00474FAB">
            <w:pPr>
              <w:jc w:val="both"/>
              <w:rPr>
                <w:b/>
                <w:bCs/>
                <w:lang w:val="en-US" w:eastAsia="en-US"/>
              </w:rPr>
            </w:pPr>
            <w:r w:rsidRPr="00474FAB">
              <w:rPr>
                <w:b/>
                <w:bCs/>
                <w:lang w:val="en-US" w:eastAsia="en-US"/>
              </w:rPr>
              <w:t>Titulari Contract</w:t>
            </w:r>
          </w:p>
        </w:tc>
        <w:tc>
          <w:tcPr>
            <w:tcW w:w="2141" w:type="dxa"/>
            <w:tcBorders>
              <w:top w:val="single" w:sz="8" w:space="0" w:color="auto"/>
              <w:left w:val="nil"/>
              <w:bottom w:val="single" w:sz="8" w:space="0" w:color="auto"/>
              <w:right w:val="single" w:sz="8" w:space="0" w:color="auto"/>
            </w:tcBorders>
            <w:shd w:val="clear" w:color="auto" w:fill="FFFFFF" w:themeFill="background1"/>
            <w:vAlign w:val="center"/>
          </w:tcPr>
          <w:p w:rsidR="00474FAB" w:rsidRPr="00474FAB" w:rsidRDefault="00474FAB" w:rsidP="00474FAB">
            <w:pPr>
              <w:jc w:val="both"/>
              <w:rPr>
                <w:b/>
                <w:bCs/>
                <w:lang w:val="en-US" w:eastAsia="en-US"/>
              </w:rPr>
            </w:pPr>
            <w:r w:rsidRPr="00474FAB">
              <w:rPr>
                <w:b/>
                <w:bCs/>
                <w:lang w:val="en-US" w:eastAsia="en-US"/>
              </w:rPr>
              <w:t>Puncte de Consum</w:t>
            </w:r>
          </w:p>
        </w:tc>
      </w:tr>
      <w:tr w:rsidR="00474FAB" w:rsidRPr="00474FAB" w:rsidTr="00816415">
        <w:trPr>
          <w:trHeight w:val="60"/>
          <w:jc w:val="center"/>
        </w:trPr>
        <w:tc>
          <w:tcPr>
            <w:tcW w:w="1087" w:type="dxa"/>
            <w:tcBorders>
              <w:top w:val="nil"/>
              <w:left w:val="single" w:sz="8" w:space="0" w:color="auto"/>
              <w:bottom w:val="single" w:sz="4" w:space="0" w:color="auto"/>
              <w:right w:val="single" w:sz="8" w:space="0" w:color="auto"/>
            </w:tcBorders>
            <w:shd w:val="clear" w:color="auto" w:fill="FFFFFF" w:themeFill="background1"/>
            <w:noWrap/>
            <w:vAlign w:val="center"/>
          </w:tcPr>
          <w:p w:rsidR="00474FAB" w:rsidRPr="00474FAB" w:rsidRDefault="00474FAB" w:rsidP="00474FAB">
            <w:pPr>
              <w:jc w:val="both"/>
              <w:rPr>
                <w:bCs/>
                <w:lang w:val="en-US" w:eastAsia="en-US"/>
              </w:rPr>
            </w:pPr>
            <w:r w:rsidRPr="00474FAB">
              <w:rPr>
                <w:bCs/>
                <w:lang w:val="en-US" w:eastAsia="en-US"/>
              </w:rPr>
              <w:t>1</w:t>
            </w:r>
          </w:p>
        </w:tc>
        <w:tc>
          <w:tcPr>
            <w:tcW w:w="4584" w:type="dxa"/>
            <w:tcBorders>
              <w:top w:val="nil"/>
              <w:left w:val="nil"/>
              <w:bottom w:val="single" w:sz="8" w:space="0" w:color="auto"/>
              <w:right w:val="single" w:sz="8" w:space="0" w:color="auto"/>
            </w:tcBorders>
            <w:shd w:val="clear" w:color="auto" w:fill="FFFFFF" w:themeFill="background1"/>
            <w:vAlign w:val="center"/>
          </w:tcPr>
          <w:p w:rsidR="00474FAB" w:rsidRPr="00474FAB" w:rsidRDefault="00474FAB" w:rsidP="00474FAB">
            <w:pPr>
              <w:jc w:val="both"/>
              <w:rPr>
                <w:bCs/>
                <w:lang w:val="en-US" w:eastAsia="en-US"/>
              </w:rPr>
            </w:pPr>
            <w:r w:rsidRPr="00474FAB">
              <w:rPr>
                <w:bCs/>
                <w:lang w:val="en-US" w:eastAsia="en-US"/>
              </w:rPr>
              <w:t>Asociatii Proprietari/Locatari</w:t>
            </w:r>
          </w:p>
        </w:tc>
        <w:tc>
          <w:tcPr>
            <w:tcW w:w="2126" w:type="dxa"/>
            <w:tcBorders>
              <w:top w:val="nil"/>
              <w:left w:val="nil"/>
              <w:bottom w:val="single" w:sz="8" w:space="0" w:color="auto"/>
              <w:right w:val="single" w:sz="8" w:space="0" w:color="auto"/>
            </w:tcBorders>
            <w:shd w:val="clear" w:color="auto" w:fill="FFFFFF" w:themeFill="background1"/>
            <w:vAlign w:val="center"/>
          </w:tcPr>
          <w:p w:rsidR="00474FAB" w:rsidRPr="00474FAB" w:rsidRDefault="00474FAB" w:rsidP="00474FAB">
            <w:pPr>
              <w:jc w:val="both"/>
              <w:rPr>
                <w:bCs/>
                <w:lang w:val="en-US" w:eastAsia="en-US"/>
              </w:rPr>
            </w:pPr>
            <w:r w:rsidRPr="00474FAB">
              <w:rPr>
                <w:bCs/>
                <w:lang w:val="en-US" w:eastAsia="en-US"/>
              </w:rPr>
              <w:t>10.037</w:t>
            </w:r>
          </w:p>
        </w:tc>
        <w:tc>
          <w:tcPr>
            <w:tcW w:w="2141" w:type="dxa"/>
            <w:tcBorders>
              <w:top w:val="nil"/>
              <w:left w:val="nil"/>
              <w:bottom w:val="single" w:sz="8" w:space="0" w:color="auto"/>
              <w:right w:val="single" w:sz="8" w:space="0" w:color="auto"/>
            </w:tcBorders>
            <w:shd w:val="clear" w:color="auto" w:fill="FFFFFF" w:themeFill="background1"/>
            <w:vAlign w:val="center"/>
          </w:tcPr>
          <w:p w:rsidR="00474FAB" w:rsidRPr="00474FAB" w:rsidRDefault="00474FAB" w:rsidP="00474FAB">
            <w:pPr>
              <w:jc w:val="both"/>
              <w:rPr>
                <w:bCs/>
                <w:lang w:val="en-US" w:eastAsia="en-US"/>
              </w:rPr>
            </w:pPr>
            <w:r w:rsidRPr="00474FAB">
              <w:rPr>
                <w:bCs/>
                <w:lang w:val="en-US" w:eastAsia="en-US"/>
              </w:rPr>
              <w:t>19.143</w:t>
            </w:r>
          </w:p>
        </w:tc>
      </w:tr>
      <w:tr w:rsidR="00474FAB" w:rsidRPr="00474FAB" w:rsidTr="00816415">
        <w:trPr>
          <w:trHeight w:val="60"/>
          <w:jc w:val="center"/>
        </w:trPr>
        <w:tc>
          <w:tcPr>
            <w:tcW w:w="1087" w:type="dxa"/>
            <w:tcBorders>
              <w:top w:val="nil"/>
              <w:left w:val="single" w:sz="8" w:space="0" w:color="auto"/>
              <w:bottom w:val="single" w:sz="4" w:space="0" w:color="auto"/>
              <w:right w:val="single" w:sz="8" w:space="0" w:color="auto"/>
            </w:tcBorders>
            <w:shd w:val="clear" w:color="auto" w:fill="FFFFFF" w:themeFill="background1"/>
            <w:noWrap/>
            <w:vAlign w:val="center"/>
          </w:tcPr>
          <w:p w:rsidR="00474FAB" w:rsidRPr="00474FAB" w:rsidRDefault="00474FAB" w:rsidP="00474FAB">
            <w:pPr>
              <w:jc w:val="both"/>
              <w:rPr>
                <w:bCs/>
                <w:lang w:val="en-US" w:eastAsia="en-US"/>
              </w:rPr>
            </w:pPr>
            <w:r w:rsidRPr="00474FAB">
              <w:rPr>
                <w:bCs/>
                <w:lang w:val="en-US" w:eastAsia="en-US"/>
              </w:rPr>
              <w:t>2</w:t>
            </w:r>
          </w:p>
        </w:tc>
        <w:tc>
          <w:tcPr>
            <w:tcW w:w="4584" w:type="dxa"/>
            <w:tcBorders>
              <w:top w:val="nil"/>
              <w:left w:val="nil"/>
              <w:bottom w:val="single" w:sz="8" w:space="0" w:color="auto"/>
              <w:right w:val="single" w:sz="8" w:space="0" w:color="auto"/>
            </w:tcBorders>
            <w:shd w:val="clear" w:color="auto" w:fill="FFFFFF" w:themeFill="background1"/>
            <w:vAlign w:val="center"/>
          </w:tcPr>
          <w:p w:rsidR="00474FAB" w:rsidRPr="00474FAB" w:rsidRDefault="00474FAB" w:rsidP="00474FAB">
            <w:pPr>
              <w:jc w:val="both"/>
              <w:rPr>
                <w:bCs/>
                <w:lang w:val="en-US" w:eastAsia="en-US"/>
              </w:rPr>
            </w:pPr>
            <w:r w:rsidRPr="00474FAB">
              <w:rPr>
                <w:bCs/>
                <w:lang w:val="en-US" w:eastAsia="en-US"/>
              </w:rPr>
              <w:t>Gospodarii individuale (imobile)</w:t>
            </w:r>
          </w:p>
        </w:tc>
        <w:tc>
          <w:tcPr>
            <w:tcW w:w="2126" w:type="dxa"/>
            <w:tcBorders>
              <w:top w:val="nil"/>
              <w:left w:val="nil"/>
              <w:bottom w:val="single" w:sz="8" w:space="0" w:color="auto"/>
              <w:right w:val="single" w:sz="8" w:space="0" w:color="auto"/>
            </w:tcBorders>
            <w:shd w:val="clear" w:color="auto" w:fill="FFFFFF" w:themeFill="background1"/>
            <w:vAlign w:val="center"/>
          </w:tcPr>
          <w:p w:rsidR="00474FAB" w:rsidRPr="00474FAB" w:rsidRDefault="00474FAB" w:rsidP="00474FAB">
            <w:pPr>
              <w:jc w:val="both"/>
              <w:rPr>
                <w:bCs/>
                <w:lang w:val="en-US" w:eastAsia="en-US"/>
              </w:rPr>
            </w:pPr>
            <w:r w:rsidRPr="00474FAB">
              <w:rPr>
                <w:bCs/>
                <w:lang w:val="en-US" w:eastAsia="en-US"/>
              </w:rPr>
              <w:t>575</w:t>
            </w:r>
          </w:p>
        </w:tc>
        <w:tc>
          <w:tcPr>
            <w:tcW w:w="2141" w:type="dxa"/>
            <w:tcBorders>
              <w:top w:val="nil"/>
              <w:left w:val="nil"/>
              <w:bottom w:val="single" w:sz="8" w:space="0" w:color="auto"/>
              <w:right w:val="single" w:sz="8" w:space="0" w:color="auto"/>
            </w:tcBorders>
            <w:shd w:val="clear" w:color="auto" w:fill="FFFFFF" w:themeFill="background1"/>
            <w:vAlign w:val="center"/>
          </w:tcPr>
          <w:p w:rsidR="00474FAB" w:rsidRPr="00474FAB" w:rsidRDefault="00474FAB" w:rsidP="00474FAB">
            <w:pPr>
              <w:jc w:val="both"/>
              <w:rPr>
                <w:bCs/>
                <w:lang w:val="en-US" w:eastAsia="en-US"/>
              </w:rPr>
            </w:pPr>
            <w:r w:rsidRPr="00474FAB">
              <w:rPr>
                <w:bCs/>
                <w:lang w:val="en-US" w:eastAsia="en-US"/>
              </w:rPr>
              <w:t>575</w:t>
            </w:r>
          </w:p>
        </w:tc>
      </w:tr>
      <w:tr w:rsidR="00474FAB" w:rsidRPr="00474FAB" w:rsidTr="00816415">
        <w:trPr>
          <w:trHeight w:val="60"/>
          <w:jc w:val="center"/>
        </w:trPr>
        <w:tc>
          <w:tcPr>
            <w:tcW w:w="1087" w:type="dxa"/>
            <w:tcBorders>
              <w:top w:val="nil"/>
              <w:left w:val="single" w:sz="8" w:space="0" w:color="auto"/>
              <w:bottom w:val="single" w:sz="4" w:space="0" w:color="auto"/>
              <w:right w:val="single" w:sz="8" w:space="0" w:color="auto"/>
            </w:tcBorders>
            <w:shd w:val="clear" w:color="auto" w:fill="FFFFFF" w:themeFill="background1"/>
            <w:noWrap/>
            <w:vAlign w:val="center"/>
          </w:tcPr>
          <w:p w:rsidR="00474FAB" w:rsidRPr="00474FAB" w:rsidRDefault="00474FAB" w:rsidP="00474FAB">
            <w:pPr>
              <w:jc w:val="both"/>
              <w:rPr>
                <w:bCs/>
                <w:lang w:val="en-US" w:eastAsia="en-US"/>
              </w:rPr>
            </w:pPr>
            <w:r w:rsidRPr="00474FAB">
              <w:rPr>
                <w:bCs/>
                <w:lang w:val="en-US" w:eastAsia="en-US"/>
              </w:rPr>
              <w:t>3</w:t>
            </w:r>
          </w:p>
        </w:tc>
        <w:tc>
          <w:tcPr>
            <w:tcW w:w="4584" w:type="dxa"/>
            <w:tcBorders>
              <w:top w:val="nil"/>
              <w:left w:val="nil"/>
              <w:bottom w:val="single" w:sz="8" w:space="0" w:color="auto"/>
              <w:right w:val="single" w:sz="8" w:space="0" w:color="auto"/>
            </w:tcBorders>
            <w:shd w:val="clear" w:color="auto" w:fill="FFFFFF" w:themeFill="background1"/>
            <w:vAlign w:val="center"/>
          </w:tcPr>
          <w:p w:rsidR="00474FAB" w:rsidRPr="00474FAB" w:rsidRDefault="00474FAB" w:rsidP="00474FAB">
            <w:pPr>
              <w:jc w:val="both"/>
              <w:rPr>
                <w:bCs/>
                <w:lang w:val="en-US" w:eastAsia="en-US"/>
              </w:rPr>
            </w:pPr>
            <w:r w:rsidRPr="00474FAB">
              <w:rPr>
                <w:bCs/>
                <w:lang w:val="en-US" w:eastAsia="en-US"/>
              </w:rPr>
              <w:t>Institutii publice</w:t>
            </w:r>
          </w:p>
        </w:tc>
        <w:tc>
          <w:tcPr>
            <w:tcW w:w="2126" w:type="dxa"/>
            <w:tcBorders>
              <w:top w:val="nil"/>
              <w:left w:val="nil"/>
              <w:bottom w:val="single" w:sz="8" w:space="0" w:color="auto"/>
              <w:right w:val="single" w:sz="8" w:space="0" w:color="auto"/>
            </w:tcBorders>
            <w:shd w:val="clear" w:color="auto" w:fill="FFFFFF" w:themeFill="background1"/>
            <w:vAlign w:val="center"/>
          </w:tcPr>
          <w:p w:rsidR="00474FAB" w:rsidRPr="00474FAB" w:rsidRDefault="00474FAB" w:rsidP="00474FAB">
            <w:pPr>
              <w:jc w:val="both"/>
              <w:rPr>
                <w:lang w:val="en-US" w:eastAsia="en-US"/>
              </w:rPr>
            </w:pPr>
            <w:r w:rsidRPr="00474FAB">
              <w:rPr>
                <w:lang w:val="en-US" w:eastAsia="en-US"/>
              </w:rPr>
              <w:t>318</w:t>
            </w:r>
          </w:p>
        </w:tc>
        <w:tc>
          <w:tcPr>
            <w:tcW w:w="2141" w:type="dxa"/>
            <w:tcBorders>
              <w:top w:val="nil"/>
              <w:left w:val="nil"/>
              <w:bottom w:val="single" w:sz="8" w:space="0" w:color="auto"/>
              <w:right w:val="single" w:sz="8" w:space="0" w:color="auto"/>
            </w:tcBorders>
            <w:shd w:val="clear" w:color="auto" w:fill="FFFFFF" w:themeFill="background1"/>
            <w:vAlign w:val="center"/>
          </w:tcPr>
          <w:p w:rsidR="00474FAB" w:rsidRPr="00474FAB" w:rsidRDefault="00474FAB" w:rsidP="00474FAB">
            <w:pPr>
              <w:jc w:val="both"/>
              <w:rPr>
                <w:lang w:val="en-US" w:eastAsia="en-US"/>
              </w:rPr>
            </w:pPr>
            <w:r w:rsidRPr="00474FAB">
              <w:rPr>
                <w:lang w:val="en-US" w:eastAsia="en-US"/>
              </w:rPr>
              <w:t>521</w:t>
            </w:r>
          </w:p>
        </w:tc>
      </w:tr>
      <w:tr w:rsidR="00474FAB" w:rsidRPr="00474FAB" w:rsidTr="00816415">
        <w:trPr>
          <w:trHeight w:val="60"/>
          <w:jc w:val="center"/>
        </w:trPr>
        <w:tc>
          <w:tcPr>
            <w:tcW w:w="1087" w:type="dxa"/>
            <w:tcBorders>
              <w:top w:val="nil"/>
              <w:left w:val="single" w:sz="8" w:space="0" w:color="auto"/>
              <w:bottom w:val="single" w:sz="4" w:space="0" w:color="auto"/>
              <w:right w:val="single" w:sz="8" w:space="0" w:color="auto"/>
            </w:tcBorders>
            <w:shd w:val="clear" w:color="auto" w:fill="FFFFFF" w:themeFill="background1"/>
            <w:noWrap/>
            <w:vAlign w:val="center"/>
          </w:tcPr>
          <w:p w:rsidR="00474FAB" w:rsidRPr="00474FAB" w:rsidRDefault="00474FAB" w:rsidP="00474FAB">
            <w:pPr>
              <w:jc w:val="both"/>
              <w:rPr>
                <w:bCs/>
                <w:lang w:val="en-US" w:eastAsia="en-US"/>
              </w:rPr>
            </w:pPr>
            <w:r w:rsidRPr="00474FAB">
              <w:rPr>
                <w:bCs/>
                <w:lang w:val="en-US" w:eastAsia="en-US"/>
              </w:rPr>
              <w:t>4</w:t>
            </w:r>
          </w:p>
        </w:tc>
        <w:tc>
          <w:tcPr>
            <w:tcW w:w="4584" w:type="dxa"/>
            <w:tcBorders>
              <w:top w:val="nil"/>
              <w:left w:val="nil"/>
              <w:bottom w:val="single" w:sz="8" w:space="0" w:color="auto"/>
              <w:right w:val="single" w:sz="8" w:space="0" w:color="auto"/>
            </w:tcBorders>
            <w:shd w:val="clear" w:color="auto" w:fill="FFFFFF" w:themeFill="background1"/>
            <w:vAlign w:val="center"/>
          </w:tcPr>
          <w:p w:rsidR="00474FAB" w:rsidRPr="00474FAB" w:rsidRDefault="00474FAB" w:rsidP="00474FAB">
            <w:pPr>
              <w:jc w:val="both"/>
              <w:rPr>
                <w:bCs/>
                <w:lang w:val="en-US" w:eastAsia="en-US"/>
              </w:rPr>
            </w:pPr>
            <w:r w:rsidRPr="00474FAB">
              <w:rPr>
                <w:bCs/>
                <w:lang w:val="en-US" w:eastAsia="en-US"/>
              </w:rPr>
              <w:t>Agenti economici</w:t>
            </w:r>
          </w:p>
        </w:tc>
        <w:tc>
          <w:tcPr>
            <w:tcW w:w="2126" w:type="dxa"/>
            <w:tcBorders>
              <w:top w:val="nil"/>
              <w:left w:val="nil"/>
              <w:bottom w:val="single" w:sz="8" w:space="0" w:color="auto"/>
              <w:right w:val="single" w:sz="8" w:space="0" w:color="auto"/>
            </w:tcBorders>
            <w:shd w:val="clear" w:color="auto" w:fill="FFFFFF" w:themeFill="background1"/>
            <w:vAlign w:val="center"/>
          </w:tcPr>
          <w:p w:rsidR="00474FAB" w:rsidRPr="00474FAB" w:rsidRDefault="00474FAB" w:rsidP="00474FAB">
            <w:pPr>
              <w:jc w:val="both"/>
              <w:rPr>
                <w:lang w:val="en-US" w:eastAsia="en-US"/>
              </w:rPr>
            </w:pPr>
            <w:r w:rsidRPr="00474FAB">
              <w:rPr>
                <w:lang w:val="en-US" w:eastAsia="en-US"/>
              </w:rPr>
              <w:t>3.051</w:t>
            </w:r>
          </w:p>
        </w:tc>
        <w:tc>
          <w:tcPr>
            <w:tcW w:w="2141" w:type="dxa"/>
            <w:tcBorders>
              <w:top w:val="nil"/>
              <w:left w:val="nil"/>
              <w:bottom w:val="single" w:sz="8" w:space="0" w:color="auto"/>
              <w:right w:val="single" w:sz="8" w:space="0" w:color="auto"/>
            </w:tcBorders>
            <w:shd w:val="clear" w:color="auto" w:fill="FFFFFF" w:themeFill="background1"/>
            <w:vAlign w:val="center"/>
          </w:tcPr>
          <w:p w:rsidR="00474FAB" w:rsidRPr="00474FAB" w:rsidRDefault="00474FAB" w:rsidP="00474FAB">
            <w:pPr>
              <w:jc w:val="both"/>
              <w:rPr>
                <w:lang w:val="en-US" w:eastAsia="en-US"/>
              </w:rPr>
            </w:pPr>
            <w:r w:rsidRPr="00474FAB">
              <w:rPr>
                <w:lang w:val="en-US" w:eastAsia="en-US"/>
              </w:rPr>
              <w:t>4.306</w:t>
            </w:r>
          </w:p>
        </w:tc>
      </w:tr>
      <w:tr w:rsidR="00474FAB" w:rsidRPr="00474FAB" w:rsidTr="00816415">
        <w:trPr>
          <w:trHeight w:val="60"/>
          <w:jc w:val="center"/>
        </w:trPr>
        <w:tc>
          <w:tcPr>
            <w:tcW w:w="1087" w:type="dxa"/>
            <w:tcBorders>
              <w:top w:val="nil"/>
              <w:left w:val="single" w:sz="8" w:space="0" w:color="auto"/>
              <w:bottom w:val="single" w:sz="4" w:space="0" w:color="auto"/>
              <w:right w:val="single" w:sz="8" w:space="0" w:color="auto"/>
            </w:tcBorders>
            <w:shd w:val="clear" w:color="auto" w:fill="FFFFFF" w:themeFill="background1"/>
            <w:noWrap/>
            <w:vAlign w:val="center"/>
          </w:tcPr>
          <w:p w:rsidR="00474FAB" w:rsidRPr="00474FAB" w:rsidRDefault="00474FAB" w:rsidP="00474FAB">
            <w:pPr>
              <w:jc w:val="both"/>
              <w:rPr>
                <w:bCs/>
                <w:lang w:val="en-US" w:eastAsia="en-US"/>
              </w:rPr>
            </w:pPr>
            <w:r w:rsidRPr="00474FAB">
              <w:rPr>
                <w:bCs/>
                <w:lang w:val="en-US" w:eastAsia="en-US"/>
              </w:rPr>
              <w:t>5</w:t>
            </w:r>
          </w:p>
        </w:tc>
        <w:tc>
          <w:tcPr>
            <w:tcW w:w="4584" w:type="dxa"/>
            <w:tcBorders>
              <w:top w:val="nil"/>
              <w:left w:val="nil"/>
              <w:bottom w:val="single" w:sz="8" w:space="0" w:color="auto"/>
              <w:right w:val="single" w:sz="8" w:space="0" w:color="auto"/>
            </w:tcBorders>
            <w:shd w:val="clear" w:color="auto" w:fill="FFFFFF" w:themeFill="background1"/>
            <w:vAlign w:val="center"/>
          </w:tcPr>
          <w:p w:rsidR="00474FAB" w:rsidRPr="00474FAB" w:rsidRDefault="00474FAB" w:rsidP="00474FAB">
            <w:pPr>
              <w:jc w:val="both"/>
              <w:rPr>
                <w:bCs/>
                <w:lang w:val="en-US" w:eastAsia="en-US"/>
              </w:rPr>
            </w:pPr>
            <w:r w:rsidRPr="00474FAB">
              <w:rPr>
                <w:bCs/>
                <w:lang w:val="en-US" w:eastAsia="en-US"/>
              </w:rPr>
              <w:t>Alti utilizatori (sere)</w:t>
            </w:r>
          </w:p>
        </w:tc>
        <w:tc>
          <w:tcPr>
            <w:tcW w:w="2126" w:type="dxa"/>
            <w:tcBorders>
              <w:top w:val="nil"/>
              <w:left w:val="nil"/>
              <w:bottom w:val="single" w:sz="8" w:space="0" w:color="auto"/>
              <w:right w:val="single" w:sz="8" w:space="0" w:color="auto"/>
            </w:tcBorders>
            <w:shd w:val="clear" w:color="auto" w:fill="FFFFFF" w:themeFill="background1"/>
            <w:vAlign w:val="center"/>
          </w:tcPr>
          <w:p w:rsidR="00474FAB" w:rsidRPr="00474FAB" w:rsidRDefault="00474FAB" w:rsidP="00474FAB">
            <w:pPr>
              <w:jc w:val="both"/>
              <w:rPr>
                <w:lang w:val="en-US" w:eastAsia="en-US"/>
              </w:rPr>
            </w:pPr>
            <w:r w:rsidRPr="00474FAB">
              <w:rPr>
                <w:lang w:val="en-US" w:eastAsia="en-US"/>
              </w:rPr>
              <w:t>11</w:t>
            </w:r>
          </w:p>
        </w:tc>
        <w:tc>
          <w:tcPr>
            <w:tcW w:w="2141" w:type="dxa"/>
            <w:tcBorders>
              <w:top w:val="nil"/>
              <w:left w:val="nil"/>
              <w:bottom w:val="single" w:sz="8" w:space="0" w:color="auto"/>
              <w:right w:val="single" w:sz="8" w:space="0" w:color="auto"/>
            </w:tcBorders>
            <w:shd w:val="clear" w:color="auto" w:fill="FFFFFF" w:themeFill="background1"/>
            <w:vAlign w:val="center"/>
          </w:tcPr>
          <w:p w:rsidR="00474FAB" w:rsidRPr="00474FAB" w:rsidRDefault="00474FAB" w:rsidP="00474FAB">
            <w:pPr>
              <w:jc w:val="both"/>
              <w:rPr>
                <w:lang w:val="en-US" w:eastAsia="en-US"/>
              </w:rPr>
            </w:pPr>
            <w:r w:rsidRPr="00474FAB">
              <w:rPr>
                <w:lang w:val="en-US" w:eastAsia="en-US"/>
              </w:rPr>
              <w:t>11</w:t>
            </w:r>
          </w:p>
        </w:tc>
      </w:tr>
      <w:tr w:rsidR="00474FAB" w:rsidRPr="00474FAB" w:rsidTr="00816415">
        <w:trPr>
          <w:trHeight w:val="116"/>
          <w:jc w:val="center"/>
        </w:trPr>
        <w:tc>
          <w:tcPr>
            <w:tcW w:w="1087" w:type="dxa"/>
            <w:tcBorders>
              <w:top w:val="nil"/>
              <w:left w:val="single" w:sz="8" w:space="0" w:color="auto"/>
              <w:bottom w:val="single" w:sz="4" w:space="0" w:color="auto"/>
              <w:right w:val="single" w:sz="8" w:space="0" w:color="auto"/>
            </w:tcBorders>
            <w:shd w:val="clear" w:color="auto" w:fill="FFFFFF" w:themeFill="background1"/>
            <w:noWrap/>
            <w:vAlign w:val="center"/>
          </w:tcPr>
          <w:p w:rsidR="00474FAB" w:rsidRPr="00474FAB" w:rsidRDefault="00474FAB" w:rsidP="00474FAB">
            <w:pPr>
              <w:jc w:val="both"/>
              <w:rPr>
                <w:bCs/>
                <w:lang w:val="en-US" w:eastAsia="en-US"/>
              </w:rPr>
            </w:pPr>
            <w:r w:rsidRPr="00474FAB">
              <w:rPr>
                <w:bCs/>
                <w:lang w:val="en-US" w:eastAsia="en-US"/>
              </w:rPr>
              <w:t>6</w:t>
            </w:r>
          </w:p>
        </w:tc>
        <w:tc>
          <w:tcPr>
            <w:tcW w:w="4584" w:type="dxa"/>
            <w:tcBorders>
              <w:top w:val="nil"/>
              <w:left w:val="nil"/>
              <w:bottom w:val="single" w:sz="8" w:space="0" w:color="auto"/>
              <w:right w:val="single" w:sz="8" w:space="0" w:color="auto"/>
            </w:tcBorders>
            <w:shd w:val="clear" w:color="auto" w:fill="FFFFFF" w:themeFill="background1"/>
            <w:vAlign w:val="center"/>
          </w:tcPr>
          <w:p w:rsidR="00474FAB" w:rsidRPr="00474FAB" w:rsidRDefault="00474FAB" w:rsidP="00474FAB">
            <w:pPr>
              <w:jc w:val="both"/>
              <w:rPr>
                <w:b/>
                <w:bCs/>
                <w:lang w:val="en-US" w:eastAsia="en-US"/>
              </w:rPr>
            </w:pPr>
            <w:r w:rsidRPr="00474FAB">
              <w:rPr>
                <w:b/>
                <w:bCs/>
                <w:lang w:val="en-US" w:eastAsia="en-US"/>
              </w:rPr>
              <w:t>Total consumatori non-casnici (3+4+5)</w:t>
            </w:r>
          </w:p>
        </w:tc>
        <w:tc>
          <w:tcPr>
            <w:tcW w:w="2126" w:type="dxa"/>
            <w:tcBorders>
              <w:top w:val="nil"/>
              <w:left w:val="nil"/>
              <w:bottom w:val="single" w:sz="8" w:space="0" w:color="auto"/>
              <w:right w:val="single" w:sz="8" w:space="0" w:color="auto"/>
            </w:tcBorders>
            <w:shd w:val="clear" w:color="auto" w:fill="FFFFFF" w:themeFill="background1"/>
            <w:vAlign w:val="center"/>
          </w:tcPr>
          <w:p w:rsidR="00474FAB" w:rsidRPr="00474FAB" w:rsidRDefault="00474FAB" w:rsidP="00474FAB">
            <w:pPr>
              <w:jc w:val="both"/>
              <w:rPr>
                <w:b/>
                <w:bCs/>
                <w:lang w:val="en-US" w:eastAsia="en-US"/>
              </w:rPr>
            </w:pPr>
            <w:r w:rsidRPr="00474FAB">
              <w:rPr>
                <w:b/>
                <w:bCs/>
                <w:lang w:val="en-US" w:eastAsia="en-US"/>
              </w:rPr>
              <w:t>3.380</w:t>
            </w:r>
          </w:p>
        </w:tc>
        <w:tc>
          <w:tcPr>
            <w:tcW w:w="2141" w:type="dxa"/>
            <w:tcBorders>
              <w:top w:val="nil"/>
              <w:left w:val="nil"/>
              <w:bottom w:val="single" w:sz="8" w:space="0" w:color="auto"/>
              <w:right w:val="single" w:sz="8" w:space="0" w:color="auto"/>
            </w:tcBorders>
            <w:shd w:val="clear" w:color="auto" w:fill="FFFFFF" w:themeFill="background1"/>
            <w:vAlign w:val="center"/>
          </w:tcPr>
          <w:p w:rsidR="00474FAB" w:rsidRPr="00474FAB" w:rsidRDefault="00474FAB" w:rsidP="00474FAB">
            <w:pPr>
              <w:jc w:val="both"/>
              <w:rPr>
                <w:b/>
                <w:bCs/>
                <w:lang w:val="en-US" w:eastAsia="en-US"/>
              </w:rPr>
            </w:pPr>
            <w:r w:rsidRPr="00474FAB">
              <w:rPr>
                <w:b/>
                <w:bCs/>
                <w:lang w:val="en-US" w:eastAsia="en-US"/>
              </w:rPr>
              <w:t>4.838</w:t>
            </w:r>
          </w:p>
        </w:tc>
      </w:tr>
      <w:tr w:rsidR="00474FAB" w:rsidRPr="00474FAB" w:rsidTr="00816415">
        <w:trPr>
          <w:trHeight w:val="60"/>
          <w:jc w:val="center"/>
        </w:trPr>
        <w:tc>
          <w:tcPr>
            <w:tcW w:w="1087" w:type="dxa"/>
            <w:tcBorders>
              <w:top w:val="nil"/>
              <w:left w:val="single" w:sz="8" w:space="0" w:color="auto"/>
              <w:bottom w:val="single" w:sz="8" w:space="0" w:color="auto"/>
              <w:right w:val="single" w:sz="8" w:space="0" w:color="auto"/>
            </w:tcBorders>
            <w:shd w:val="clear" w:color="auto" w:fill="FFFFFF" w:themeFill="background1"/>
            <w:noWrap/>
            <w:vAlign w:val="center"/>
          </w:tcPr>
          <w:p w:rsidR="00474FAB" w:rsidRPr="00474FAB" w:rsidRDefault="00474FAB" w:rsidP="00474FAB">
            <w:pPr>
              <w:jc w:val="both"/>
              <w:rPr>
                <w:bCs/>
                <w:lang w:val="en-US" w:eastAsia="en-US"/>
              </w:rPr>
            </w:pPr>
            <w:r w:rsidRPr="00474FAB">
              <w:rPr>
                <w:bCs/>
                <w:lang w:val="en-US" w:eastAsia="en-US"/>
              </w:rPr>
              <w:t>7</w:t>
            </w:r>
          </w:p>
        </w:tc>
        <w:tc>
          <w:tcPr>
            <w:tcW w:w="4584" w:type="dxa"/>
            <w:tcBorders>
              <w:top w:val="nil"/>
              <w:left w:val="nil"/>
              <w:bottom w:val="single" w:sz="8" w:space="0" w:color="auto"/>
              <w:right w:val="single" w:sz="8" w:space="0" w:color="auto"/>
            </w:tcBorders>
            <w:shd w:val="clear" w:color="auto" w:fill="FFFFFF" w:themeFill="background1"/>
            <w:vAlign w:val="center"/>
          </w:tcPr>
          <w:p w:rsidR="00474FAB" w:rsidRPr="00474FAB" w:rsidRDefault="00474FAB" w:rsidP="00474FAB">
            <w:pPr>
              <w:jc w:val="both"/>
              <w:rPr>
                <w:b/>
                <w:bCs/>
                <w:lang w:val="en-US" w:eastAsia="en-US"/>
              </w:rPr>
            </w:pPr>
            <w:r w:rsidRPr="00474FAB">
              <w:rPr>
                <w:b/>
                <w:bCs/>
                <w:lang w:val="en-US" w:eastAsia="en-US"/>
              </w:rPr>
              <w:t>Total (1+2+6)</w:t>
            </w:r>
          </w:p>
        </w:tc>
        <w:tc>
          <w:tcPr>
            <w:tcW w:w="2126" w:type="dxa"/>
            <w:tcBorders>
              <w:top w:val="nil"/>
              <w:left w:val="nil"/>
              <w:bottom w:val="single" w:sz="8" w:space="0" w:color="auto"/>
              <w:right w:val="single" w:sz="8" w:space="0" w:color="auto"/>
            </w:tcBorders>
            <w:shd w:val="clear" w:color="auto" w:fill="FFFFFF" w:themeFill="background1"/>
            <w:vAlign w:val="center"/>
          </w:tcPr>
          <w:p w:rsidR="00474FAB" w:rsidRPr="00474FAB" w:rsidRDefault="00474FAB" w:rsidP="00474FAB">
            <w:pPr>
              <w:jc w:val="both"/>
              <w:rPr>
                <w:b/>
                <w:bCs/>
                <w:lang w:val="en-US" w:eastAsia="en-US"/>
              </w:rPr>
            </w:pPr>
            <w:r w:rsidRPr="00474FAB">
              <w:rPr>
                <w:b/>
                <w:bCs/>
                <w:lang w:val="en-US" w:eastAsia="en-US"/>
              </w:rPr>
              <w:t>13.992</w:t>
            </w:r>
          </w:p>
        </w:tc>
        <w:tc>
          <w:tcPr>
            <w:tcW w:w="2141" w:type="dxa"/>
            <w:tcBorders>
              <w:top w:val="nil"/>
              <w:left w:val="nil"/>
              <w:bottom w:val="single" w:sz="8" w:space="0" w:color="auto"/>
              <w:right w:val="single" w:sz="8" w:space="0" w:color="auto"/>
            </w:tcBorders>
            <w:shd w:val="clear" w:color="auto" w:fill="FFFFFF" w:themeFill="background1"/>
            <w:vAlign w:val="center"/>
          </w:tcPr>
          <w:p w:rsidR="00474FAB" w:rsidRPr="00474FAB" w:rsidRDefault="00474FAB" w:rsidP="00474FAB">
            <w:pPr>
              <w:jc w:val="both"/>
              <w:rPr>
                <w:b/>
                <w:bCs/>
                <w:lang w:val="en-US" w:eastAsia="en-US"/>
              </w:rPr>
            </w:pPr>
            <w:r w:rsidRPr="00474FAB">
              <w:rPr>
                <w:b/>
                <w:bCs/>
                <w:lang w:val="en-US" w:eastAsia="en-US"/>
              </w:rPr>
              <w:t>24.556</w:t>
            </w:r>
          </w:p>
        </w:tc>
      </w:tr>
    </w:tbl>
    <w:p w:rsidR="00474FAB" w:rsidRPr="00474FAB" w:rsidRDefault="00474FAB" w:rsidP="00474FAB">
      <w:pPr>
        <w:ind w:left="360"/>
        <w:jc w:val="both"/>
        <w:rPr>
          <w:noProof/>
          <w:lang w:val="it-IT" w:eastAsia="en-US"/>
        </w:rPr>
      </w:pPr>
    </w:p>
    <w:p w:rsidR="00474FAB" w:rsidRPr="00474FAB" w:rsidRDefault="00474FAB" w:rsidP="00474FAB">
      <w:pPr>
        <w:ind w:left="360"/>
        <w:jc w:val="both"/>
        <w:rPr>
          <w:noProof/>
          <w:lang w:val="it-IT" w:eastAsia="en-US"/>
        </w:rPr>
      </w:pPr>
      <w:r w:rsidRPr="00474FAB">
        <w:rPr>
          <w:noProof/>
        </w:rPr>
        <w:drawing>
          <wp:inline distT="0" distB="0" distL="0" distR="0">
            <wp:extent cx="4238625" cy="2324100"/>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4238625" cy="2324100"/>
                    </a:xfrm>
                    <a:prstGeom prst="rect">
                      <a:avLst/>
                    </a:prstGeom>
                    <a:noFill/>
                    <a:ln w="9525">
                      <a:noFill/>
                      <a:miter lim="800000"/>
                      <a:headEnd/>
                      <a:tailEnd/>
                    </a:ln>
                  </pic:spPr>
                </pic:pic>
              </a:graphicData>
            </a:graphic>
          </wp:inline>
        </w:drawing>
      </w:r>
    </w:p>
    <w:p w:rsidR="00474FAB" w:rsidRPr="00474FAB" w:rsidRDefault="00474FAB" w:rsidP="00474FAB">
      <w:pPr>
        <w:pStyle w:val="ListParagraph"/>
        <w:ind w:left="0"/>
        <w:jc w:val="both"/>
      </w:pPr>
    </w:p>
    <w:p w:rsidR="00474FAB" w:rsidRDefault="00474FAB" w:rsidP="00A77970">
      <w:pPr>
        <w:pStyle w:val="ListParagraph"/>
        <w:jc w:val="both"/>
      </w:pPr>
    </w:p>
    <w:p w:rsidR="00BF51EA" w:rsidRPr="00E64932" w:rsidRDefault="00BF51EA" w:rsidP="00BF51EA">
      <w:pPr>
        <w:pStyle w:val="Listparagraf1"/>
        <w:spacing w:after="0" w:line="240" w:lineRule="auto"/>
        <w:ind w:left="0"/>
        <w:rPr>
          <w:rFonts w:ascii="Times New Roman" w:hAnsi="Times New Roman"/>
          <w:b/>
          <w:sz w:val="24"/>
          <w:szCs w:val="24"/>
        </w:rPr>
      </w:pPr>
      <w:r w:rsidRPr="00E64932">
        <w:rPr>
          <w:rFonts w:ascii="Times New Roman" w:hAnsi="Times New Roman"/>
          <w:b/>
          <w:sz w:val="24"/>
          <w:szCs w:val="24"/>
        </w:rPr>
        <w:t>Alimentare cu apă şi de canalizare</w:t>
      </w:r>
    </w:p>
    <w:p w:rsidR="00BF51EA" w:rsidRPr="00E64932" w:rsidRDefault="00BF51EA" w:rsidP="00BF51EA">
      <w:pPr>
        <w:pStyle w:val="Listparagraf1"/>
        <w:spacing w:after="0" w:line="240" w:lineRule="auto"/>
        <w:ind w:left="0"/>
        <w:rPr>
          <w:rFonts w:ascii="Times New Roman" w:hAnsi="Times New Roman"/>
          <w:b/>
          <w:sz w:val="24"/>
          <w:szCs w:val="24"/>
        </w:rPr>
      </w:pPr>
      <w:r w:rsidRPr="00E64932">
        <w:rPr>
          <w:rFonts w:ascii="Times New Roman" w:hAnsi="Times New Roman"/>
          <w:b/>
          <w:sz w:val="24"/>
          <w:szCs w:val="24"/>
        </w:rPr>
        <w:t>P.M.B. – Direcţia Utilităţi Publice</w:t>
      </w:r>
    </w:p>
    <w:p w:rsidR="00BF51EA" w:rsidRPr="00E64932" w:rsidRDefault="00BF51EA" w:rsidP="00BF51EA">
      <w:pPr>
        <w:pStyle w:val="Listparagraf1"/>
        <w:spacing w:after="0" w:line="240" w:lineRule="auto"/>
        <w:ind w:left="0"/>
        <w:rPr>
          <w:rFonts w:ascii="Times New Roman" w:hAnsi="Times New Roman"/>
          <w:b/>
          <w:sz w:val="24"/>
          <w:szCs w:val="24"/>
        </w:rPr>
      </w:pPr>
    </w:p>
    <w:p w:rsidR="00BF51EA" w:rsidRPr="00E64932" w:rsidRDefault="00BF51EA" w:rsidP="00BF51EA">
      <w:pPr>
        <w:pStyle w:val="Listparagraf1"/>
        <w:spacing w:after="0" w:line="240" w:lineRule="auto"/>
        <w:ind w:left="0"/>
        <w:rPr>
          <w:rFonts w:ascii="Times New Roman" w:hAnsi="Times New Roman"/>
          <w:b/>
          <w:bCs/>
          <w:sz w:val="24"/>
          <w:szCs w:val="24"/>
          <w:lang w:val="pt-BR"/>
        </w:rPr>
      </w:pPr>
      <w:r w:rsidRPr="00E64932">
        <w:rPr>
          <w:rFonts w:ascii="Times New Roman" w:hAnsi="Times New Roman"/>
          <w:b/>
          <w:color w:val="000000"/>
          <w:sz w:val="24"/>
          <w:szCs w:val="24"/>
        </w:rPr>
        <w:lastRenderedPageBreak/>
        <w:t xml:space="preserve">► </w:t>
      </w:r>
      <w:r w:rsidRPr="00E64932">
        <w:rPr>
          <w:rFonts w:ascii="Times New Roman" w:hAnsi="Times New Roman"/>
          <w:b/>
          <w:bCs/>
          <w:sz w:val="24"/>
          <w:szCs w:val="24"/>
          <w:lang w:val="pt-BR"/>
        </w:rPr>
        <w:t>obiectivul “Realizarea reţelelor publice de alimentare cu apă, canalizare, iluminat public, precum şi a drumurilor aferente Ansamblului de locuinţe "Henri Coandă"sector 1 - 2 Loturi”</w:t>
      </w:r>
    </w:p>
    <w:p w:rsidR="00BF51EA" w:rsidRPr="00E64932" w:rsidRDefault="00BF51EA" w:rsidP="00BF51EA">
      <w:pPr>
        <w:pStyle w:val="Listparagraf1"/>
        <w:spacing w:after="0" w:line="240" w:lineRule="auto"/>
        <w:ind w:left="0" w:firstLine="720"/>
        <w:rPr>
          <w:rFonts w:ascii="Times New Roman" w:hAnsi="Times New Roman"/>
          <w:sz w:val="24"/>
          <w:szCs w:val="24"/>
        </w:rPr>
      </w:pPr>
      <w:r w:rsidRPr="00E64932">
        <w:rPr>
          <w:rFonts w:ascii="Times New Roman" w:hAnsi="Times New Roman"/>
          <w:sz w:val="24"/>
          <w:szCs w:val="24"/>
        </w:rPr>
        <w:t xml:space="preserve">Valoarea lucrărilor pentru cele două loturi atribuite este după cum urmează: </w:t>
      </w:r>
    </w:p>
    <w:p w:rsidR="00BF51EA" w:rsidRPr="00E64932" w:rsidRDefault="00BF51EA" w:rsidP="00BF51EA">
      <w:pPr>
        <w:pStyle w:val="Listparagraf1"/>
        <w:spacing w:after="0" w:line="240" w:lineRule="auto"/>
        <w:ind w:firstLine="720"/>
        <w:rPr>
          <w:rFonts w:ascii="Times New Roman" w:hAnsi="Times New Roman"/>
          <w:sz w:val="24"/>
          <w:szCs w:val="24"/>
        </w:rPr>
      </w:pPr>
      <w:r w:rsidRPr="00E64932">
        <w:rPr>
          <w:rFonts w:ascii="Times New Roman" w:hAnsi="Times New Roman"/>
          <w:sz w:val="24"/>
          <w:szCs w:val="24"/>
        </w:rPr>
        <w:t>- 118.092.294,36 lei exclusiv TVA pentru lotul I</w:t>
      </w:r>
    </w:p>
    <w:p w:rsidR="00BF51EA" w:rsidRPr="00E64932" w:rsidRDefault="00BF51EA" w:rsidP="00BF51EA">
      <w:pPr>
        <w:pStyle w:val="Listparagraf1"/>
        <w:spacing w:after="0" w:line="240" w:lineRule="auto"/>
        <w:ind w:firstLine="720"/>
        <w:rPr>
          <w:rFonts w:ascii="Times New Roman" w:hAnsi="Times New Roman"/>
          <w:sz w:val="24"/>
          <w:szCs w:val="24"/>
        </w:rPr>
      </w:pPr>
      <w:r w:rsidRPr="00E64932">
        <w:rPr>
          <w:rFonts w:ascii="Times New Roman" w:hAnsi="Times New Roman"/>
          <w:sz w:val="24"/>
          <w:szCs w:val="24"/>
        </w:rPr>
        <w:t>- 79.792.884,41 lei exclusiv TVA pentru lotul II</w:t>
      </w:r>
    </w:p>
    <w:p w:rsidR="00BF51EA" w:rsidRPr="00E64932" w:rsidRDefault="00BF51EA" w:rsidP="00BF51EA">
      <w:pPr>
        <w:pStyle w:val="Listparagraf1"/>
        <w:spacing w:after="0" w:line="240" w:lineRule="auto"/>
        <w:ind w:left="0" w:firstLine="720"/>
        <w:rPr>
          <w:rFonts w:ascii="Times New Roman" w:hAnsi="Times New Roman"/>
          <w:bCs/>
          <w:sz w:val="24"/>
          <w:szCs w:val="24"/>
        </w:rPr>
      </w:pPr>
      <w:r w:rsidRPr="00E64932">
        <w:rPr>
          <w:rFonts w:ascii="Times New Roman" w:hAnsi="Times New Roman"/>
          <w:bCs/>
          <w:sz w:val="24"/>
          <w:szCs w:val="24"/>
        </w:rPr>
        <w:t>Progresul fizic al lucrărilor aferente contractului până la data de 31.12.2018 este de 73,4% din care strict în anul 2018 a fost executat un procent de 19,29%.</w:t>
      </w:r>
    </w:p>
    <w:p w:rsidR="00BF51EA" w:rsidRPr="00E64932" w:rsidRDefault="00BF51EA" w:rsidP="00BF51EA">
      <w:pPr>
        <w:pStyle w:val="Listparagraf1"/>
        <w:spacing w:after="0" w:line="240" w:lineRule="auto"/>
        <w:ind w:left="0"/>
        <w:rPr>
          <w:rFonts w:ascii="Times New Roman" w:hAnsi="Times New Roman"/>
          <w:sz w:val="24"/>
          <w:szCs w:val="24"/>
        </w:rPr>
      </w:pPr>
    </w:p>
    <w:p w:rsidR="00BF51EA" w:rsidRPr="00E64932" w:rsidRDefault="00BF51EA" w:rsidP="00BF51EA">
      <w:pPr>
        <w:pStyle w:val="Listparagraf1"/>
        <w:spacing w:after="0" w:line="240" w:lineRule="auto"/>
        <w:ind w:left="0"/>
        <w:rPr>
          <w:rFonts w:ascii="Times New Roman" w:hAnsi="Times New Roman"/>
          <w:b/>
          <w:sz w:val="24"/>
          <w:szCs w:val="24"/>
        </w:rPr>
      </w:pPr>
      <w:r w:rsidRPr="00E64932">
        <w:rPr>
          <w:rFonts w:ascii="Times New Roman" w:hAnsi="Times New Roman"/>
          <w:b/>
          <w:color w:val="000000"/>
          <w:sz w:val="24"/>
          <w:szCs w:val="24"/>
        </w:rPr>
        <w:t>► R</w:t>
      </w:r>
      <w:r w:rsidRPr="00E64932">
        <w:rPr>
          <w:rFonts w:ascii="Times New Roman" w:hAnsi="Times New Roman"/>
          <w:b/>
          <w:sz w:val="24"/>
          <w:szCs w:val="24"/>
        </w:rPr>
        <w:t xml:space="preserve">acordare servicii apă. Racordare servicii canalizare </w:t>
      </w:r>
    </w:p>
    <w:p w:rsidR="00BF51EA" w:rsidRPr="00E64932" w:rsidRDefault="00BF51EA" w:rsidP="00BF51EA">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Primăria coordonează împreună cu reprezentanţii operatorului serviciului, lucrările de extindere a reţelelor de alimentare şi de canalizare aferente programului ,,Bucur’’, programului ,,Lucrări suplimentare’’ programe de investiţii solicitate prin Actul adiţional nr.10 la Contractul de Concesiune Concedentului şi alte programe de investiţii solicitate suplimentar Concedentului.</w:t>
      </w:r>
    </w:p>
    <w:p w:rsidR="00BF51EA" w:rsidRPr="00E64932" w:rsidRDefault="00BF51EA" w:rsidP="00BF51EA">
      <w:pPr>
        <w:pStyle w:val="Listparagraf1"/>
        <w:spacing w:after="0" w:line="240" w:lineRule="auto"/>
        <w:ind w:left="0" w:firstLine="720"/>
        <w:jc w:val="both"/>
        <w:rPr>
          <w:rFonts w:ascii="Times New Roman" w:hAnsi="Times New Roman"/>
          <w:sz w:val="24"/>
          <w:szCs w:val="24"/>
          <w:lang w:val="pt-BR"/>
        </w:rPr>
      </w:pPr>
      <w:r w:rsidRPr="00E64932">
        <w:rPr>
          <w:rFonts w:ascii="Times New Roman" w:hAnsi="Times New Roman"/>
          <w:sz w:val="24"/>
          <w:szCs w:val="24"/>
          <w:lang w:val="pt-BR"/>
        </w:rPr>
        <w:t>Investiţiile reali</w:t>
      </w:r>
      <w:r w:rsidRPr="00E64932">
        <w:rPr>
          <w:rFonts w:ascii="Times New Roman" w:hAnsi="Times New Roman"/>
          <w:sz w:val="24"/>
          <w:szCs w:val="24"/>
        </w:rPr>
        <w:t>zate prin programul</w:t>
      </w:r>
      <w:r w:rsidRPr="00E64932">
        <w:rPr>
          <w:rFonts w:ascii="Times New Roman" w:hAnsi="Times New Roman"/>
          <w:sz w:val="24"/>
          <w:szCs w:val="24"/>
          <w:lang w:val="pt-BR"/>
        </w:rPr>
        <w:t xml:space="preserve"> Bucur din 2011 până la nivelul lunii iunie 2018 sunt în valoare totală de 168,76 mil. lei, executându-se extinderea reţelei publice de apă pe 54km şi a reţelei publice de canalizare pe 67km. </w:t>
      </w:r>
    </w:p>
    <w:p w:rsidR="00BF51EA" w:rsidRPr="00E64932" w:rsidRDefault="00BF51EA" w:rsidP="00BF51EA">
      <w:pPr>
        <w:pStyle w:val="Listparagraf1"/>
        <w:spacing w:after="0" w:line="240" w:lineRule="auto"/>
        <w:ind w:left="0" w:firstLine="720"/>
        <w:jc w:val="both"/>
        <w:rPr>
          <w:rFonts w:ascii="Times New Roman" w:hAnsi="Times New Roman"/>
          <w:sz w:val="24"/>
          <w:szCs w:val="24"/>
          <w:lang w:val="pt-BR"/>
        </w:rPr>
      </w:pPr>
      <w:r w:rsidRPr="00E64932">
        <w:rPr>
          <w:rFonts w:ascii="Times New Roman" w:hAnsi="Times New Roman"/>
          <w:sz w:val="24"/>
          <w:szCs w:val="24"/>
          <w:lang w:val="pt-BR"/>
        </w:rPr>
        <w:t xml:space="preserve">Se estimează că până în prezent, prin aceste investiţii s-a asigurat accesul direct la sistemele centralizate de alimentare cu apă şi de canalizare a 10.000 locuitori (acces apa) şi 12 000 locuitori (acces canalizare). </w:t>
      </w:r>
    </w:p>
    <w:p w:rsidR="00BF51EA" w:rsidRPr="00E64932" w:rsidRDefault="00BF51EA" w:rsidP="00BF51EA">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lang w:val="pt-BR"/>
        </w:rPr>
        <w:t>În anul IV al programului Bucur în intervalul 2017 - iunie 2018 au fost realizate lucrări în valoare de 62,68 mil lei și se află în curs de execuție lucrări în valoare estimată de 40 mil lei.</w:t>
      </w:r>
    </w:p>
    <w:p w:rsidR="00BF51EA" w:rsidRPr="00E64932" w:rsidRDefault="00BF51EA" w:rsidP="00BF51EA">
      <w:pPr>
        <w:pStyle w:val="Listparagraf1"/>
        <w:spacing w:after="0" w:line="240" w:lineRule="auto"/>
        <w:ind w:left="0"/>
        <w:rPr>
          <w:rFonts w:ascii="Times New Roman" w:hAnsi="Times New Roman"/>
          <w:sz w:val="24"/>
          <w:szCs w:val="24"/>
        </w:rPr>
      </w:pPr>
    </w:p>
    <w:p w:rsidR="00BF51EA" w:rsidRPr="00E64932" w:rsidRDefault="00BF51EA" w:rsidP="00BF51EA">
      <w:pPr>
        <w:pStyle w:val="Listparagraf1"/>
        <w:spacing w:after="0" w:line="240" w:lineRule="auto"/>
        <w:ind w:left="0"/>
        <w:rPr>
          <w:rFonts w:ascii="Times New Roman" w:hAnsi="Times New Roman"/>
          <w:b/>
          <w:bCs/>
          <w:sz w:val="24"/>
          <w:szCs w:val="24"/>
        </w:rPr>
      </w:pPr>
      <w:r w:rsidRPr="00E64932">
        <w:rPr>
          <w:rFonts w:ascii="Times New Roman" w:hAnsi="Times New Roman"/>
          <w:b/>
          <w:bCs/>
          <w:sz w:val="24"/>
          <w:szCs w:val="24"/>
        </w:rPr>
        <w:t>Salubritate</w:t>
      </w:r>
    </w:p>
    <w:p w:rsidR="00BF51EA" w:rsidRPr="00E64932" w:rsidRDefault="00BF51EA" w:rsidP="00BF51EA">
      <w:pPr>
        <w:pStyle w:val="Listparagraf1"/>
        <w:spacing w:after="0" w:line="240" w:lineRule="auto"/>
        <w:ind w:left="0"/>
        <w:rPr>
          <w:rFonts w:ascii="Times New Roman" w:hAnsi="Times New Roman"/>
          <w:b/>
          <w:sz w:val="24"/>
          <w:szCs w:val="24"/>
        </w:rPr>
      </w:pPr>
      <w:r w:rsidRPr="00E64932">
        <w:rPr>
          <w:rFonts w:ascii="Times New Roman" w:hAnsi="Times New Roman"/>
          <w:b/>
          <w:sz w:val="24"/>
          <w:szCs w:val="24"/>
        </w:rPr>
        <w:t>P.M.B. – Direcţia Utilităţi Publice</w:t>
      </w:r>
    </w:p>
    <w:p w:rsidR="00BF51EA" w:rsidRPr="00E64932" w:rsidRDefault="00BF51EA" w:rsidP="00BF51EA">
      <w:pPr>
        <w:pStyle w:val="Listparagraf1"/>
        <w:spacing w:after="0" w:line="240" w:lineRule="auto"/>
        <w:ind w:left="0"/>
        <w:rPr>
          <w:rFonts w:ascii="Times New Roman" w:hAnsi="Times New Roman"/>
          <w:b/>
          <w:bCs/>
          <w:sz w:val="24"/>
          <w:szCs w:val="24"/>
        </w:rPr>
      </w:pPr>
    </w:p>
    <w:p w:rsidR="00BF51EA" w:rsidRPr="00E64932" w:rsidRDefault="00BF51EA" w:rsidP="00BF51EA">
      <w:pPr>
        <w:pStyle w:val="Listparagraf1"/>
        <w:spacing w:after="0" w:line="240" w:lineRule="auto"/>
        <w:ind w:left="0"/>
        <w:rPr>
          <w:rFonts w:ascii="Times New Roman" w:hAnsi="Times New Roman"/>
          <w:b/>
          <w:color w:val="FF0000"/>
          <w:sz w:val="24"/>
          <w:szCs w:val="24"/>
          <w:lang w:eastAsia="ar-SA"/>
        </w:rPr>
      </w:pPr>
      <w:r w:rsidRPr="00E64932">
        <w:rPr>
          <w:rFonts w:ascii="Times New Roman" w:hAnsi="Times New Roman"/>
          <w:b/>
          <w:color w:val="000000"/>
          <w:sz w:val="24"/>
          <w:szCs w:val="24"/>
        </w:rPr>
        <w:t xml:space="preserve">► </w:t>
      </w:r>
      <w:r w:rsidRPr="00E64932">
        <w:rPr>
          <w:rFonts w:ascii="Times New Roman" w:hAnsi="Times New Roman"/>
          <w:b/>
          <w:sz w:val="24"/>
          <w:szCs w:val="24"/>
        </w:rPr>
        <w:t xml:space="preserve">Master Planul </w:t>
      </w:r>
      <w:r w:rsidRPr="00E64932">
        <w:rPr>
          <w:rFonts w:ascii="Times New Roman" w:hAnsi="Times New Roman"/>
          <w:b/>
          <w:bCs/>
          <w:color w:val="000000"/>
          <w:sz w:val="24"/>
          <w:szCs w:val="24"/>
        </w:rPr>
        <w:t xml:space="preserve">pentru sistemul </w:t>
      </w:r>
      <w:r w:rsidRPr="00E64932">
        <w:rPr>
          <w:rFonts w:ascii="Times New Roman" w:hAnsi="Times New Roman"/>
          <w:b/>
          <w:sz w:val="24"/>
          <w:szCs w:val="24"/>
        </w:rPr>
        <w:t>de management integrat al deşeurilor la nivelul Municipiului Bucureşti</w:t>
      </w:r>
    </w:p>
    <w:p w:rsidR="00BF51EA" w:rsidRPr="00E64932" w:rsidRDefault="00BF51EA" w:rsidP="00BF51EA">
      <w:pPr>
        <w:pStyle w:val="Listparagraf1"/>
        <w:spacing w:after="0" w:line="240" w:lineRule="auto"/>
        <w:ind w:left="0" w:firstLine="720"/>
        <w:jc w:val="both"/>
        <w:rPr>
          <w:rFonts w:ascii="Times New Roman" w:hAnsi="Times New Roman"/>
          <w:iCs/>
          <w:sz w:val="24"/>
          <w:szCs w:val="24"/>
        </w:rPr>
      </w:pPr>
      <w:r w:rsidRPr="00E64932">
        <w:rPr>
          <w:rFonts w:ascii="Times New Roman" w:hAnsi="Times New Roman"/>
          <w:sz w:val="24"/>
          <w:szCs w:val="24"/>
        </w:rPr>
        <w:t xml:space="preserve">Acesta este totodată şi documentul programatic obligatoriu solicitat în vederea accesării fondurilor europene conform </w:t>
      </w:r>
      <w:r w:rsidRPr="00E64932">
        <w:rPr>
          <w:rFonts w:ascii="Times New Roman" w:hAnsi="Times New Roman"/>
          <w:sz w:val="24"/>
          <w:szCs w:val="24"/>
          <w:lang w:eastAsia="da-DK"/>
        </w:rPr>
        <w:t xml:space="preserve">Ghidului solicitantului aprobat în anul 2016 pentru </w:t>
      </w:r>
      <w:r w:rsidRPr="00E64932">
        <w:rPr>
          <w:rFonts w:ascii="Times New Roman" w:hAnsi="Times New Roman"/>
          <w:bCs/>
          <w:sz w:val="24"/>
          <w:szCs w:val="24"/>
          <w:lang w:eastAsia="en-GB"/>
        </w:rPr>
        <w:t xml:space="preserve">Programul Operațional Infrastructura Mare 2014-2020 </w:t>
      </w:r>
      <w:r w:rsidRPr="00E64932">
        <w:rPr>
          <w:rFonts w:ascii="Times New Roman" w:hAnsi="Times New Roman"/>
          <w:bCs/>
          <w:sz w:val="24"/>
          <w:szCs w:val="24"/>
        </w:rPr>
        <w:t xml:space="preserve">Axa Prioritară 3 - Dezvoltarea infrastructurii de management integrat al deșeurilor - </w:t>
      </w:r>
      <w:r w:rsidRPr="00E64932">
        <w:rPr>
          <w:rFonts w:ascii="Times New Roman" w:hAnsi="Times New Roman"/>
          <w:sz w:val="24"/>
          <w:szCs w:val="24"/>
        </w:rPr>
        <w:t xml:space="preserve">Obiectivul Specific 3.1. </w:t>
      </w:r>
      <w:r w:rsidRPr="00E64932">
        <w:rPr>
          <w:rFonts w:ascii="Times New Roman" w:hAnsi="Times New Roman"/>
          <w:iCs/>
          <w:sz w:val="24"/>
          <w:szCs w:val="24"/>
        </w:rPr>
        <w:t>Reducerea numărului depozitelor neconforme şi creşterea gradului de pregătire pentru reciclare a deșeurilor în România în vederea “Implementării unui sistem de management integrat la nivelul Municipiului Bucureşti” de către Primăria Municipiului Bucureşti.</w:t>
      </w:r>
    </w:p>
    <w:p w:rsidR="00BF51EA" w:rsidRPr="00E64932" w:rsidRDefault="00BF51EA" w:rsidP="00BF51EA">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Master planul conține investițiile pentru realizarea întregului Sistem de Management Integrat al Deșeurilor în Municipiul Bucureşti având descris tot traseul deșeului de la producator până la eliminare finală.</w:t>
      </w:r>
    </w:p>
    <w:p w:rsidR="00BF51EA" w:rsidRPr="00E64932" w:rsidRDefault="00BF51EA" w:rsidP="00BF51EA">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În anul 2018 a fost realizat Master Planul </w:t>
      </w:r>
      <w:r w:rsidRPr="00E64932">
        <w:rPr>
          <w:rFonts w:ascii="Times New Roman" w:hAnsi="Times New Roman"/>
          <w:bCs/>
          <w:sz w:val="24"/>
          <w:szCs w:val="24"/>
        </w:rPr>
        <w:t xml:space="preserve">pentru sistemul </w:t>
      </w:r>
      <w:r w:rsidRPr="00E64932">
        <w:rPr>
          <w:rFonts w:ascii="Times New Roman" w:hAnsi="Times New Roman"/>
          <w:sz w:val="24"/>
          <w:szCs w:val="24"/>
        </w:rPr>
        <w:t>de management integrat al deşeurilor la nivelul Municipiului Bucureşti, document strategic de planificare pe termen lung pentru aplicarea şi respectarea cerințelor legislative cu privire la gestionarea deșeurilor municipale.</w:t>
      </w:r>
    </w:p>
    <w:p w:rsidR="00BF51EA" w:rsidRPr="00E64932" w:rsidRDefault="00BF51EA" w:rsidP="00BF51EA">
      <w:pPr>
        <w:pStyle w:val="Listparagraf1"/>
        <w:spacing w:after="0" w:line="240" w:lineRule="auto"/>
        <w:ind w:left="0"/>
        <w:jc w:val="both"/>
        <w:rPr>
          <w:rFonts w:ascii="Times New Roman" w:hAnsi="Times New Roman"/>
          <w:sz w:val="24"/>
          <w:szCs w:val="24"/>
        </w:rPr>
      </w:pPr>
      <w:r w:rsidRPr="00E64932">
        <w:rPr>
          <w:rFonts w:ascii="Times New Roman" w:hAnsi="Times New Roman"/>
          <w:sz w:val="24"/>
          <w:szCs w:val="24"/>
        </w:rPr>
        <w:t xml:space="preserve">           Varianta finală a Master Planului aprobată de experţiii Jaspers a fost dezbătută împreună cu primarii de sector/reprezentanţii sectoarelor şi ai operatorilor de salubrizare. </w:t>
      </w:r>
    </w:p>
    <w:p w:rsidR="00BF51EA" w:rsidRDefault="00BF51EA" w:rsidP="00BF51EA">
      <w:pPr>
        <w:pStyle w:val="Listparagraf1"/>
        <w:spacing w:after="0" w:line="240" w:lineRule="auto"/>
        <w:ind w:left="0"/>
        <w:jc w:val="both"/>
        <w:rPr>
          <w:rFonts w:ascii="Times New Roman" w:hAnsi="Times New Roman"/>
          <w:sz w:val="24"/>
          <w:szCs w:val="24"/>
        </w:rPr>
      </w:pPr>
      <w:r w:rsidRPr="00E64932">
        <w:rPr>
          <w:rFonts w:ascii="Times New Roman" w:hAnsi="Times New Roman"/>
          <w:sz w:val="24"/>
          <w:szCs w:val="24"/>
        </w:rPr>
        <w:tab/>
        <w:t>De asemenea, începând</w:t>
      </w:r>
      <w:r w:rsidRPr="00E64932">
        <w:rPr>
          <w:rFonts w:ascii="Times New Roman" w:hAnsi="Times New Roman"/>
          <w:sz w:val="24"/>
          <w:szCs w:val="24"/>
          <w:lang w:val="es-ES"/>
        </w:rPr>
        <w:t xml:space="preserve"> cu data de 26.09.2018, </w:t>
      </w:r>
      <w:r w:rsidRPr="00E64932">
        <w:rPr>
          <w:rFonts w:ascii="Times New Roman" w:hAnsi="Times New Roman"/>
          <w:bCs/>
          <w:sz w:val="24"/>
          <w:szCs w:val="24"/>
        </w:rPr>
        <w:t xml:space="preserve">Master Planul pentru sistemul </w:t>
      </w:r>
      <w:r w:rsidRPr="00E64932">
        <w:rPr>
          <w:rFonts w:ascii="Times New Roman" w:hAnsi="Times New Roman"/>
          <w:sz w:val="24"/>
          <w:szCs w:val="24"/>
        </w:rPr>
        <w:t xml:space="preserve">de management integrat al deşeurilor din Municipiul Bucureşti a fost supus dezbaterii publice </w:t>
      </w:r>
      <w:r w:rsidRPr="00E64932">
        <w:rPr>
          <w:rFonts w:ascii="Times New Roman" w:hAnsi="Times New Roman"/>
          <w:sz w:val="24"/>
          <w:szCs w:val="24"/>
          <w:lang w:val="es-ES"/>
        </w:rPr>
        <w:t xml:space="preserve">până pe data de 08.11.2018. În cadrul dezbaterii publice au fost analizate şi integrate observaţii făcute de către cei interesaţi, </w:t>
      </w:r>
      <w:r w:rsidRPr="00E64932">
        <w:rPr>
          <w:rFonts w:ascii="Times New Roman" w:hAnsi="Times New Roman"/>
          <w:bCs/>
          <w:sz w:val="24"/>
          <w:szCs w:val="24"/>
        </w:rPr>
        <w:t xml:space="preserve">Master Planul pentru sistemul </w:t>
      </w:r>
      <w:r w:rsidRPr="00E64932">
        <w:rPr>
          <w:rFonts w:ascii="Times New Roman" w:hAnsi="Times New Roman"/>
          <w:sz w:val="24"/>
          <w:szCs w:val="24"/>
        </w:rPr>
        <w:t>de management integrat al deşeurilor din Municipiul Bucureşti urmează să fie supus dezbaterii Consiliului General al Municipiului Bucureşti.</w:t>
      </w:r>
    </w:p>
    <w:p w:rsidR="002C01BC" w:rsidRPr="00E64932" w:rsidRDefault="002C01BC" w:rsidP="00BF51EA">
      <w:pPr>
        <w:pStyle w:val="Listparagraf1"/>
        <w:spacing w:after="0" w:line="240" w:lineRule="auto"/>
        <w:ind w:left="0"/>
        <w:jc w:val="both"/>
        <w:rPr>
          <w:rFonts w:ascii="Times New Roman" w:hAnsi="Times New Roman"/>
          <w:sz w:val="24"/>
          <w:szCs w:val="24"/>
        </w:rPr>
      </w:pPr>
    </w:p>
    <w:p w:rsidR="00BF51EA" w:rsidRPr="00E64932" w:rsidRDefault="00BF51EA" w:rsidP="00BF51EA">
      <w:pPr>
        <w:tabs>
          <w:tab w:val="center" w:pos="4680"/>
          <w:tab w:val="right" w:pos="9360"/>
        </w:tabs>
        <w:jc w:val="both"/>
        <w:rPr>
          <w:b/>
          <w:lang w:val="es-ES"/>
        </w:rPr>
      </w:pPr>
      <w:r w:rsidRPr="00E64932">
        <w:rPr>
          <w:b/>
          <w:lang w:val="es-ES"/>
        </w:rPr>
        <w:t>Energie termică</w:t>
      </w:r>
    </w:p>
    <w:p w:rsidR="00BF51EA" w:rsidRPr="00E64932" w:rsidRDefault="00BF51EA" w:rsidP="00BF51EA">
      <w:pPr>
        <w:pStyle w:val="Listparagraf1"/>
        <w:spacing w:after="0" w:line="240" w:lineRule="auto"/>
        <w:ind w:left="0"/>
        <w:jc w:val="both"/>
        <w:rPr>
          <w:rFonts w:ascii="Times New Roman" w:hAnsi="Times New Roman"/>
          <w:b/>
          <w:sz w:val="24"/>
          <w:szCs w:val="24"/>
        </w:rPr>
      </w:pPr>
      <w:r w:rsidRPr="00E64932">
        <w:rPr>
          <w:rFonts w:ascii="Times New Roman" w:hAnsi="Times New Roman"/>
          <w:b/>
          <w:sz w:val="24"/>
          <w:szCs w:val="24"/>
        </w:rPr>
        <w:t>P.M.B. – Direcţia Servicii Integrate</w:t>
      </w:r>
    </w:p>
    <w:p w:rsidR="00BF51EA" w:rsidRPr="00E64932" w:rsidRDefault="00BF51EA" w:rsidP="00BF51EA">
      <w:pPr>
        <w:pStyle w:val="Listparagraf1"/>
        <w:spacing w:after="0" w:line="240" w:lineRule="auto"/>
        <w:ind w:left="0"/>
        <w:jc w:val="both"/>
        <w:rPr>
          <w:rFonts w:ascii="Times New Roman" w:hAnsi="Times New Roman"/>
          <w:b/>
          <w:sz w:val="24"/>
          <w:szCs w:val="24"/>
        </w:rPr>
      </w:pPr>
      <w:r w:rsidRPr="00E64932">
        <w:rPr>
          <w:rFonts w:ascii="Times New Roman" w:hAnsi="Times New Roman"/>
          <w:b/>
          <w:sz w:val="24"/>
          <w:szCs w:val="24"/>
        </w:rPr>
        <w:t>Regia Autonomă de Distribuție a Energiei Termice București — R.A.D.E.T.</w:t>
      </w:r>
    </w:p>
    <w:p w:rsidR="00BF51EA" w:rsidRPr="00E64932" w:rsidRDefault="00BF51EA" w:rsidP="00BF51EA">
      <w:pPr>
        <w:pStyle w:val="Listparagraf1"/>
        <w:spacing w:after="0" w:line="240" w:lineRule="auto"/>
        <w:ind w:left="0"/>
        <w:jc w:val="both"/>
        <w:rPr>
          <w:rFonts w:ascii="Times New Roman" w:hAnsi="Times New Roman"/>
          <w:b/>
          <w:sz w:val="24"/>
          <w:szCs w:val="24"/>
        </w:rPr>
      </w:pPr>
    </w:p>
    <w:p w:rsidR="00BF51EA" w:rsidRPr="00E64932" w:rsidRDefault="00BF51EA" w:rsidP="00BF51EA">
      <w:pPr>
        <w:pStyle w:val="Listparagraf1"/>
        <w:spacing w:after="0" w:line="240" w:lineRule="auto"/>
        <w:ind w:left="0"/>
        <w:jc w:val="both"/>
        <w:rPr>
          <w:rFonts w:ascii="Times New Roman" w:hAnsi="Times New Roman"/>
          <w:b/>
          <w:sz w:val="24"/>
          <w:szCs w:val="24"/>
        </w:rPr>
      </w:pPr>
      <w:r w:rsidRPr="00E64932">
        <w:rPr>
          <w:rFonts w:ascii="Times New Roman" w:hAnsi="Times New Roman"/>
          <w:b/>
          <w:color w:val="000000"/>
          <w:sz w:val="24"/>
          <w:szCs w:val="24"/>
        </w:rPr>
        <w:t xml:space="preserve">► </w:t>
      </w:r>
      <w:r w:rsidRPr="00E64932">
        <w:rPr>
          <w:rFonts w:ascii="Times New Roman" w:hAnsi="Times New Roman"/>
          <w:b/>
          <w:sz w:val="24"/>
          <w:szCs w:val="24"/>
        </w:rPr>
        <w:t>”Reabilitarea sistemului de alimentare cu energie termică al Municipiul Bucureşti (7 obiective totalizând 31,621 km. traseu conducte de termoficare)”</w:t>
      </w:r>
    </w:p>
    <w:p w:rsidR="00BF51EA" w:rsidRPr="00E64932" w:rsidRDefault="00BF51EA" w:rsidP="00BF51EA">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Rețeaua abordată spre reabilitare este rețeaua de transport agent termic care înregistrează pierderile cele mai mari in sistem; înlocuirea conductelor se va face folosind conducte preizolate, dotate cu sisteme de detecție a eventualelor pierderi de agent termic.</w:t>
      </w:r>
    </w:p>
    <w:p w:rsidR="00BF51EA" w:rsidRPr="00E64932" w:rsidRDefault="00BF51EA" w:rsidP="00BF51EA">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Valoarea contractată este de 274.894.009 Lei fără TVA.</w:t>
      </w:r>
    </w:p>
    <w:p w:rsidR="00BF51EA" w:rsidRPr="00E64932" w:rsidRDefault="00BF51EA" w:rsidP="00BF51EA">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A fost atribuit contractul de proiectare cu execuție către Compania Municipală Energetică București S.A, prin aplicarea Normei interne privind modalitatea de atribuire a contractelor către și între entitățile juridice la care municipiul București este acționar majoritar, aprobată prin H.C.G.M.B. nr 130/28.03.2018;</w:t>
      </w:r>
    </w:p>
    <w:p w:rsidR="00BF51EA" w:rsidRPr="00E64932" w:rsidRDefault="00BF51EA" w:rsidP="00BF51EA">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Au fost executate proiectele tehnice pentru trei din cele șapte obiective pentru care au fost executate plăți în valoare de 2.222.000 Lei (cu TVA)</w:t>
      </w:r>
    </w:p>
    <w:p w:rsidR="00BF51EA" w:rsidRPr="00E64932" w:rsidRDefault="00BF51EA" w:rsidP="00BF51EA">
      <w:pPr>
        <w:pStyle w:val="Listparagraf1"/>
        <w:spacing w:after="0" w:line="240" w:lineRule="auto"/>
        <w:ind w:left="0"/>
        <w:jc w:val="both"/>
        <w:rPr>
          <w:rFonts w:ascii="Times New Roman" w:hAnsi="Times New Roman"/>
          <w:sz w:val="24"/>
          <w:szCs w:val="24"/>
          <w:lang w:val="es-ES"/>
        </w:rPr>
      </w:pPr>
    </w:p>
    <w:p w:rsidR="00BF51EA" w:rsidRPr="00E64932" w:rsidRDefault="00BF51EA" w:rsidP="00BF51EA">
      <w:pPr>
        <w:pStyle w:val="Listparagraf1"/>
        <w:spacing w:after="0" w:line="240" w:lineRule="auto"/>
        <w:ind w:left="0"/>
        <w:jc w:val="both"/>
        <w:rPr>
          <w:rFonts w:ascii="Times New Roman" w:hAnsi="Times New Roman"/>
          <w:sz w:val="24"/>
          <w:szCs w:val="24"/>
        </w:rPr>
      </w:pPr>
      <w:r w:rsidRPr="00E64932">
        <w:rPr>
          <w:rFonts w:ascii="Times New Roman" w:hAnsi="Times New Roman"/>
          <w:b/>
          <w:color w:val="000000"/>
          <w:sz w:val="24"/>
          <w:szCs w:val="24"/>
        </w:rPr>
        <w:t>► Modernizare centrale termice</w:t>
      </w:r>
    </w:p>
    <w:p w:rsidR="00BF51EA" w:rsidRPr="00E64932" w:rsidRDefault="00BF51EA" w:rsidP="00BF51EA">
      <w:pPr>
        <w:pStyle w:val="Listparagraf1"/>
        <w:spacing w:after="0" w:line="240" w:lineRule="auto"/>
        <w:ind w:left="0"/>
        <w:jc w:val="both"/>
        <w:rPr>
          <w:rFonts w:ascii="Times New Roman" w:hAnsi="Times New Roman"/>
          <w:b/>
          <w:sz w:val="24"/>
          <w:szCs w:val="24"/>
        </w:rPr>
      </w:pPr>
      <w:r w:rsidRPr="00E64932">
        <w:rPr>
          <w:rFonts w:ascii="Times New Roman" w:hAnsi="Times New Roman"/>
          <w:b/>
          <w:sz w:val="24"/>
          <w:szCs w:val="24"/>
        </w:rPr>
        <w:t xml:space="preserve">   ● ”Modernizare centrală termică Amzei din cadrul obiectivului de investiții „Modernizare 11 centrale termice din municipiul București” </w:t>
      </w:r>
    </w:p>
    <w:p w:rsidR="00BF51EA" w:rsidRPr="00E64932" w:rsidRDefault="00BF51EA" w:rsidP="00BF51EA">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In proiectul de modernizare se propune utilizarea unor echipamente performante şi anume   două unităţi  independente de cazane in condensaţie cu arzătoare integrate modulante.</w:t>
      </w:r>
    </w:p>
    <w:p w:rsidR="00BF51EA" w:rsidRPr="00E64932" w:rsidRDefault="00BF51EA" w:rsidP="00BF51EA">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A fost atribuit contractul pentru realizarea lucrărilor de modernizare, către Compania Municipală Energetică București S.A., Valoarea contractului: 2.764.774 Lei fără TVA, din care au fost executate plăți în valoare de 110.360 Lei (cu TVA), în cursul anului 2018.</w:t>
      </w:r>
    </w:p>
    <w:p w:rsidR="00BF51EA" w:rsidRPr="00E64932" w:rsidRDefault="00BF51EA" w:rsidP="00BF51EA">
      <w:pPr>
        <w:pStyle w:val="Listparagraf1"/>
        <w:spacing w:after="0" w:line="240" w:lineRule="auto"/>
        <w:ind w:left="0" w:firstLine="720"/>
        <w:jc w:val="both"/>
        <w:rPr>
          <w:rFonts w:ascii="Times New Roman" w:hAnsi="Times New Roman"/>
          <w:color w:val="000000"/>
          <w:sz w:val="24"/>
          <w:szCs w:val="24"/>
        </w:rPr>
      </w:pPr>
      <w:r w:rsidRPr="00E64932">
        <w:rPr>
          <w:rFonts w:ascii="Times New Roman" w:hAnsi="Times New Roman"/>
          <w:color w:val="000000"/>
          <w:sz w:val="24"/>
          <w:szCs w:val="24"/>
        </w:rPr>
        <w:t>A fost atribuit contractul pentru achiziția de servicii de asistență tehnică – dirigenție de șantier către Compania Municipală Dezvoltare Durabilă București SA.. Valoarea contractului: 100.840 Lei fără TVA, din care au fost făcute în cursul anului 2018 plăți în valoare de 7.444 Lei (cu TVA).</w:t>
      </w:r>
    </w:p>
    <w:p w:rsidR="00BF51EA" w:rsidRPr="00E64932" w:rsidRDefault="00BF51EA" w:rsidP="00BF51EA">
      <w:pPr>
        <w:pStyle w:val="Listparagraf1"/>
        <w:spacing w:after="0" w:line="240" w:lineRule="auto"/>
        <w:ind w:left="0" w:firstLine="720"/>
        <w:jc w:val="both"/>
        <w:rPr>
          <w:rFonts w:ascii="Times New Roman" w:hAnsi="Times New Roman"/>
          <w:color w:val="000000"/>
          <w:sz w:val="24"/>
          <w:szCs w:val="24"/>
        </w:rPr>
      </w:pPr>
      <w:r w:rsidRPr="00E64932">
        <w:rPr>
          <w:rFonts w:ascii="Times New Roman" w:hAnsi="Times New Roman"/>
          <w:color w:val="000000"/>
          <w:sz w:val="24"/>
          <w:szCs w:val="24"/>
        </w:rPr>
        <w:t>Lucrările derulate in anul 2018 au constat in dezafectarea a doua dintre cazanele existente, a rezervoarelor de acumulare si a instalațiilor aferente acestor echipamente. Datorită necesitații de a asigura necesarul de energie termică pe timpul iernii, lucrările au fost sistate până la încheierea sezonului de încălzire (martie 2019).</w:t>
      </w:r>
    </w:p>
    <w:p w:rsidR="00BF51EA" w:rsidRPr="00E64932" w:rsidRDefault="00BF51EA" w:rsidP="00BF51EA">
      <w:pPr>
        <w:pStyle w:val="Listparagraf1"/>
        <w:spacing w:after="0" w:line="240" w:lineRule="auto"/>
        <w:ind w:left="0"/>
        <w:jc w:val="both"/>
        <w:rPr>
          <w:rFonts w:ascii="Times New Roman" w:hAnsi="Times New Roman"/>
          <w:b/>
          <w:sz w:val="24"/>
          <w:szCs w:val="24"/>
        </w:rPr>
      </w:pPr>
      <w:r w:rsidRPr="00E64932">
        <w:rPr>
          <w:rFonts w:ascii="Times New Roman" w:hAnsi="Times New Roman"/>
          <w:b/>
          <w:sz w:val="24"/>
          <w:szCs w:val="24"/>
        </w:rPr>
        <w:t xml:space="preserve">      </w:t>
      </w:r>
    </w:p>
    <w:p w:rsidR="00BF51EA" w:rsidRPr="00E64932" w:rsidRDefault="00BF51EA" w:rsidP="00BF51EA">
      <w:pPr>
        <w:pStyle w:val="Listparagraf1"/>
        <w:spacing w:after="0" w:line="240" w:lineRule="auto"/>
        <w:ind w:left="0"/>
        <w:jc w:val="both"/>
        <w:rPr>
          <w:rFonts w:ascii="Times New Roman" w:hAnsi="Times New Roman"/>
          <w:b/>
          <w:sz w:val="24"/>
          <w:szCs w:val="24"/>
        </w:rPr>
      </w:pPr>
      <w:r w:rsidRPr="00E64932">
        <w:rPr>
          <w:rFonts w:ascii="Times New Roman" w:hAnsi="Times New Roman"/>
          <w:b/>
          <w:color w:val="000000"/>
          <w:sz w:val="24"/>
          <w:szCs w:val="24"/>
        </w:rPr>
        <w:t xml:space="preserve">► </w:t>
      </w:r>
      <w:r w:rsidRPr="00E64932">
        <w:rPr>
          <w:rFonts w:ascii="Times New Roman" w:hAnsi="Times New Roman"/>
          <w:b/>
          <w:sz w:val="24"/>
          <w:szCs w:val="24"/>
        </w:rPr>
        <w:t>Reabilitare – modernizare reţele termice primare</w:t>
      </w:r>
    </w:p>
    <w:p w:rsidR="00BF51EA" w:rsidRPr="00E64932" w:rsidRDefault="00BF51EA" w:rsidP="00BF51EA">
      <w:pPr>
        <w:pStyle w:val="Listparagraf1"/>
        <w:spacing w:after="0" w:line="240" w:lineRule="auto"/>
        <w:ind w:left="0"/>
        <w:jc w:val="both"/>
        <w:rPr>
          <w:rFonts w:ascii="Times New Roman" w:hAnsi="Times New Roman"/>
          <w:sz w:val="24"/>
          <w:szCs w:val="24"/>
        </w:rPr>
      </w:pPr>
      <w:r w:rsidRPr="00E64932">
        <w:rPr>
          <w:rFonts w:ascii="Times New Roman" w:hAnsi="Times New Roman"/>
          <w:b/>
          <w:sz w:val="24"/>
          <w:szCs w:val="24"/>
        </w:rPr>
        <w:t xml:space="preserve">   ● “Reabilitare – modernizare reţele termice primare B-dul Liviu Rebreanu – B-dul 1 Decembrie 1918 (cămin CV7 – Cămin CG5)”</w:t>
      </w:r>
      <w:r w:rsidRPr="00E64932">
        <w:rPr>
          <w:rFonts w:ascii="Times New Roman" w:hAnsi="Times New Roman"/>
          <w:b/>
          <w:sz w:val="24"/>
          <w:szCs w:val="24"/>
        </w:rPr>
        <w:tab/>
      </w:r>
      <w:r w:rsidRPr="00E64932">
        <w:rPr>
          <w:rFonts w:ascii="Times New Roman" w:hAnsi="Times New Roman"/>
          <w:b/>
          <w:sz w:val="24"/>
          <w:szCs w:val="24"/>
        </w:rPr>
        <w:tab/>
      </w:r>
      <w:r w:rsidRPr="00E64932">
        <w:rPr>
          <w:rFonts w:ascii="Times New Roman" w:hAnsi="Times New Roman"/>
          <w:b/>
          <w:sz w:val="24"/>
          <w:szCs w:val="24"/>
        </w:rPr>
        <w:tab/>
      </w:r>
      <w:r w:rsidRPr="00E64932">
        <w:rPr>
          <w:rFonts w:ascii="Times New Roman" w:hAnsi="Times New Roman"/>
          <w:b/>
          <w:sz w:val="24"/>
          <w:szCs w:val="24"/>
        </w:rPr>
        <w:tab/>
      </w:r>
      <w:r w:rsidRPr="00E64932">
        <w:rPr>
          <w:rFonts w:ascii="Times New Roman" w:hAnsi="Times New Roman"/>
          <w:b/>
          <w:sz w:val="24"/>
          <w:szCs w:val="24"/>
        </w:rPr>
        <w:tab/>
      </w:r>
      <w:r w:rsidRPr="00E64932">
        <w:rPr>
          <w:rFonts w:ascii="Times New Roman" w:hAnsi="Times New Roman"/>
          <w:b/>
          <w:sz w:val="24"/>
          <w:szCs w:val="24"/>
        </w:rPr>
        <w:tab/>
      </w:r>
      <w:r w:rsidRPr="00E64932">
        <w:rPr>
          <w:rFonts w:ascii="Times New Roman" w:hAnsi="Times New Roman"/>
          <w:b/>
          <w:sz w:val="24"/>
          <w:szCs w:val="24"/>
        </w:rPr>
        <w:tab/>
      </w:r>
      <w:r w:rsidRPr="00E64932">
        <w:rPr>
          <w:rFonts w:ascii="Times New Roman" w:hAnsi="Times New Roman"/>
          <w:sz w:val="24"/>
          <w:szCs w:val="24"/>
        </w:rPr>
        <w:t>Lucrările pentru obiectivul de investiţie sunt realizate în baza Contractului de lucrări nr.676/2012 încheiat între PMB şi Asocierea S.C. Confort S.A. &amp; S.C. Sicor S.R.L.– in calitate de executant, S.C. Sicor S.R.L. fiind imputernicită să reprezinte asocierea in toate aspectele legate de derularea și coordonarea obiectivului de investiţie.</w:t>
      </w:r>
    </w:p>
    <w:p w:rsidR="00BF51EA" w:rsidRPr="00E64932" w:rsidRDefault="00BF51EA" w:rsidP="00BF51EA">
      <w:pPr>
        <w:pStyle w:val="Listparagraf1"/>
        <w:spacing w:after="0" w:line="240" w:lineRule="auto"/>
        <w:ind w:left="0" w:firstLine="720"/>
        <w:jc w:val="both"/>
        <w:rPr>
          <w:rFonts w:ascii="Times New Roman" w:eastAsia="Calibri" w:hAnsi="Times New Roman"/>
          <w:sz w:val="24"/>
          <w:szCs w:val="24"/>
        </w:rPr>
      </w:pPr>
      <w:r w:rsidRPr="00E64932">
        <w:rPr>
          <w:rFonts w:ascii="Times New Roman" w:eastAsia="Calibri" w:hAnsi="Times New Roman"/>
          <w:sz w:val="24"/>
          <w:szCs w:val="24"/>
        </w:rPr>
        <w:t>În anul 2018 s-a efectuat ultima plată referitoare la acest contract, în valoare de 36.000 lei (cu TVA). Lucrările au fost finalizate, instalația este în funcțiune și s-a realizat recepția la terminarea lucrărilor, prin Procesul Verbal de Recepție la terminarea lucrărilor nr. 7989/21.11.2018.</w:t>
      </w:r>
    </w:p>
    <w:p w:rsidR="00BF51EA" w:rsidRPr="00E64932" w:rsidRDefault="00BF51EA" w:rsidP="00BF51EA">
      <w:pPr>
        <w:pStyle w:val="Listparagraf1"/>
        <w:spacing w:after="0" w:line="240" w:lineRule="auto"/>
        <w:ind w:left="0" w:firstLine="720"/>
        <w:jc w:val="both"/>
        <w:rPr>
          <w:rFonts w:ascii="Times New Roman" w:eastAsia="Calibri" w:hAnsi="Times New Roman"/>
          <w:sz w:val="24"/>
          <w:szCs w:val="24"/>
        </w:rPr>
      </w:pPr>
      <w:r w:rsidRPr="00E64932">
        <w:rPr>
          <w:rFonts w:ascii="Times New Roman" w:eastAsia="Calibri" w:hAnsi="Times New Roman"/>
          <w:sz w:val="24"/>
          <w:szCs w:val="24"/>
        </w:rPr>
        <w:t>Valoarea totală a lucrărilor recepționate este de 16.679.903 Lei fără TVA.</w:t>
      </w:r>
    </w:p>
    <w:p w:rsidR="00BF51EA" w:rsidRPr="00E64932" w:rsidRDefault="00BF51EA" w:rsidP="00BF51EA">
      <w:pPr>
        <w:pStyle w:val="Listparagraf1"/>
        <w:spacing w:after="0" w:line="240" w:lineRule="auto"/>
        <w:ind w:left="0"/>
        <w:jc w:val="both"/>
        <w:rPr>
          <w:rFonts w:ascii="Times New Roman" w:hAnsi="Times New Roman"/>
          <w:b/>
          <w:sz w:val="24"/>
          <w:szCs w:val="24"/>
        </w:rPr>
      </w:pPr>
      <w:r w:rsidRPr="00E64932">
        <w:rPr>
          <w:rFonts w:ascii="Times New Roman" w:hAnsi="Times New Roman"/>
          <w:b/>
          <w:sz w:val="24"/>
          <w:szCs w:val="24"/>
        </w:rPr>
        <w:t>R.A.D.E.T.</w:t>
      </w:r>
    </w:p>
    <w:p w:rsidR="00BF51EA" w:rsidRPr="00E64932" w:rsidRDefault="00BF51EA" w:rsidP="00BF51EA">
      <w:pPr>
        <w:pStyle w:val="Listparagraf1"/>
        <w:spacing w:after="0" w:line="240" w:lineRule="auto"/>
        <w:ind w:left="0"/>
        <w:jc w:val="both"/>
        <w:rPr>
          <w:rFonts w:ascii="Times New Roman" w:hAnsi="Times New Roman"/>
          <w:color w:val="FF0000"/>
          <w:sz w:val="24"/>
          <w:szCs w:val="24"/>
        </w:rPr>
      </w:pPr>
    </w:p>
    <w:p w:rsidR="00BF51EA" w:rsidRPr="00E64932" w:rsidRDefault="00BF51EA" w:rsidP="00BF51EA">
      <w:pPr>
        <w:pStyle w:val="Listparagraf1"/>
        <w:spacing w:after="0" w:line="240" w:lineRule="auto"/>
        <w:ind w:left="0"/>
        <w:jc w:val="both"/>
        <w:rPr>
          <w:rFonts w:ascii="Times New Roman" w:eastAsia="Calibri" w:hAnsi="Times New Roman"/>
          <w:b/>
          <w:sz w:val="24"/>
          <w:szCs w:val="24"/>
        </w:rPr>
      </w:pPr>
      <w:r w:rsidRPr="00E64932">
        <w:rPr>
          <w:rFonts w:ascii="Times New Roman" w:hAnsi="Times New Roman"/>
          <w:b/>
          <w:color w:val="000000"/>
          <w:sz w:val="24"/>
          <w:szCs w:val="24"/>
        </w:rPr>
        <w:t xml:space="preserve">► </w:t>
      </w:r>
      <w:r w:rsidRPr="00E64932">
        <w:rPr>
          <w:rFonts w:ascii="Times New Roman" w:eastAsia="Calibri" w:hAnsi="Times New Roman"/>
          <w:b/>
          <w:sz w:val="24"/>
          <w:szCs w:val="24"/>
        </w:rPr>
        <w:t>Lucrari de modernizare a sistemului de transport si distributie a energiei termice</w:t>
      </w:r>
    </w:p>
    <w:p w:rsidR="00BF51EA" w:rsidRPr="00E64932" w:rsidRDefault="00BF51EA" w:rsidP="00BF51EA">
      <w:pPr>
        <w:pStyle w:val="Listparagraf1"/>
        <w:spacing w:after="0" w:line="240" w:lineRule="auto"/>
        <w:ind w:left="0"/>
        <w:jc w:val="both"/>
        <w:rPr>
          <w:rFonts w:ascii="Times New Roman" w:eastAsia="Calibri" w:hAnsi="Times New Roman"/>
          <w:b/>
          <w:sz w:val="24"/>
          <w:szCs w:val="24"/>
        </w:rPr>
      </w:pPr>
      <w:r w:rsidRPr="00E64932">
        <w:rPr>
          <w:rFonts w:ascii="Times New Roman" w:hAnsi="Times New Roman"/>
          <w:b/>
          <w:sz w:val="24"/>
          <w:szCs w:val="24"/>
        </w:rPr>
        <w:t xml:space="preserve">   ● C</w:t>
      </w:r>
      <w:r w:rsidRPr="00E64932">
        <w:rPr>
          <w:rFonts w:ascii="Times New Roman" w:eastAsia="Calibri" w:hAnsi="Times New Roman"/>
          <w:b/>
          <w:sz w:val="24"/>
          <w:szCs w:val="24"/>
        </w:rPr>
        <w:t>artierul Aviației</w:t>
      </w:r>
    </w:p>
    <w:p w:rsidR="00BF51EA" w:rsidRPr="00E64932" w:rsidRDefault="00BF51EA" w:rsidP="00BF51EA">
      <w:pPr>
        <w:pStyle w:val="Listparagraf1"/>
        <w:spacing w:after="0" w:line="240" w:lineRule="auto"/>
        <w:ind w:left="0" w:firstLine="720"/>
        <w:jc w:val="both"/>
        <w:rPr>
          <w:rFonts w:ascii="Times New Roman" w:eastAsia="Calibri" w:hAnsi="Times New Roman"/>
          <w:sz w:val="24"/>
          <w:szCs w:val="24"/>
        </w:rPr>
      </w:pPr>
      <w:r w:rsidRPr="00E64932">
        <w:rPr>
          <w:rFonts w:ascii="Times New Roman" w:eastAsia="Calibri" w:hAnsi="Times New Roman"/>
          <w:sz w:val="24"/>
          <w:szCs w:val="24"/>
        </w:rPr>
        <w:t>- PT 1, 2, 3, 4, 5 si 6 Aviatiei</w:t>
      </w:r>
    </w:p>
    <w:p w:rsidR="00BF51EA" w:rsidRPr="00E64932" w:rsidRDefault="00BF51EA" w:rsidP="00BF51EA">
      <w:pPr>
        <w:pStyle w:val="Listparagraf1"/>
        <w:spacing w:after="0" w:line="240" w:lineRule="auto"/>
        <w:ind w:left="0" w:firstLine="720"/>
        <w:jc w:val="both"/>
        <w:rPr>
          <w:rFonts w:ascii="Times New Roman" w:eastAsia="Calibri" w:hAnsi="Times New Roman"/>
          <w:sz w:val="24"/>
          <w:szCs w:val="24"/>
        </w:rPr>
      </w:pPr>
      <w:r w:rsidRPr="00E64932">
        <w:rPr>
          <w:rFonts w:ascii="Times New Roman" w:eastAsia="Calibri" w:hAnsi="Times New Roman"/>
          <w:sz w:val="24"/>
          <w:szCs w:val="24"/>
        </w:rPr>
        <w:t>Au fost modernizati 17.4 km lungime conductă rețea</w:t>
      </w:r>
    </w:p>
    <w:p w:rsidR="00BF51EA" w:rsidRPr="00E64932" w:rsidRDefault="00BF51EA" w:rsidP="00BF51EA">
      <w:pPr>
        <w:pStyle w:val="Listparagraf1"/>
        <w:spacing w:after="0" w:line="240" w:lineRule="auto"/>
        <w:ind w:left="0" w:firstLine="720"/>
        <w:jc w:val="both"/>
        <w:rPr>
          <w:rFonts w:ascii="Times New Roman" w:eastAsia="Calibri" w:hAnsi="Times New Roman"/>
          <w:sz w:val="24"/>
          <w:szCs w:val="24"/>
        </w:rPr>
      </w:pPr>
      <w:r w:rsidRPr="00E64932">
        <w:rPr>
          <w:rFonts w:ascii="Times New Roman" w:eastAsia="Calibri" w:hAnsi="Times New Roman"/>
          <w:sz w:val="24"/>
          <w:szCs w:val="24"/>
        </w:rPr>
        <w:t>Valoarea realizată conform contractelor fiind de 22.077.810 lei fara TVA</w:t>
      </w:r>
    </w:p>
    <w:p w:rsidR="00BF51EA" w:rsidRPr="00E64932" w:rsidRDefault="00BF51EA" w:rsidP="00BF51EA">
      <w:pPr>
        <w:pStyle w:val="Listparagraf1"/>
        <w:spacing w:after="0" w:line="240" w:lineRule="auto"/>
        <w:ind w:left="0"/>
        <w:jc w:val="both"/>
        <w:rPr>
          <w:rFonts w:ascii="Times New Roman" w:eastAsia="Calibri" w:hAnsi="Times New Roman"/>
          <w:b/>
          <w:sz w:val="24"/>
          <w:szCs w:val="24"/>
        </w:rPr>
      </w:pPr>
      <w:r w:rsidRPr="00E64932">
        <w:rPr>
          <w:rFonts w:ascii="Times New Roman" w:hAnsi="Times New Roman"/>
          <w:b/>
          <w:sz w:val="24"/>
          <w:szCs w:val="24"/>
        </w:rPr>
        <w:t xml:space="preserve">   ● C</w:t>
      </w:r>
      <w:r w:rsidRPr="00E64932">
        <w:rPr>
          <w:rFonts w:ascii="Times New Roman" w:eastAsia="Calibri" w:hAnsi="Times New Roman"/>
          <w:b/>
          <w:sz w:val="24"/>
          <w:szCs w:val="24"/>
        </w:rPr>
        <w:t>artierul Drumul Taberei</w:t>
      </w:r>
    </w:p>
    <w:p w:rsidR="00BF51EA" w:rsidRPr="00E64932" w:rsidRDefault="00BF51EA" w:rsidP="00BF51EA">
      <w:pPr>
        <w:pStyle w:val="Listparagraf1"/>
        <w:spacing w:after="0" w:line="240" w:lineRule="auto"/>
        <w:ind w:left="0" w:firstLine="720"/>
        <w:jc w:val="both"/>
        <w:rPr>
          <w:rFonts w:ascii="Times New Roman" w:eastAsia="Calibri" w:hAnsi="Times New Roman"/>
          <w:sz w:val="24"/>
          <w:szCs w:val="24"/>
        </w:rPr>
      </w:pPr>
      <w:r w:rsidRPr="00E64932">
        <w:rPr>
          <w:rFonts w:ascii="Times New Roman" w:eastAsia="Calibri" w:hAnsi="Times New Roman"/>
          <w:sz w:val="24"/>
          <w:szCs w:val="24"/>
        </w:rPr>
        <w:t xml:space="preserve"> - ansamblul MICRO 2 – lot 5</w:t>
      </w:r>
    </w:p>
    <w:p w:rsidR="00BF51EA" w:rsidRPr="00E64932" w:rsidRDefault="00BF51EA" w:rsidP="00BF51EA">
      <w:pPr>
        <w:pStyle w:val="Listparagraf1"/>
        <w:spacing w:after="0" w:line="240" w:lineRule="auto"/>
        <w:ind w:left="0" w:firstLine="720"/>
        <w:jc w:val="both"/>
        <w:rPr>
          <w:rFonts w:ascii="Times New Roman" w:eastAsia="Calibri" w:hAnsi="Times New Roman"/>
          <w:sz w:val="24"/>
          <w:szCs w:val="24"/>
        </w:rPr>
      </w:pPr>
      <w:r w:rsidRPr="00E64932">
        <w:rPr>
          <w:rFonts w:ascii="Times New Roman" w:eastAsia="Calibri" w:hAnsi="Times New Roman"/>
          <w:sz w:val="24"/>
          <w:szCs w:val="24"/>
        </w:rPr>
        <w:lastRenderedPageBreak/>
        <w:t>Au fost modernizati 8.2 km lungime conductă rețea</w:t>
      </w:r>
    </w:p>
    <w:p w:rsidR="00BF51EA" w:rsidRPr="00E64932" w:rsidRDefault="00BF51EA" w:rsidP="00BF51EA">
      <w:pPr>
        <w:pStyle w:val="Listparagraf1"/>
        <w:spacing w:after="0" w:line="240" w:lineRule="auto"/>
        <w:ind w:left="0" w:firstLine="720"/>
        <w:jc w:val="both"/>
        <w:rPr>
          <w:rFonts w:ascii="Times New Roman" w:eastAsia="Calibri" w:hAnsi="Times New Roman"/>
          <w:sz w:val="24"/>
          <w:szCs w:val="24"/>
        </w:rPr>
      </w:pPr>
      <w:r w:rsidRPr="00E64932">
        <w:rPr>
          <w:rFonts w:ascii="Times New Roman" w:eastAsia="Calibri" w:hAnsi="Times New Roman"/>
          <w:sz w:val="24"/>
          <w:szCs w:val="24"/>
        </w:rPr>
        <w:t>Valoarea realizată conform contractului fiind de 5.447.584,37 lei fara TVA.</w:t>
      </w:r>
    </w:p>
    <w:p w:rsidR="00BF51EA" w:rsidRPr="00E64932" w:rsidRDefault="00BF51EA" w:rsidP="00BF51EA">
      <w:pPr>
        <w:pStyle w:val="Listparagraf1"/>
        <w:spacing w:after="0" w:line="240" w:lineRule="auto"/>
        <w:ind w:left="0"/>
        <w:jc w:val="both"/>
        <w:rPr>
          <w:rFonts w:ascii="Times New Roman" w:hAnsi="Times New Roman"/>
          <w:b/>
          <w:color w:val="000000"/>
          <w:sz w:val="24"/>
          <w:szCs w:val="24"/>
        </w:rPr>
      </w:pPr>
    </w:p>
    <w:p w:rsidR="00BF51EA" w:rsidRPr="00E64932" w:rsidRDefault="00BF51EA" w:rsidP="00BF51EA">
      <w:pPr>
        <w:pStyle w:val="Listparagraf1"/>
        <w:spacing w:after="0" w:line="240" w:lineRule="auto"/>
        <w:ind w:left="0"/>
        <w:jc w:val="both"/>
        <w:rPr>
          <w:rFonts w:ascii="Times New Roman" w:eastAsia="Calibri" w:hAnsi="Times New Roman"/>
          <w:sz w:val="24"/>
          <w:szCs w:val="24"/>
        </w:rPr>
      </w:pPr>
      <w:r w:rsidRPr="00E64932">
        <w:rPr>
          <w:rFonts w:ascii="Times New Roman" w:hAnsi="Times New Roman"/>
          <w:b/>
          <w:color w:val="000000"/>
          <w:sz w:val="24"/>
          <w:szCs w:val="24"/>
        </w:rPr>
        <w:t xml:space="preserve">► Modernizare centrale termice </w:t>
      </w:r>
      <w:r w:rsidRPr="00E64932">
        <w:rPr>
          <w:rFonts w:ascii="Times New Roman" w:eastAsia="Calibri" w:hAnsi="Times New Roman"/>
          <w:b/>
          <w:sz w:val="24"/>
          <w:szCs w:val="24"/>
        </w:rPr>
        <w:t>de cvartal și a instalațiilor de distribuție aferente</w:t>
      </w:r>
    </w:p>
    <w:p w:rsidR="00BF51EA" w:rsidRPr="00E64932" w:rsidRDefault="00BF51EA" w:rsidP="00BF51EA">
      <w:pPr>
        <w:pStyle w:val="Listparagraf1"/>
        <w:spacing w:after="0" w:line="240" w:lineRule="auto"/>
        <w:ind w:left="180"/>
        <w:jc w:val="both"/>
        <w:rPr>
          <w:rFonts w:ascii="Times New Roman" w:eastAsia="Calibri" w:hAnsi="Times New Roman"/>
          <w:b/>
          <w:sz w:val="24"/>
          <w:szCs w:val="24"/>
        </w:rPr>
      </w:pPr>
      <w:r w:rsidRPr="00E64932">
        <w:rPr>
          <w:rFonts w:ascii="Times New Roman" w:hAnsi="Times New Roman"/>
          <w:b/>
          <w:sz w:val="24"/>
          <w:szCs w:val="24"/>
        </w:rPr>
        <w:t xml:space="preserve">● </w:t>
      </w:r>
      <w:r w:rsidRPr="00E64932">
        <w:rPr>
          <w:rFonts w:ascii="Times New Roman" w:eastAsia="Calibri" w:hAnsi="Times New Roman"/>
          <w:b/>
          <w:sz w:val="24"/>
          <w:szCs w:val="24"/>
        </w:rPr>
        <w:t>CT 6, CT 10 si CT 13 Bucureștii Noi, CT Barbu Văcărescu, CT Bucur și CT Caporal Bălan</w:t>
      </w:r>
    </w:p>
    <w:p w:rsidR="00BF51EA" w:rsidRPr="00E64932" w:rsidRDefault="00BF51EA" w:rsidP="00BF51EA">
      <w:pPr>
        <w:pStyle w:val="Listparagraf1"/>
        <w:spacing w:after="0" w:line="240" w:lineRule="auto"/>
        <w:ind w:left="0" w:firstLine="720"/>
        <w:jc w:val="both"/>
        <w:rPr>
          <w:rFonts w:ascii="Times New Roman" w:eastAsia="Calibri" w:hAnsi="Times New Roman"/>
          <w:sz w:val="24"/>
          <w:szCs w:val="24"/>
        </w:rPr>
      </w:pPr>
      <w:r w:rsidRPr="00E64932">
        <w:rPr>
          <w:rFonts w:ascii="Times New Roman" w:eastAsia="Calibri" w:hAnsi="Times New Roman"/>
          <w:sz w:val="24"/>
          <w:szCs w:val="24"/>
        </w:rPr>
        <w:t>Capacitățile realizate însumează 2.7 km lungime conductă rețea.</w:t>
      </w:r>
    </w:p>
    <w:p w:rsidR="00BF51EA" w:rsidRPr="00E64932" w:rsidRDefault="00BF51EA" w:rsidP="00BF51EA">
      <w:pPr>
        <w:pStyle w:val="Listparagraf1"/>
        <w:spacing w:after="0" w:line="240" w:lineRule="auto"/>
        <w:ind w:left="0" w:firstLine="720"/>
        <w:jc w:val="both"/>
        <w:rPr>
          <w:rFonts w:ascii="Times New Roman" w:eastAsia="Calibri" w:hAnsi="Times New Roman"/>
          <w:sz w:val="24"/>
          <w:szCs w:val="24"/>
        </w:rPr>
      </w:pPr>
      <w:r w:rsidRPr="00E64932">
        <w:rPr>
          <w:rFonts w:ascii="Times New Roman" w:eastAsia="Calibri" w:hAnsi="Times New Roman"/>
          <w:sz w:val="24"/>
          <w:szCs w:val="24"/>
        </w:rPr>
        <w:t>Până acum au fost modernizate 3 centrale, celelalte 3 centrale urmând a fi modernizate în cursul anului 2019. Valoarea totală realizată conform contractelor se ridică la 2.207.760 lei fără TVA. In prezent, la nivelul RADET se află în procedură de achiziție lucrările de modernizare pentru centralele Floreasca și Ferentari. Concret, procedura se află în etapa de analiză tehnică a documentației depuse de ofertanți.</w:t>
      </w:r>
    </w:p>
    <w:p w:rsidR="00BF51EA" w:rsidRPr="00E64932" w:rsidRDefault="00BF51EA" w:rsidP="00BF51EA">
      <w:pPr>
        <w:pStyle w:val="Listparagraf1"/>
        <w:spacing w:after="0" w:line="240" w:lineRule="auto"/>
        <w:ind w:left="0"/>
        <w:jc w:val="both"/>
        <w:rPr>
          <w:rFonts w:ascii="Times New Roman" w:eastAsia="Calibri" w:hAnsi="Times New Roman"/>
          <w:b/>
          <w:sz w:val="24"/>
          <w:szCs w:val="24"/>
        </w:rPr>
      </w:pPr>
      <w:r w:rsidRPr="00E64932">
        <w:rPr>
          <w:rFonts w:ascii="Times New Roman" w:hAnsi="Times New Roman"/>
          <w:b/>
          <w:sz w:val="24"/>
          <w:szCs w:val="24"/>
        </w:rPr>
        <w:t xml:space="preserve">   ● P</w:t>
      </w:r>
      <w:r w:rsidRPr="00E64932">
        <w:rPr>
          <w:rFonts w:ascii="Times New Roman" w:eastAsia="Calibri" w:hAnsi="Times New Roman"/>
          <w:b/>
          <w:sz w:val="24"/>
          <w:szCs w:val="24"/>
        </w:rPr>
        <w:t>unctele termice 2 Aviaţiei şi 6 Aviaţiei</w:t>
      </w:r>
    </w:p>
    <w:p w:rsidR="00BF51EA" w:rsidRPr="00E64932" w:rsidRDefault="00BF51EA" w:rsidP="00BF51EA">
      <w:pPr>
        <w:pStyle w:val="Listparagraf1"/>
        <w:spacing w:after="0" w:line="240" w:lineRule="auto"/>
        <w:ind w:left="0" w:firstLine="720"/>
        <w:jc w:val="both"/>
        <w:rPr>
          <w:rFonts w:ascii="Times New Roman" w:eastAsia="Calibri" w:hAnsi="Times New Roman"/>
          <w:sz w:val="24"/>
          <w:szCs w:val="24"/>
        </w:rPr>
      </w:pPr>
      <w:r w:rsidRPr="00E64932">
        <w:rPr>
          <w:rFonts w:ascii="Times New Roman" w:eastAsia="Calibri" w:hAnsi="Times New Roman"/>
          <w:sz w:val="24"/>
          <w:szCs w:val="24"/>
        </w:rPr>
        <w:t>Începerea în 2018 şi continuarea în 2019 a lucrărilor de modernizare a reţelelor de termoficare aferente punctelor termice 2 Aviaţiei şi 6 Aviaţiei.</w:t>
      </w:r>
    </w:p>
    <w:p w:rsidR="00BF51EA" w:rsidRPr="00E64932" w:rsidRDefault="00BF51EA" w:rsidP="00BF51EA">
      <w:pPr>
        <w:pStyle w:val="Listparagraf1"/>
        <w:spacing w:after="0" w:line="240" w:lineRule="auto"/>
        <w:ind w:left="0"/>
        <w:jc w:val="both"/>
        <w:rPr>
          <w:rFonts w:ascii="Times New Roman" w:hAnsi="Times New Roman"/>
          <w:sz w:val="24"/>
          <w:szCs w:val="24"/>
        </w:rPr>
      </w:pPr>
    </w:p>
    <w:p w:rsidR="00BF51EA" w:rsidRPr="00E64932" w:rsidRDefault="00BF51EA" w:rsidP="00BF51EA">
      <w:pPr>
        <w:pStyle w:val="Listparagraf1"/>
        <w:spacing w:after="0" w:line="240" w:lineRule="auto"/>
        <w:ind w:left="0"/>
        <w:jc w:val="both"/>
        <w:rPr>
          <w:rFonts w:ascii="Times New Roman" w:eastAsia="Calibri" w:hAnsi="Times New Roman"/>
          <w:b/>
          <w:sz w:val="24"/>
          <w:szCs w:val="24"/>
        </w:rPr>
      </w:pPr>
      <w:r w:rsidRPr="00E64932">
        <w:rPr>
          <w:rFonts w:ascii="Times New Roman" w:hAnsi="Times New Roman"/>
          <w:b/>
          <w:color w:val="000000"/>
          <w:sz w:val="24"/>
          <w:szCs w:val="24"/>
        </w:rPr>
        <w:t xml:space="preserve">► </w:t>
      </w:r>
      <w:r w:rsidRPr="00E64932">
        <w:rPr>
          <w:rFonts w:ascii="Times New Roman" w:eastAsia="Calibri" w:hAnsi="Times New Roman"/>
          <w:b/>
          <w:sz w:val="24"/>
          <w:szCs w:val="24"/>
        </w:rPr>
        <w:t>”Implementarea cogenerării la Centrala termică de zonă Casa Presei”</w:t>
      </w:r>
    </w:p>
    <w:p w:rsidR="00BF51EA" w:rsidRPr="00E64932" w:rsidRDefault="00BF51EA" w:rsidP="00BF51EA">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Abordând necesitățile obiective ale sistemului de alimentare cu energie termică, strategia prevede implementarea cogenerării la actuala centrală termică de zonă Casa Presei, precum și crearea de două noi surse în cogenerare de mică putere în zonele defavorizate de actualul traseu lung al transportului – Aviației și Colentina. </w:t>
      </w:r>
    </w:p>
    <w:p w:rsidR="00BF51EA" w:rsidRPr="00E64932" w:rsidRDefault="00BF51EA" w:rsidP="00BF51EA">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Pentru operaționalizarea prevederilor strategiei, a fost elaborat ”Studiul de fezabilitate privind adoptarea cogenerării pentru centrala termică de zonă Casa Presei”, document întocmit de către Institutul de Studii și Proiectări Energetice – ISPE și avizat de către AMRSP.</w:t>
      </w:r>
    </w:p>
    <w:p w:rsidR="00BF51EA" w:rsidRPr="00E64932" w:rsidRDefault="00BF51EA" w:rsidP="00BF51EA">
      <w:pPr>
        <w:pStyle w:val="Listparagraf1"/>
        <w:spacing w:after="0" w:line="240" w:lineRule="auto"/>
        <w:ind w:left="0" w:firstLine="720"/>
        <w:jc w:val="both"/>
        <w:rPr>
          <w:rFonts w:ascii="Times New Roman" w:hAnsi="Times New Roman"/>
          <w:color w:val="000000"/>
          <w:sz w:val="24"/>
          <w:szCs w:val="24"/>
        </w:rPr>
      </w:pPr>
      <w:r w:rsidRPr="00E64932">
        <w:rPr>
          <w:rFonts w:ascii="Times New Roman" w:hAnsi="Times New Roman"/>
          <w:color w:val="000000"/>
          <w:sz w:val="24"/>
          <w:szCs w:val="24"/>
        </w:rPr>
        <w:t>A fost aprobat Studiul de Fezabilitate prin HCGMB nr.48/22.02.2018.</w:t>
      </w:r>
    </w:p>
    <w:p w:rsidR="00BF51EA" w:rsidRDefault="00BF51EA" w:rsidP="00A77970">
      <w:pPr>
        <w:pStyle w:val="ListParagraph"/>
        <w:jc w:val="both"/>
      </w:pPr>
    </w:p>
    <w:p w:rsidR="00A9063F" w:rsidRPr="00825379" w:rsidRDefault="00A9063F" w:rsidP="00A77970">
      <w:pPr>
        <w:pStyle w:val="ListParagraph"/>
      </w:pPr>
    </w:p>
    <w:p w:rsidR="00AE7C41" w:rsidRDefault="00AE7C41" w:rsidP="00A77970">
      <w:pPr>
        <w:tabs>
          <w:tab w:val="left" w:pos="709"/>
        </w:tabs>
        <w:jc w:val="both"/>
        <w:rPr>
          <w:b/>
        </w:rPr>
      </w:pPr>
      <w:r w:rsidRPr="00821BE1">
        <w:rPr>
          <w:b/>
        </w:rPr>
        <w:t>1.3.</w:t>
      </w:r>
      <w:r w:rsidRPr="00821BE1">
        <w:rPr>
          <w:b/>
        </w:rPr>
        <w:tab/>
      </w:r>
      <w:r>
        <w:rPr>
          <w:b/>
        </w:rPr>
        <w:t>Stadiul realizării programului de investiții</w:t>
      </w:r>
    </w:p>
    <w:p w:rsidR="00107A32" w:rsidRDefault="00107A32" w:rsidP="00A77970">
      <w:pPr>
        <w:tabs>
          <w:tab w:val="left" w:pos="709"/>
        </w:tabs>
        <w:jc w:val="both"/>
        <w:rPr>
          <w:b/>
        </w:rPr>
      </w:pPr>
    </w:p>
    <w:p w:rsidR="00552412" w:rsidRDefault="00552412" w:rsidP="00A77970">
      <w:pPr>
        <w:tabs>
          <w:tab w:val="left" w:pos="709"/>
        </w:tabs>
        <w:jc w:val="both"/>
      </w:pPr>
      <w:r>
        <w:rPr>
          <w:b/>
        </w:rPr>
        <w:tab/>
      </w:r>
      <w:r>
        <w:t xml:space="preserve">Investițiile brute în bunuri corporale reprezintă investițiile în toate bunurile corporale pe parcursul perioadei de referință. Sunt incluse mijloacele fixe corporale noi și cele existente, indiferent dacă sunt cumpărate de la terțe părți, dobândite în urma unui contract de leasing financiar (adică dreptul de a utiliza un bun de folosință îndelungată în schimbul plății unei chirii pe parcursul unei perioade prestabilite și relativ extinse) sau sunt produse pentru uzul propriu (respectiv producția capitalizată de mijloace fixe corporale), care au o durată de utilizare mai mare de un an, inclusiv bunuri corporale care nu se produc, cum ar fi terenurile. Pragul duratei de utilizare a unui bun care poate fi capitalizat poate fi mărit conform practicilor contabile ale societății, acolo unde aceste practici impun o durată de utilizare mai mare decât pragul de un an indicat mai sus. </w:t>
      </w:r>
    </w:p>
    <w:p w:rsidR="00552412" w:rsidRDefault="00552412" w:rsidP="00A77970">
      <w:pPr>
        <w:tabs>
          <w:tab w:val="left" w:pos="709"/>
        </w:tabs>
        <w:jc w:val="both"/>
      </w:pPr>
      <w:r>
        <w:t xml:space="preserve">  </w:t>
      </w:r>
      <w:r>
        <w:tab/>
        <w:t xml:space="preserve">Investițiile nete reprezintă cheltuielile efectuate pentru lucrări de construcții, de instalații și de montaj, pentru achiziționarea de utilaje, mijloace de transport, alte cheltuieli destinate creării de noi mijloace fixe, pentru dezvoltarea, modernizarea, reconstrucția celor existente, precum și valoarea serviciilor legate de transferul de proprietate al mijloacelor fixe existente și al terenurilor (taxe notariale, comisioane, cheltuieli de transport, de încărcare-descărcare) etc. </w:t>
      </w:r>
    </w:p>
    <w:p w:rsidR="00360D79" w:rsidRPr="00306F64" w:rsidRDefault="00552412" w:rsidP="00306F64">
      <w:pPr>
        <w:tabs>
          <w:tab w:val="left" w:pos="709"/>
        </w:tabs>
        <w:jc w:val="both"/>
        <w:rPr>
          <w:b/>
          <w:kern w:val="28"/>
          <w:szCs w:val="20"/>
          <w:lang w:eastAsia="en-US"/>
        </w:rPr>
      </w:pPr>
      <w:r>
        <w:t xml:space="preserve">  </w:t>
      </w:r>
    </w:p>
    <w:p w:rsidR="00360D79" w:rsidRPr="0021568E" w:rsidRDefault="00360D79" w:rsidP="00A77970">
      <w:pPr>
        <w:jc w:val="both"/>
        <w:rPr>
          <w:b/>
          <w:kern w:val="28"/>
          <w:lang w:val="en-US" w:eastAsia="en-US"/>
        </w:rPr>
      </w:pPr>
      <w:r>
        <w:rPr>
          <w:kern w:val="28"/>
          <w:lang w:val="en-US" w:eastAsia="en-US"/>
        </w:rPr>
        <w:tab/>
      </w:r>
      <w:r w:rsidRPr="0021568E">
        <w:rPr>
          <w:b/>
          <w:kern w:val="28"/>
          <w:lang w:val="en-US" w:eastAsia="en-US"/>
        </w:rPr>
        <w:t>Programul investiţional al S.C. METROREX S.A, pentru anul 201</w:t>
      </w:r>
      <w:r w:rsidR="0086495B">
        <w:rPr>
          <w:b/>
          <w:kern w:val="28"/>
          <w:lang w:val="en-US" w:eastAsia="en-US"/>
        </w:rPr>
        <w:t>8</w:t>
      </w:r>
      <w:r w:rsidRPr="0021568E">
        <w:rPr>
          <w:b/>
          <w:kern w:val="28"/>
          <w:lang w:val="en-US" w:eastAsia="en-US"/>
        </w:rPr>
        <w:t>, privind transportul public de călători a prevăzut lucrări la următoarele obiective:</w:t>
      </w:r>
    </w:p>
    <w:p w:rsidR="00552412" w:rsidRPr="00AD0167" w:rsidRDefault="00552412" w:rsidP="00A77970">
      <w:pPr>
        <w:jc w:val="both"/>
        <w:rPr>
          <w:b/>
          <w:i/>
          <w:kern w:val="28"/>
          <w:sz w:val="16"/>
          <w:szCs w:val="16"/>
          <w:highlight w:val="lightGray"/>
          <w:lang w:val="en-US" w:eastAsia="en-US"/>
        </w:rPr>
      </w:pPr>
    </w:p>
    <w:p w:rsidR="0021568E" w:rsidRPr="0032099B" w:rsidRDefault="0021568E" w:rsidP="0021568E">
      <w:pPr>
        <w:pStyle w:val="Bodytext21"/>
        <w:shd w:val="clear" w:color="auto" w:fill="auto"/>
        <w:spacing w:before="0" w:line="240" w:lineRule="auto"/>
        <w:ind w:firstLine="840"/>
        <w:jc w:val="both"/>
        <w:rPr>
          <w:sz w:val="24"/>
          <w:szCs w:val="24"/>
        </w:rPr>
      </w:pPr>
      <w:r w:rsidRPr="0032099B">
        <w:rPr>
          <w:sz w:val="24"/>
          <w:szCs w:val="24"/>
        </w:rPr>
        <w:t>Programul investiţional al METROREX S.A. pentru anul 201</w:t>
      </w:r>
      <w:r w:rsidR="0086495B">
        <w:rPr>
          <w:sz w:val="24"/>
          <w:szCs w:val="24"/>
        </w:rPr>
        <w:t>8</w:t>
      </w:r>
      <w:r w:rsidRPr="0032099B">
        <w:rPr>
          <w:sz w:val="24"/>
          <w:szCs w:val="24"/>
        </w:rPr>
        <w:t xml:space="preserve"> a prevăzut lucrări la obiective după cum urmează:</w:t>
      </w:r>
    </w:p>
    <w:p w:rsidR="0021568E" w:rsidRPr="0032099B" w:rsidRDefault="0021568E" w:rsidP="0021568E">
      <w:pPr>
        <w:pStyle w:val="Bodytext21"/>
        <w:shd w:val="clear" w:color="auto" w:fill="auto"/>
        <w:spacing w:before="0" w:line="240" w:lineRule="auto"/>
        <w:ind w:left="300" w:firstLine="0"/>
        <w:jc w:val="both"/>
        <w:rPr>
          <w:sz w:val="24"/>
          <w:szCs w:val="24"/>
        </w:rPr>
      </w:pPr>
      <w:r w:rsidRPr="0032099B">
        <w:rPr>
          <w:rStyle w:val="Bodytext24"/>
          <w:sz w:val="24"/>
          <w:szCs w:val="24"/>
        </w:rPr>
        <w:t>MAGISTRALA 4. RACORD 2. G</w:t>
      </w:r>
      <w:r w:rsidR="0086495B">
        <w:rPr>
          <w:sz w:val="24"/>
          <w:szCs w:val="24"/>
        </w:rPr>
        <w:t>ara de N</w:t>
      </w:r>
      <w:r w:rsidRPr="0032099B">
        <w:rPr>
          <w:sz w:val="24"/>
          <w:szCs w:val="24"/>
        </w:rPr>
        <w:t xml:space="preserve">ord - Lac </w:t>
      </w:r>
      <w:r w:rsidRPr="0032099B">
        <w:rPr>
          <w:rStyle w:val="Bodytext24"/>
          <w:sz w:val="24"/>
          <w:szCs w:val="24"/>
        </w:rPr>
        <w:t>Străuleşti</w:t>
      </w:r>
    </w:p>
    <w:p w:rsidR="0021568E" w:rsidRPr="0032099B" w:rsidRDefault="0021568E" w:rsidP="0021568E">
      <w:pPr>
        <w:pStyle w:val="Bodytext21"/>
        <w:numPr>
          <w:ilvl w:val="0"/>
          <w:numId w:val="53"/>
        </w:numPr>
        <w:shd w:val="clear" w:color="auto" w:fill="auto"/>
        <w:tabs>
          <w:tab w:val="left" w:pos="704"/>
        </w:tabs>
        <w:spacing w:before="0" w:line="240" w:lineRule="auto"/>
        <w:ind w:left="380" w:firstLine="0"/>
        <w:jc w:val="both"/>
        <w:rPr>
          <w:sz w:val="24"/>
          <w:szCs w:val="24"/>
        </w:rPr>
      </w:pPr>
      <w:r w:rsidRPr="0032099B">
        <w:rPr>
          <w:sz w:val="24"/>
          <w:szCs w:val="24"/>
        </w:rPr>
        <w:t>Lucrări structură şi instalaţii la Depoul Străuleşti şi Parc &amp; Ride;</w:t>
      </w:r>
    </w:p>
    <w:p w:rsidR="0021568E" w:rsidRPr="0032099B" w:rsidRDefault="0021568E" w:rsidP="0021568E">
      <w:pPr>
        <w:pStyle w:val="Bodytext21"/>
        <w:numPr>
          <w:ilvl w:val="0"/>
          <w:numId w:val="53"/>
        </w:numPr>
        <w:shd w:val="clear" w:color="auto" w:fill="auto"/>
        <w:tabs>
          <w:tab w:val="left" w:pos="704"/>
        </w:tabs>
        <w:spacing w:before="0" w:line="240" w:lineRule="auto"/>
        <w:ind w:left="380" w:firstLine="0"/>
        <w:jc w:val="both"/>
        <w:rPr>
          <w:sz w:val="24"/>
          <w:szCs w:val="24"/>
        </w:rPr>
      </w:pPr>
      <w:r w:rsidRPr="0032099B">
        <w:rPr>
          <w:sz w:val="24"/>
          <w:szCs w:val="24"/>
        </w:rPr>
        <w:lastRenderedPageBreak/>
        <w:t>Execuţie lucrări structură şi instalaţii la două staţii (Laminorului şi Lac Străuleşti);</w:t>
      </w:r>
    </w:p>
    <w:p w:rsidR="0021568E" w:rsidRPr="0032099B" w:rsidRDefault="0021568E" w:rsidP="0021568E">
      <w:pPr>
        <w:pStyle w:val="Bodytext21"/>
        <w:numPr>
          <w:ilvl w:val="0"/>
          <w:numId w:val="53"/>
        </w:numPr>
        <w:shd w:val="clear" w:color="auto" w:fill="auto"/>
        <w:tabs>
          <w:tab w:val="left" w:pos="704"/>
        </w:tabs>
        <w:spacing w:before="0" w:line="240" w:lineRule="auto"/>
        <w:ind w:left="380" w:firstLine="0"/>
        <w:jc w:val="both"/>
        <w:rPr>
          <w:sz w:val="24"/>
          <w:szCs w:val="24"/>
        </w:rPr>
      </w:pPr>
      <w:r w:rsidRPr="0032099B">
        <w:rPr>
          <w:sz w:val="24"/>
          <w:szCs w:val="24"/>
        </w:rPr>
        <w:t>Execuţie lucrări structură şi instalaţii la Terminalul multimodal Străuleşti;</w:t>
      </w:r>
    </w:p>
    <w:p w:rsidR="0021568E" w:rsidRPr="0032099B" w:rsidRDefault="0021568E" w:rsidP="0021568E">
      <w:pPr>
        <w:pStyle w:val="Bodytext21"/>
        <w:numPr>
          <w:ilvl w:val="0"/>
          <w:numId w:val="53"/>
        </w:numPr>
        <w:shd w:val="clear" w:color="auto" w:fill="auto"/>
        <w:tabs>
          <w:tab w:val="left" w:pos="704"/>
        </w:tabs>
        <w:spacing w:before="0" w:line="240" w:lineRule="auto"/>
        <w:ind w:left="380" w:firstLine="0"/>
        <w:jc w:val="both"/>
        <w:rPr>
          <w:sz w:val="24"/>
          <w:szCs w:val="24"/>
        </w:rPr>
      </w:pPr>
      <w:r w:rsidRPr="0032099B">
        <w:rPr>
          <w:sz w:val="24"/>
          <w:szCs w:val="24"/>
        </w:rPr>
        <w:t>Lucrări de refaceri suprafeţe.</w:t>
      </w:r>
    </w:p>
    <w:p w:rsidR="0021568E" w:rsidRPr="0032099B" w:rsidRDefault="0021568E" w:rsidP="0021568E">
      <w:pPr>
        <w:pStyle w:val="Bodytext21"/>
        <w:shd w:val="clear" w:color="auto" w:fill="auto"/>
        <w:spacing w:before="0" w:line="240" w:lineRule="auto"/>
        <w:ind w:left="380" w:firstLine="0"/>
        <w:jc w:val="both"/>
        <w:rPr>
          <w:sz w:val="24"/>
          <w:szCs w:val="24"/>
        </w:rPr>
      </w:pPr>
      <w:r w:rsidRPr="0032099B">
        <w:rPr>
          <w:sz w:val="24"/>
          <w:szCs w:val="24"/>
        </w:rPr>
        <w:t>Staţiile de metrou Laminorului şi Străuleşti, au fost date în folosinţă transportului cu călători în luna martie. 2017.</w:t>
      </w:r>
    </w:p>
    <w:p w:rsidR="0021568E" w:rsidRPr="0032099B" w:rsidRDefault="0021568E" w:rsidP="0021568E">
      <w:pPr>
        <w:pStyle w:val="Bodytext90"/>
        <w:shd w:val="clear" w:color="auto" w:fill="auto"/>
        <w:spacing w:line="240" w:lineRule="auto"/>
        <w:ind w:left="380" w:firstLine="0"/>
        <w:rPr>
          <w:sz w:val="24"/>
          <w:szCs w:val="24"/>
        </w:rPr>
      </w:pPr>
      <w:r w:rsidRPr="0032099B">
        <w:rPr>
          <w:sz w:val="24"/>
          <w:szCs w:val="24"/>
        </w:rPr>
        <w:t>Stadiul realizărilor (%) = plăţi efectuate / program; (valorile sunt exprimate în mii lei)</w:t>
      </w:r>
    </w:p>
    <w:p w:rsidR="0021568E" w:rsidRPr="0032099B" w:rsidRDefault="0021568E" w:rsidP="0021568E">
      <w:pPr>
        <w:pStyle w:val="Bodytext21"/>
        <w:shd w:val="clear" w:color="auto" w:fill="auto"/>
        <w:spacing w:before="0" w:line="240" w:lineRule="auto"/>
        <w:ind w:right="5720" w:firstLine="0"/>
        <w:jc w:val="both"/>
        <w:rPr>
          <w:sz w:val="24"/>
          <w:szCs w:val="24"/>
        </w:rPr>
      </w:pPr>
      <w:r w:rsidRPr="0032099B">
        <w:rPr>
          <w:sz w:val="24"/>
          <w:szCs w:val="24"/>
        </w:rPr>
        <w:t xml:space="preserve">Total: 93.366 </w:t>
      </w:r>
      <w:r w:rsidRPr="0032099B">
        <w:rPr>
          <w:rStyle w:val="Bodytext2Italic1"/>
          <w:sz w:val="24"/>
          <w:szCs w:val="24"/>
        </w:rPr>
        <w:t>/</w:t>
      </w:r>
      <w:r w:rsidRPr="0032099B">
        <w:rPr>
          <w:sz w:val="24"/>
          <w:szCs w:val="24"/>
        </w:rPr>
        <w:t xml:space="preserve"> 93.629 (100%) din care 65.439 / 66.816-T 51: 98%;</w:t>
      </w:r>
    </w:p>
    <w:p w:rsidR="0021568E" w:rsidRPr="0032099B" w:rsidRDefault="0021568E" w:rsidP="0021568E">
      <w:pPr>
        <w:pStyle w:val="Bodytext21"/>
        <w:shd w:val="clear" w:color="auto" w:fill="auto"/>
        <w:spacing w:before="0" w:line="240" w:lineRule="auto"/>
        <w:ind w:left="940" w:firstLine="0"/>
        <w:jc w:val="both"/>
        <w:rPr>
          <w:sz w:val="24"/>
          <w:szCs w:val="24"/>
        </w:rPr>
      </w:pPr>
      <w:r w:rsidRPr="0032099B">
        <w:rPr>
          <w:sz w:val="24"/>
          <w:szCs w:val="24"/>
        </w:rPr>
        <w:t>21.412 / 24.548 - T 58 (POIM): 87 %;</w:t>
      </w:r>
    </w:p>
    <w:p w:rsidR="0021568E" w:rsidRPr="0032099B" w:rsidRDefault="0021568E" w:rsidP="0021568E">
      <w:pPr>
        <w:pStyle w:val="Bodytext21"/>
        <w:shd w:val="clear" w:color="auto" w:fill="auto"/>
        <w:spacing w:before="0" w:line="240" w:lineRule="auto"/>
        <w:ind w:left="300" w:right="2360" w:firstLine="0"/>
        <w:jc w:val="both"/>
        <w:rPr>
          <w:sz w:val="24"/>
          <w:szCs w:val="24"/>
        </w:rPr>
      </w:pPr>
      <w:r w:rsidRPr="0032099B">
        <w:rPr>
          <w:rStyle w:val="Bodytext24"/>
          <w:sz w:val="24"/>
          <w:szCs w:val="24"/>
        </w:rPr>
        <w:t>MODERNIZAREA INSTALAŢIILOR PE MAGISTRALELE L 2. 3 SI TRONSONUL DE LEGĂTUR</w:t>
      </w:r>
      <w:r w:rsidRPr="0032099B">
        <w:rPr>
          <w:sz w:val="24"/>
          <w:szCs w:val="24"/>
        </w:rPr>
        <w:t xml:space="preserve">Ă </w:t>
      </w:r>
      <w:r w:rsidRPr="0032099B">
        <w:rPr>
          <w:rStyle w:val="Bodytext24"/>
          <w:sz w:val="24"/>
          <w:szCs w:val="24"/>
        </w:rPr>
        <w:t>DE METROU</w:t>
      </w:r>
    </w:p>
    <w:p w:rsidR="0021568E" w:rsidRPr="0032099B" w:rsidRDefault="0021568E" w:rsidP="0021568E">
      <w:pPr>
        <w:pStyle w:val="Bodytext21"/>
        <w:numPr>
          <w:ilvl w:val="0"/>
          <w:numId w:val="53"/>
        </w:numPr>
        <w:shd w:val="clear" w:color="auto" w:fill="auto"/>
        <w:tabs>
          <w:tab w:val="left" w:pos="704"/>
        </w:tabs>
        <w:spacing w:before="0" w:line="240" w:lineRule="auto"/>
        <w:ind w:left="720" w:hanging="340"/>
        <w:jc w:val="both"/>
        <w:rPr>
          <w:sz w:val="24"/>
          <w:szCs w:val="24"/>
        </w:rPr>
      </w:pPr>
      <w:r w:rsidRPr="0032099B">
        <w:rPr>
          <w:sz w:val="24"/>
          <w:szCs w:val="24"/>
        </w:rPr>
        <w:t>Lucrări de modernizare a instalaţiilor de ventilaţie. Tronson Pe</w:t>
      </w:r>
      <w:r>
        <w:rPr>
          <w:sz w:val="24"/>
          <w:szCs w:val="24"/>
        </w:rPr>
        <w:t>t</w:t>
      </w:r>
      <w:r w:rsidRPr="0032099B">
        <w:rPr>
          <w:sz w:val="24"/>
          <w:szCs w:val="24"/>
        </w:rPr>
        <w:t>rache Poena</w:t>
      </w:r>
      <w:r>
        <w:rPr>
          <w:sz w:val="24"/>
          <w:szCs w:val="24"/>
        </w:rPr>
        <w:t>ru</w:t>
      </w:r>
      <w:r w:rsidRPr="0032099B">
        <w:rPr>
          <w:sz w:val="24"/>
          <w:szCs w:val="24"/>
        </w:rPr>
        <w:t xml:space="preserve"> - Timpuri Noi (6 staţii, 5 interstaţii);</w:t>
      </w:r>
    </w:p>
    <w:p w:rsidR="0021568E" w:rsidRPr="0032099B" w:rsidRDefault="0021568E" w:rsidP="0021568E">
      <w:pPr>
        <w:pStyle w:val="Bodytext21"/>
        <w:numPr>
          <w:ilvl w:val="0"/>
          <w:numId w:val="53"/>
        </w:numPr>
        <w:shd w:val="clear" w:color="auto" w:fill="auto"/>
        <w:tabs>
          <w:tab w:val="left" w:pos="704"/>
        </w:tabs>
        <w:spacing w:before="0" w:line="240" w:lineRule="auto"/>
        <w:ind w:left="380" w:firstLine="0"/>
        <w:jc w:val="both"/>
        <w:rPr>
          <w:sz w:val="24"/>
          <w:szCs w:val="24"/>
        </w:rPr>
      </w:pPr>
      <w:r w:rsidRPr="0032099B">
        <w:rPr>
          <w:sz w:val="24"/>
          <w:szCs w:val="24"/>
        </w:rPr>
        <w:t>Lucrări de modernizare a instalaţiilor de control acces (41 de staţii);</w:t>
      </w:r>
    </w:p>
    <w:p w:rsidR="0021568E" w:rsidRPr="0032099B" w:rsidRDefault="0021568E" w:rsidP="0021568E">
      <w:pPr>
        <w:pStyle w:val="Bodytext21"/>
        <w:numPr>
          <w:ilvl w:val="0"/>
          <w:numId w:val="53"/>
        </w:numPr>
        <w:shd w:val="clear" w:color="auto" w:fill="auto"/>
        <w:tabs>
          <w:tab w:val="left" w:pos="704"/>
        </w:tabs>
        <w:spacing w:before="0" w:line="240" w:lineRule="auto"/>
        <w:ind w:left="380" w:firstLine="0"/>
        <w:jc w:val="both"/>
        <w:rPr>
          <w:sz w:val="24"/>
          <w:szCs w:val="24"/>
        </w:rPr>
      </w:pPr>
      <w:r w:rsidRPr="0032099B">
        <w:rPr>
          <w:sz w:val="24"/>
          <w:szCs w:val="24"/>
        </w:rPr>
        <w:t xml:space="preserve">Demararea procedurii de achiziţie a lucrărilor la calea de rulare pe Magistrala 2 Berceni - Pipera. </w:t>
      </w:r>
      <w:r w:rsidRPr="0032099B">
        <w:rPr>
          <w:rStyle w:val="Bodytext210pt"/>
          <w:sz w:val="24"/>
          <w:szCs w:val="24"/>
        </w:rPr>
        <w:t>Stadiul realizărilor (%) = plăţi efectuate / program; (valorile sunt exprimate în mii lei)</w:t>
      </w:r>
    </w:p>
    <w:p w:rsidR="0021568E" w:rsidRPr="0032099B" w:rsidRDefault="0021568E" w:rsidP="0021568E">
      <w:pPr>
        <w:pStyle w:val="Bodytext21"/>
        <w:shd w:val="clear" w:color="auto" w:fill="auto"/>
        <w:spacing w:before="0" w:line="240" w:lineRule="auto"/>
        <w:ind w:left="380" w:firstLine="0"/>
        <w:jc w:val="both"/>
        <w:rPr>
          <w:sz w:val="24"/>
          <w:szCs w:val="24"/>
        </w:rPr>
      </w:pPr>
      <w:r w:rsidRPr="0032099B">
        <w:rPr>
          <w:sz w:val="24"/>
          <w:szCs w:val="24"/>
        </w:rPr>
        <w:t>Total: 9.271 / 9.277 - T 58 (POEM): 100 %;</w:t>
      </w:r>
    </w:p>
    <w:p w:rsidR="0021568E" w:rsidRPr="0032099B" w:rsidRDefault="0021568E" w:rsidP="0021568E">
      <w:pPr>
        <w:pStyle w:val="Bodytext21"/>
        <w:shd w:val="clear" w:color="auto" w:fill="auto"/>
        <w:spacing w:before="0" w:line="240" w:lineRule="auto"/>
        <w:ind w:left="300" w:firstLine="0"/>
        <w:jc w:val="both"/>
        <w:rPr>
          <w:sz w:val="24"/>
          <w:szCs w:val="24"/>
        </w:rPr>
      </w:pPr>
      <w:r w:rsidRPr="0032099B">
        <w:rPr>
          <w:rStyle w:val="Bodytext24"/>
          <w:sz w:val="24"/>
          <w:szCs w:val="24"/>
        </w:rPr>
        <w:t>MAGISTRALA 5 DRUMUL TABEREI - PANTELIMON.</w:t>
      </w:r>
    </w:p>
    <w:p w:rsidR="0021568E" w:rsidRPr="0032099B" w:rsidRDefault="0021568E" w:rsidP="0021568E">
      <w:pPr>
        <w:pStyle w:val="Bodytext21"/>
        <w:shd w:val="clear" w:color="auto" w:fill="auto"/>
        <w:spacing w:before="0" w:line="240" w:lineRule="auto"/>
        <w:ind w:left="300" w:firstLine="0"/>
        <w:jc w:val="both"/>
        <w:rPr>
          <w:sz w:val="24"/>
          <w:szCs w:val="24"/>
        </w:rPr>
      </w:pPr>
      <w:r w:rsidRPr="0032099B">
        <w:rPr>
          <w:sz w:val="24"/>
          <w:szCs w:val="24"/>
        </w:rPr>
        <w:t>Tronson Drumul Taberei - Universitate. Secţiunea Râul Doamnei - Eroilor.</w:t>
      </w:r>
    </w:p>
    <w:p w:rsidR="0021568E" w:rsidRPr="0032099B" w:rsidRDefault="0021568E" w:rsidP="0021568E">
      <w:pPr>
        <w:pStyle w:val="Bodytext90"/>
        <w:numPr>
          <w:ilvl w:val="0"/>
          <w:numId w:val="53"/>
        </w:numPr>
        <w:shd w:val="clear" w:color="auto" w:fill="auto"/>
        <w:tabs>
          <w:tab w:val="left" w:pos="704"/>
        </w:tabs>
        <w:spacing w:line="240" w:lineRule="auto"/>
        <w:ind w:left="380" w:firstLine="0"/>
        <w:rPr>
          <w:sz w:val="24"/>
          <w:szCs w:val="24"/>
        </w:rPr>
      </w:pPr>
      <w:r w:rsidRPr="0032099B">
        <w:rPr>
          <w:sz w:val="24"/>
          <w:szCs w:val="24"/>
        </w:rPr>
        <w:t>Lucrări de finisaje;</w:t>
      </w:r>
    </w:p>
    <w:p w:rsidR="0021568E" w:rsidRPr="0032099B" w:rsidRDefault="0021568E" w:rsidP="0021568E">
      <w:pPr>
        <w:pStyle w:val="Bodytext90"/>
        <w:numPr>
          <w:ilvl w:val="0"/>
          <w:numId w:val="53"/>
        </w:numPr>
        <w:shd w:val="clear" w:color="auto" w:fill="auto"/>
        <w:tabs>
          <w:tab w:val="left" w:pos="704"/>
        </w:tabs>
        <w:spacing w:line="240" w:lineRule="auto"/>
        <w:ind w:left="380" w:firstLine="0"/>
        <w:rPr>
          <w:sz w:val="24"/>
          <w:szCs w:val="24"/>
        </w:rPr>
      </w:pPr>
      <w:r w:rsidRPr="0032099B">
        <w:rPr>
          <w:sz w:val="24"/>
          <w:szCs w:val="24"/>
        </w:rPr>
        <w:t>Instalaţii generale;</w:t>
      </w:r>
    </w:p>
    <w:p w:rsidR="0021568E" w:rsidRPr="0032099B" w:rsidRDefault="0021568E" w:rsidP="0021568E">
      <w:pPr>
        <w:pStyle w:val="Bodytext90"/>
        <w:numPr>
          <w:ilvl w:val="0"/>
          <w:numId w:val="53"/>
        </w:numPr>
        <w:shd w:val="clear" w:color="auto" w:fill="auto"/>
        <w:tabs>
          <w:tab w:val="left" w:pos="704"/>
        </w:tabs>
        <w:spacing w:line="240" w:lineRule="auto"/>
        <w:ind w:left="380" w:firstLine="0"/>
        <w:rPr>
          <w:sz w:val="24"/>
          <w:szCs w:val="24"/>
        </w:rPr>
      </w:pPr>
      <w:r w:rsidRPr="0032099B">
        <w:rPr>
          <w:sz w:val="24"/>
          <w:szCs w:val="24"/>
        </w:rPr>
        <w:t>Lucrări de refaceri suprafeţe.</w:t>
      </w:r>
    </w:p>
    <w:p w:rsidR="0021568E" w:rsidRPr="0032099B" w:rsidRDefault="0021568E" w:rsidP="0021568E">
      <w:pPr>
        <w:pStyle w:val="Bodytext90"/>
        <w:shd w:val="clear" w:color="auto" w:fill="auto"/>
        <w:spacing w:line="240" w:lineRule="auto"/>
        <w:ind w:left="1200"/>
        <w:rPr>
          <w:sz w:val="24"/>
          <w:szCs w:val="24"/>
        </w:rPr>
      </w:pPr>
      <w:r w:rsidRPr="0032099B">
        <w:rPr>
          <w:sz w:val="24"/>
          <w:szCs w:val="24"/>
        </w:rPr>
        <w:t>Stadiul realizărilor (%) = plăţi efectuate / program; (valorile sunt exprimate în mii lei)</w:t>
      </w:r>
    </w:p>
    <w:p w:rsidR="0021568E" w:rsidRPr="0032099B" w:rsidRDefault="0021568E" w:rsidP="0021568E">
      <w:pPr>
        <w:pStyle w:val="Bodytext21"/>
        <w:shd w:val="clear" w:color="auto" w:fill="auto"/>
        <w:spacing w:before="0" w:line="240" w:lineRule="auto"/>
        <w:ind w:left="1200" w:right="1260" w:hanging="580"/>
        <w:jc w:val="both"/>
        <w:rPr>
          <w:sz w:val="24"/>
          <w:szCs w:val="24"/>
        </w:rPr>
      </w:pPr>
      <w:r w:rsidRPr="0032099B">
        <w:rPr>
          <w:sz w:val="24"/>
          <w:szCs w:val="24"/>
        </w:rPr>
        <w:t xml:space="preserve">Total: </w:t>
      </w:r>
      <w:r w:rsidRPr="0032099B">
        <w:rPr>
          <w:rStyle w:val="Bodytext210pt"/>
          <w:sz w:val="24"/>
          <w:szCs w:val="24"/>
        </w:rPr>
        <w:t xml:space="preserve">241.754 </w:t>
      </w:r>
      <w:r w:rsidRPr="0032099B">
        <w:rPr>
          <w:sz w:val="24"/>
          <w:szCs w:val="24"/>
        </w:rPr>
        <w:t xml:space="preserve">/ </w:t>
      </w:r>
      <w:r w:rsidRPr="0032099B">
        <w:rPr>
          <w:rStyle w:val="Bodytext210pt"/>
          <w:sz w:val="24"/>
          <w:szCs w:val="24"/>
        </w:rPr>
        <w:t xml:space="preserve">277.586 (87 </w:t>
      </w:r>
      <w:r w:rsidRPr="0032099B">
        <w:rPr>
          <w:sz w:val="24"/>
          <w:szCs w:val="24"/>
        </w:rPr>
        <w:t xml:space="preserve">%) </w:t>
      </w:r>
      <w:r w:rsidRPr="0032099B">
        <w:rPr>
          <w:rStyle w:val="Bodytext210pt"/>
          <w:sz w:val="24"/>
          <w:szCs w:val="24"/>
        </w:rPr>
        <w:t xml:space="preserve">din care </w:t>
      </w:r>
      <w:r w:rsidRPr="0032099B">
        <w:rPr>
          <w:sz w:val="24"/>
          <w:szCs w:val="24"/>
        </w:rPr>
        <w:t>3.934 / 41.729 -T 51: 9%;</w:t>
      </w:r>
    </w:p>
    <w:p w:rsidR="0021568E" w:rsidRPr="0021568E" w:rsidRDefault="0021568E" w:rsidP="0021568E">
      <w:pPr>
        <w:pStyle w:val="Bodytext21"/>
        <w:shd w:val="clear" w:color="auto" w:fill="auto"/>
        <w:spacing w:before="0" w:line="240" w:lineRule="auto"/>
        <w:ind w:left="300" w:firstLine="0"/>
        <w:jc w:val="both"/>
        <w:rPr>
          <w:rStyle w:val="Bodytext24"/>
          <w:sz w:val="24"/>
          <w:szCs w:val="24"/>
        </w:rPr>
      </w:pPr>
      <w:r w:rsidRPr="0021568E">
        <w:rPr>
          <w:rStyle w:val="Bodytext24"/>
          <w:sz w:val="24"/>
          <w:szCs w:val="24"/>
        </w:rPr>
        <w:t>MAGISTRALA 5 DRUMUL TABEREI - PANTELIMON</w:t>
      </w:r>
    </w:p>
    <w:p w:rsidR="0021568E" w:rsidRDefault="0021568E" w:rsidP="0021568E">
      <w:pPr>
        <w:jc w:val="both"/>
      </w:pPr>
      <w:r>
        <w:t>Tronson Universitate - Panlclimon. Galeria de legătură, staţia şi depoul Valea Ialomiţei</w:t>
      </w:r>
    </w:p>
    <w:p w:rsidR="0021568E" w:rsidRDefault="0021568E" w:rsidP="0021568E">
      <w:pPr>
        <w:jc w:val="both"/>
      </w:pPr>
      <w:r>
        <w:t>•</w:t>
      </w:r>
      <w:r>
        <w:tab/>
        <w:t>lucrări de finisaje;</w:t>
      </w:r>
    </w:p>
    <w:p w:rsidR="0021568E" w:rsidRDefault="0021568E" w:rsidP="0021568E">
      <w:pPr>
        <w:jc w:val="both"/>
      </w:pPr>
      <w:r>
        <w:t>•</w:t>
      </w:r>
      <w:r>
        <w:tab/>
        <w:t>lucrări de montaj instalaţii;</w:t>
      </w:r>
    </w:p>
    <w:p w:rsidR="0021568E" w:rsidRDefault="0021568E" w:rsidP="0021568E">
      <w:pPr>
        <w:jc w:val="both"/>
      </w:pPr>
      <w:r>
        <w:t>•</w:t>
      </w:r>
      <w:r>
        <w:tab/>
        <w:t>Lucrări dc refaceri suprafeţe.</w:t>
      </w:r>
    </w:p>
    <w:p w:rsidR="0021568E" w:rsidRDefault="0021568E" w:rsidP="0021568E">
      <w:pPr>
        <w:jc w:val="both"/>
      </w:pPr>
      <w:r>
        <w:t>Stadiul realizărilor (%) = plăţi efectuate / program; (valorile sunt exprimate în mii lei)</w:t>
      </w:r>
    </w:p>
    <w:p w:rsidR="0021568E" w:rsidRDefault="0021568E" w:rsidP="0021568E">
      <w:pPr>
        <w:jc w:val="both"/>
      </w:pPr>
      <w:r>
        <w:t>Total: 15.623 i 17.052 (98 %) din care 554/1.396 T 55: 40 %;</w:t>
      </w:r>
    </w:p>
    <w:p w:rsidR="0021568E" w:rsidRDefault="0021568E" w:rsidP="0021568E">
      <w:pPr>
        <w:jc w:val="both"/>
      </w:pPr>
      <w:r>
        <w:t>14.741 / 14.936 - T 58 (POIM): 99 %;</w:t>
      </w:r>
    </w:p>
    <w:p w:rsidR="0021568E" w:rsidRPr="0021568E" w:rsidRDefault="0021568E" w:rsidP="0021568E">
      <w:pPr>
        <w:pStyle w:val="Bodytext21"/>
        <w:shd w:val="clear" w:color="auto" w:fill="auto"/>
        <w:spacing w:before="0" w:line="240" w:lineRule="auto"/>
        <w:ind w:left="300" w:firstLine="0"/>
        <w:jc w:val="both"/>
        <w:rPr>
          <w:rStyle w:val="Bodytext24"/>
          <w:sz w:val="24"/>
          <w:szCs w:val="24"/>
        </w:rPr>
      </w:pPr>
      <w:r w:rsidRPr="0021568E">
        <w:rPr>
          <w:rStyle w:val="Bodytext24"/>
          <w:sz w:val="24"/>
          <w:szCs w:val="24"/>
        </w:rPr>
        <w:t>MAGISTRALA 2 BKRCEN1 - PIPERA</w:t>
      </w:r>
    </w:p>
    <w:p w:rsidR="0021568E" w:rsidRDefault="0021568E" w:rsidP="0021568E">
      <w:pPr>
        <w:jc w:val="both"/>
      </w:pPr>
      <w:r>
        <w:t>Finalizarea procedurii de achiziţie a lucrărilor şi demararea lucrărilor de construire a unui nou acces la staţia de metrou Tineretului.</w:t>
      </w:r>
    </w:p>
    <w:p w:rsidR="0021568E" w:rsidRDefault="0021568E" w:rsidP="0021568E">
      <w:pPr>
        <w:jc w:val="both"/>
      </w:pPr>
      <w:r>
        <w:t>Stadiul realizărilor (%) = plăţi efectuate / program; (valorile sunt exprimate îm mii Iei)</w:t>
      </w:r>
    </w:p>
    <w:p w:rsidR="0021568E" w:rsidRDefault="0021568E" w:rsidP="0021568E">
      <w:pPr>
        <w:jc w:val="both"/>
      </w:pPr>
      <w:r>
        <w:t>Total: 10.435 / 16.561 - T 58 (P.O.I.M.): 63 %</w:t>
      </w:r>
    </w:p>
    <w:p w:rsidR="0021568E" w:rsidRPr="0021568E" w:rsidRDefault="0021568E" w:rsidP="0021568E">
      <w:pPr>
        <w:pStyle w:val="Bodytext21"/>
        <w:shd w:val="clear" w:color="auto" w:fill="auto"/>
        <w:spacing w:before="0" w:line="240" w:lineRule="auto"/>
        <w:ind w:left="300" w:firstLine="0"/>
        <w:jc w:val="both"/>
        <w:rPr>
          <w:rStyle w:val="Bodytext24"/>
          <w:sz w:val="24"/>
          <w:szCs w:val="24"/>
        </w:rPr>
      </w:pPr>
      <w:r w:rsidRPr="0021568E">
        <w:rPr>
          <w:rStyle w:val="Bodytext24"/>
          <w:sz w:val="24"/>
          <w:szCs w:val="24"/>
        </w:rPr>
        <w:t>LEGĂTURA REŢELEI DE METROU CU AEROPORTUL INTERNATIONAL HENRI COANDĂ - OTOPENI</w:t>
      </w:r>
    </w:p>
    <w:p w:rsidR="0021568E" w:rsidRDefault="0021568E" w:rsidP="0021568E">
      <w:pPr>
        <w:jc w:val="both"/>
      </w:pPr>
      <w:r>
        <w:t>•</w:t>
      </w:r>
      <w:r>
        <w:tab/>
        <w:t>A fost întocmită documentaţia de aprobare prin HG a indicatorilor tehnico-economici pentru varianta cu 12 staţii şi 12 trenuri; indicatorii tehnico-economici au fost aprobaţi prin HG 930 / 08.12.2016;</w:t>
      </w:r>
    </w:p>
    <w:p w:rsidR="0021568E" w:rsidRDefault="0021568E" w:rsidP="0021568E">
      <w:pPr>
        <w:jc w:val="both"/>
      </w:pPr>
      <w:r>
        <w:t>•</w:t>
      </w:r>
      <w:r>
        <w:tab/>
        <w:t>A fost întocmită documentaţia de aprobare prin IIG a listei de exproprieri;</w:t>
      </w:r>
    </w:p>
    <w:p w:rsidR="0021568E" w:rsidRDefault="0021568E" w:rsidP="0021568E">
      <w:pPr>
        <w:jc w:val="both"/>
      </w:pPr>
      <w:r>
        <w:t>Stadiul realizărilor (%) = plăţi efectuate / program; (valorile sunt exprimate îm mii lei)</w:t>
      </w:r>
    </w:p>
    <w:p w:rsidR="0021568E" w:rsidRDefault="0021568E" w:rsidP="0021568E">
      <w:pPr>
        <w:jc w:val="both"/>
      </w:pPr>
      <w:r>
        <w:t>Total: 0/ 138.241 -T51:0%</w:t>
      </w:r>
    </w:p>
    <w:p w:rsidR="0021568E" w:rsidRDefault="0021568E" w:rsidP="0021568E">
      <w:pPr>
        <w:jc w:val="both"/>
      </w:pPr>
      <w:r>
        <w:t>Facilităţi pentru accesul persoanelor cu dizabilităţi în reţeaua de metrou</w:t>
      </w:r>
    </w:p>
    <w:p w:rsidR="0021568E" w:rsidRDefault="0021568E" w:rsidP="0021568E">
      <w:pPr>
        <w:jc w:val="both"/>
      </w:pPr>
      <w:r>
        <w:t>Stadiul realizărilor (%) = plăţi efectuate / program; (valorile sunt exprimate îm mii lei)</w:t>
      </w:r>
    </w:p>
    <w:p w:rsidR="0021568E" w:rsidRDefault="0021568E" w:rsidP="0021568E">
      <w:pPr>
        <w:jc w:val="both"/>
      </w:pPr>
      <w:r>
        <w:t>Total: 0</w:t>
      </w:r>
    </w:p>
    <w:p w:rsidR="0021568E" w:rsidRDefault="0021568E" w:rsidP="0021568E">
      <w:pPr>
        <w:jc w:val="both"/>
      </w:pPr>
      <w:r>
        <w:t>Achiziţie 13 trenuri noi de metrou</w:t>
      </w:r>
    </w:p>
    <w:p w:rsidR="0021568E" w:rsidRDefault="0021568E" w:rsidP="0021568E">
      <w:pPr>
        <w:jc w:val="both"/>
      </w:pPr>
      <w:r>
        <w:t>Stadiul realizărilor (%) = plăţi efectuate / program; (valorile sunt exprimate îm mii Iei)</w:t>
      </w:r>
    </w:p>
    <w:p w:rsidR="00082575" w:rsidRDefault="0021568E" w:rsidP="0021568E">
      <w:pPr>
        <w:jc w:val="both"/>
      </w:pPr>
      <w:r>
        <w:lastRenderedPageBreak/>
        <w:t>Total: 94/ 96 -T 65: 98 %;</w:t>
      </w:r>
    </w:p>
    <w:p w:rsidR="006B07BE" w:rsidRDefault="006B07BE" w:rsidP="00A77970">
      <w:pPr>
        <w:jc w:val="both"/>
      </w:pPr>
    </w:p>
    <w:p w:rsidR="006B07BE" w:rsidRPr="00E64932" w:rsidRDefault="006B07BE" w:rsidP="006B07BE">
      <w:pPr>
        <w:pStyle w:val="Listparagraf1"/>
        <w:spacing w:after="0" w:line="240" w:lineRule="auto"/>
        <w:ind w:left="0"/>
        <w:jc w:val="both"/>
        <w:rPr>
          <w:rFonts w:ascii="Times New Roman" w:hAnsi="Times New Roman"/>
          <w:b/>
          <w:sz w:val="24"/>
          <w:szCs w:val="24"/>
        </w:rPr>
      </w:pPr>
      <w:r w:rsidRPr="00E64932">
        <w:rPr>
          <w:rFonts w:ascii="Times New Roman" w:hAnsi="Times New Roman"/>
          <w:b/>
          <w:sz w:val="24"/>
          <w:szCs w:val="24"/>
        </w:rPr>
        <w:t>P.M.B. – Direcţia Investiţii</w:t>
      </w:r>
    </w:p>
    <w:p w:rsidR="006B07BE" w:rsidRPr="00E64932" w:rsidRDefault="006B07BE" w:rsidP="006B07BE">
      <w:pPr>
        <w:pStyle w:val="Listparagraf1"/>
        <w:spacing w:after="0" w:line="240" w:lineRule="auto"/>
        <w:ind w:left="0"/>
        <w:jc w:val="both"/>
        <w:rPr>
          <w:rFonts w:ascii="Times New Roman" w:hAnsi="Times New Roman"/>
          <w:color w:val="FF0000"/>
          <w:sz w:val="24"/>
          <w:szCs w:val="24"/>
        </w:rPr>
      </w:pPr>
    </w:p>
    <w:p w:rsidR="006B07BE" w:rsidRPr="00E64932" w:rsidRDefault="006B07BE" w:rsidP="006B07BE">
      <w:pPr>
        <w:pStyle w:val="Listparagraf1"/>
        <w:spacing w:after="0" w:line="240" w:lineRule="auto"/>
        <w:ind w:left="0"/>
        <w:jc w:val="both"/>
        <w:rPr>
          <w:rFonts w:ascii="Times New Roman" w:hAnsi="Times New Roman"/>
          <w:b/>
          <w:sz w:val="24"/>
          <w:szCs w:val="24"/>
          <w:lang w:val="it-IT"/>
        </w:rPr>
      </w:pPr>
      <w:r w:rsidRPr="00E64932">
        <w:rPr>
          <w:rFonts w:ascii="Times New Roman" w:hAnsi="Times New Roman"/>
          <w:b/>
          <w:sz w:val="24"/>
          <w:szCs w:val="24"/>
        </w:rPr>
        <w:t xml:space="preserve">► </w:t>
      </w:r>
      <w:r w:rsidRPr="00E64932">
        <w:rPr>
          <w:rFonts w:ascii="Times New Roman" w:hAnsi="Times New Roman"/>
          <w:b/>
          <w:sz w:val="24"/>
          <w:szCs w:val="24"/>
          <w:lang w:val="it-IT"/>
        </w:rPr>
        <w:t>Consolidarea unor policlinici din municipiul Bucureşti</w:t>
      </w:r>
    </w:p>
    <w:p w:rsidR="006B07BE" w:rsidRPr="00E64932" w:rsidRDefault="006B07BE" w:rsidP="006B07BE">
      <w:pPr>
        <w:pStyle w:val="Listparagraf1"/>
        <w:spacing w:after="0" w:line="240" w:lineRule="auto"/>
        <w:ind w:left="0" w:firstLine="720"/>
        <w:jc w:val="both"/>
        <w:rPr>
          <w:rFonts w:ascii="Times New Roman" w:hAnsi="Times New Roman"/>
          <w:b/>
          <w:sz w:val="24"/>
          <w:szCs w:val="24"/>
        </w:rPr>
      </w:pPr>
      <w:r w:rsidRPr="00E64932">
        <w:rPr>
          <w:rFonts w:ascii="Times New Roman" w:hAnsi="Times New Roman"/>
          <w:sz w:val="24"/>
          <w:szCs w:val="24"/>
          <w:lang w:val="it-IT"/>
        </w:rPr>
        <w:t>Obiectivul urmărit constă în expertizarea structurii clădirilor aflate în proprietatea municipalităţii, în vederea consolidării acestora. În aceste clădiri funcţionează cabinete medicale care au contracte de concesiune sau contracte de vanzare-cumpărare (conform HCGMB nr.297/29.08.2008) cu Municipiul Bucureşti. Medicii titulari ai cabinetelor au formulat solicitări pentru expertizarea structurii clădirilor, în vederea consolidării acestora.</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Pe parcursul anului 2018, au fost întreprinse acțiuni pentru consolidarea Policlinicii 11 Iunie din str. Poiana Florilor nr. 4, sector 4 şi Policlinicii Iancului din Şos. Iancului nr. 3, sector 2, după cum urmează:</w:t>
      </w:r>
    </w:p>
    <w:p w:rsidR="006B07BE" w:rsidRPr="00E64932" w:rsidRDefault="006B07BE" w:rsidP="00980D72">
      <w:pPr>
        <w:pStyle w:val="Listparagraf1"/>
        <w:numPr>
          <w:ilvl w:val="1"/>
          <w:numId w:val="33"/>
        </w:numPr>
        <w:spacing w:after="0" w:line="240" w:lineRule="auto"/>
        <w:ind w:left="0" w:firstLine="0"/>
        <w:jc w:val="both"/>
        <w:rPr>
          <w:rFonts w:ascii="Times New Roman" w:hAnsi="Times New Roman"/>
          <w:sz w:val="24"/>
          <w:szCs w:val="24"/>
        </w:rPr>
      </w:pPr>
      <w:r w:rsidRPr="00E64932">
        <w:rPr>
          <w:rFonts w:ascii="Times New Roman" w:hAnsi="Times New Roman"/>
          <w:sz w:val="24"/>
          <w:szCs w:val="24"/>
        </w:rPr>
        <w:t>au fost întocmite și aprobate Temele de proiectare, Notele conceptuale, Referatele de necesitate. S-au constituit dosarele achiziției (caiete de sarcini și draft-ul de contract) și s-au transmis în data de 12.06.2018 la Direcția Generală Achiziții Publice în vederea demarării procedurii de achiziție publică-procedură simplificată, pentru atribuirea serviciilor de Expertiză+DALI+PT+DTAC+ DE+AT.  Procedura a fost ridicată în SICAP, dar nu s-a depus nicio ofertă. Ca atare, procedura a fost anulată.</w:t>
      </w:r>
    </w:p>
    <w:p w:rsidR="006B07BE" w:rsidRPr="00E64932" w:rsidRDefault="006B07BE" w:rsidP="00980D72">
      <w:pPr>
        <w:pStyle w:val="Listparagraf1"/>
        <w:numPr>
          <w:ilvl w:val="1"/>
          <w:numId w:val="33"/>
        </w:numPr>
        <w:spacing w:after="0" w:line="240" w:lineRule="auto"/>
        <w:ind w:left="0" w:firstLine="0"/>
        <w:jc w:val="both"/>
        <w:rPr>
          <w:rFonts w:ascii="Times New Roman" w:hAnsi="Times New Roman"/>
          <w:sz w:val="24"/>
          <w:szCs w:val="24"/>
        </w:rPr>
      </w:pPr>
      <w:r w:rsidRPr="00E64932">
        <w:rPr>
          <w:rFonts w:ascii="Times New Roman" w:hAnsi="Times New Roman"/>
          <w:sz w:val="24"/>
          <w:szCs w:val="24"/>
        </w:rPr>
        <w:t>la data de 18.09.2018 s-a solicitat consultarea pieții, însă, pană la termenul limită - 26.09.2018, nu s-a primit răspuns.</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Ținand seama de cele de mai sus, se va demara procedura pentru atribuirea serviciilor (expertiză și DALI) </w:t>
      </w:r>
      <w:r w:rsidRPr="00E64932">
        <w:rPr>
          <w:rFonts w:ascii="Times New Roman" w:hAnsi="Times New Roman"/>
          <w:sz w:val="24"/>
          <w:szCs w:val="24"/>
          <w:lang w:val="es-ES"/>
        </w:rPr>
        <w:t xml:space="preserve">pe Normă internă, </w:t>
      </w:r>
      <w:r w:rsidRPr="00E64932">
        <w:rPr>
          <w:rFonts w:ascii="Times New Roman" w:hAnsi="Times New Roman"/>
          <w:sz w:val="24"/>
          <w:szCs w:val="24"/>
        </w:rPr>
        <w:t>conform H.C.G.M.B. nr.130/28.03.2018.</w:t>
      </w:r>
    </w:p>
    <w:p w:rsidR="006B07BE" w:rsidRPr="00E64932" w:rsidRDefault="006B07BE" w:rsidP="006B07BE">
      <w:pPr>
        <w:pStyle w:val="Listparagraf1"/>
        <w:spacing w:after="0" w:line="240" w:lineRule="auto"/>
        <w:ind w:left="0" w:firstLine="720"/>
        <w:jc w:val="both"/>
        <w:rPr>
          <w:rFonts w:ascii="Times New Roman" w:hAnsi="Times New Roman"/>
          <w:color w:val="FF0000"/>
          <w:sz w:val="24"/>
          <w:szCs w:val="24"/>
        </w:rPr>
      </w:pPr>
      <w:r w:rsidRPr="00E64932">
        <w:rPr>
          <w:rFonts w:ascii="Times New Roman" w:hAnsi="Times New Roman"/>
          <w:sz w:val="24"/>
          <w:szCs w:val="24"/>
        </w:rPr>
        <w:t>Pentru Policlinica Iancului s-a obținut Certificatul de urbanism nr.2030/1677986/06.12.2018, iar pentru Policlinica 11 Iunie, s-a depus la Direcția Urbanism din cadrul Primăriei Municipiului București, cererea nr.678100/07.11.2018 în vederea obținerii certificatului de urbanism.</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Pentru Policlinica Titan au avut loc o serie de întalniri cu medicii care au in concesiune / sunt proprietari ai cabinetelor medicale, în vederea demarării lucrărilor de consolidare. De asemenea, pe rolul instanței se afla un proces in desfasurare, in care Municipiul Bucuresti este pâratul, iar cabinetele individuale, reclamanții. Instanța a hotărât efectuarea unei expertize tehnice de către un expert independent, in prezent, expertiza tehnica fiind in lucru.</w:t>
      </w:r>
    </w:p>
    <w:p w:rsidR="006B07BE" w:rsidRPr="00E64932" w:rsidRDefault="006B07BE" w:rsidP="006B07BE">
      <w:pPr>
        <w:pStyle w:val="Listparagraf1"/>
        <w:spacing w:after="0" w:line="240" w:lineRule="auto"/>
        <w:ind w:left="0"/>
        <w:jc w:val="both"/>
        <w:rPr>
          <w:rFonts w:ascii="Times New Roman" w:hAnsi="Times New Roman"/>
          <w:color w:val="FF0000"/>
          <w:sz w:val="24"/>
          <w:szCs w:val="24"/>
        </w:rPr>
      </w:pPr>
    </w:p>
    <w:p w:rsidR="006B07BE" w:rsidRPr="00E64932" w:rsidRDefault="006B07BE" w:rsidP="006B07BE">
      <w:pPr>
        <w:pStyle w:val="Listparagraf1"/>
        <w:spacing w:after="0" w:line="240" w:lineRule="auto"/>
        <w:ind w:left="0"/>
        <w:jc w:val="both"/>
        <w:rPr>
          <w:rFonts w:ascii="Times New Roman" w:hAnsi="Times New Roman"/>
          <w:b/>
          <w:sz w:val="24"/>
          <w:szCs w:val="24"/>
        </w:rPr>
      </w:pPr>
      <w:r w:rsidRPr="00E64932">
        <w:rPr>
          <w:rFonts w:ascii="Times New Roman" w:hAnsi="Times New Roman"/>
          <w:b/>
          <w:sz w:val="24"/>
          <w:szCs w:val="24"/>
        </w:rPr>
        <w:t>► Construirea Spitalului Metropolitan</w:t>
      </w:r>
    </w:p>
    <w:p w:rsidR="006B07BE" w:rsidRPr="00E64932" w:rsidRDefault="006B07BE" w:rsidP="006B07BE">
      <w:pPr>
        <w:pStyle w:val="Listparagraf1"/>
        <w:spacing w:after="0" w:line="240" w:lineRule="auto"/>
        <w:ind w:left="0"/>
        <w:jc w:val="both"/>
        <w:rPr>
          <w:rFonts w:ascii="Times New Roman" w:hAnsi="Times New Roman"/>
          <w:sz w:val="24"/>
          <w:szCs w:val="24"/>
          <w:lang w:val="pt-BR"/>
        </w:rPr>
      </w:pPr>
      <w:r w:rsidRPr="00E64932">
        <w:rPr>
          <w:rFonts w:ascii="Times New Roman" w:hAnsi="Times New Roman"/>
          <w:color w:val="FF0000"/>
          <w:sz w:val="24"/>
          <w:szCs w:val="24"/>
        </w:rPr>
        <w:tab/>
      </w:r>
      <w:r w:rsidRPr="00E64932">
        <w:rPr>
          <w:rFonts w:ascii="Times New Roman" w:hAnsi="Times New Roman"/>
          <w:sz w:val="24"/>
          <w:szCs w:val="24"/>
        </w:rPr>
        <w:t xml:space="preserve">Obiectivul urmărit constă în </w:t>
      </w:r>
      <w:r w:rsidRPr="00E64932">
        <w:rPr>
          <w:rStyle w:val="Strong"/>
          <w:rFonts w:ascii="Times New Roman" w:hAnsi="Times New Roman"/>
          <w:b w:val="0"/>
          <w:sz w:val="24"/>
          <w:szCs w:val="24"/>
          <w:lang w:val="pt-BR"/>
        </w:rPr>
        <w:t>construirea unui spital metropolitan</w:t>
      </w:r>
      <w:r w:rsidRPr="00E64932">
        <w:rPr>
          <w:rStyle w:val="apple-converted-space"/>
          <w:rFonts w:ascii="Times New Roman" w:hAnsi="Times New Roman"/>
          <w:bCs/>
          <w:sz w:val="24"/>
          <w:szCs w:val="24"/>
          <w:lang w:val="pt-BR"/>
        </w:rPr>
        <w:t> </w:t>
      </w:r>
      <w:r w:rsidRPr="00E64932">
        <w:rPr>
          <w:rFonts w:ascii="Times New Roman" w:hAnsi="Times New Roman"/>
          <w:sz w:val="24"/>
          <w:szCs w:val="24"/>
          <w:lang w:val="pt-BR"/>
        </w:rPr>
        <w:t>ultramodern, conform standardelor europene, cu aproximativ 2000 de paturi, care să asigure asistenţă medicală, în special pentru cazurile care necesită o abordare multidisciplinară.</w:t>
      </w:r>
    </w:p>
    <w:p w:rsidR="006B07BE" w:rsidRPr="00E64932" w:rsidRDefault="006B07BE" w:rsidP="006B07BE">
      <w:pPr>
        <w:pStyle w:val="Listparagraf1"/>
        <w:spacing w:after="0" w:line="240" w:lineRule="auto"/>
        <w:ind w:left="0"/>
        <w:jc w:val="both"/>
        <w:rPr>
          <w:rFonts w:ascii="Times New Roman" w:hAnsi="Times New Roman"/>
          <w:sz w:val="24"/>
          <w:szCs w:val="24"/>
        </w:rPr>
      </w:pPr>
      <w:r w:rsidRPr="00E64932">
        <w:rPr>
          <w:rFonts w:ascii="Times New Roman" w:hAnsi="Times New Roman"/>
          <w:color w:val="FF0000"/>
          <w:sz w:val="24"/>
          <w:szCs w:val="24"/>
          <w:lang w:val="pt-BR"/>
        </w:rPr>
        <w:tab/>
      </w:r>
      <w:r w:rsidR="007218B3">
        <w:rPr>
          <w:rFonts w:ascii="Times New Roman" w:hAnsi="Times New Roman"/>
          <w:sz w:val="24"/>
          <w:szCs w:val="24"/>
        </w:rPr>
        <w:t>Prin HCGMB nr.295/19.07.</w:t>
      </w:r>
      <w:r w:rsidRPr="00E64932">
        <w:rPr>
          <w:rFonts w:ascii="Times New Roman" w:hAnsi="Times New Roman"/>
          <w:sz w:val="24"/>
          <w:szCs w:val="24"/>
        </w:rPr>
        <w:t xml:space="preserve">2017 s-a făcut solicitare către Guvernul României în vederea transmiterii imobilului situat în Şos.Pipera nr.63-65, sector 2, din domeniul public al statului şi administrarea Societăţii Române de Televiziune, în domeniul public al Municipiului București şi administrarea CGMB. </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Prin Dispoziția Primarului General nr.768/08.05.2018, s-a constituit comisia municipală pentru preluarea imobilului situat în Șos.Pipera nr.63-65, sector 2. Au fost întocmite Procesul verbal de predare-primire nr.9547/25.05.20918-PMB și nr.C/379/25.05.2018-SRT și Protocolul de predare-primire nr.3562/25.05.2018-PMB și nr.C/380/25.05.2018.</w:t>
      </w:r>
    </w:p>
    <w:p w:rsidR="006B07BE" w:rsidRPr="00E64932" w:rsidRDefault="006B07BE" w:rsidP="006B07BE">
      <w:pPr>
        <w:pStyle w:val="Listparagraf1"/>
        <w:spacing w:after="0" w:line="240" w:lineRule="auto"/>
        <w:ind w:left="0" w:firstLine="720"/>
        <w:jc w:val="both"/>
        <w:rPr>
          <w:rFonts w:ascii="Times New Roman" w:eastAsia="Calibri" w:hAnsi="Times New Roman"/>
          <w:sz w:val="24"/>
          <w:szCs w:val="24"/>
        </w:rPr>
      </w:pPr>
      <w:r w:rsidRPr="00E64932">
        <w:rPr>
          <w:rFonts w:ascii="Times New Roman" w:eastAsia="Calibri" w:hAnsi="Times New Roman"/>
          <w:sz w:val="24"/>
          <w:szCs w:val="24"/>
        </w:rPr>
        <w:t xml:space="preserve">Conform HCGMB nr.26/22.02.2018, s-a preluat din administrarea RATB în administrarea directă a CGMB, imobilul din Şos.Pipera nr.55, sector 2 în vederea realizării obiectivului de investiții. </w:t>
      </w:r>
    </w:p>
    <w:p w:rsidR="006B07BE" w:rsidRPr="00E64932" w:rsidRDefault="006B07BE" w:rsidP="006B07BE">
      <w:pPr>
        <w:pStyle w:val="Listparagraf1"/>
        <w:spacing w:after="0" w:line="240" w:lineRule="auto"/>
        <w:ind w:left="0" w:firstLine="720"/>
        <w:jc w:val="both"/>
        <w:rPr>
          <w:rFonts w:ascii="Times New Roman" w:eastAsia="Calibri" w:hAnsi="Times New Roman"/>
          <w:sz w:val="24"/>
          <w:szCs w:val="24"/>
        </w:rPr>
      </w:pPr>
      <w:r w:rsidRPr="00E64932">
        <w:rPr>
          <w:rFonts w:ascii="Times New Roman" w:hAnsi="Times New Roman"/>
          <w:sz w:val="24"/>
          <w:szCs w:val="24"/>
        </w:rPr>
        <w:t xml:space="preserve">S-au obţinut certificatele de urbanism de </w:t>
      </w:r>
      <w:smartTag w:uri="urn:schemas-microsoft-com:office:smarttags" w:element="PersonName">
        <w:smartTagPr>
          <w:attr w:name="ProductID" w:val="la Primăria Sectorului"/>
        </w:smartTagPr>
        <w:r w:rsidRPr="00E64932">
          <w:rPr>
            <w:rFonts w:ascii="Times New Roman" w:hAnsi="Times New Roman"/>
            <w:sz w:val="24"/>
            <w:szCs w:val="24"/>
          </w:rPr>
          <w:t>la Primăria Sectorului</w:t>
        </w:r>
      </w:smartTag>
      <w:r w:rsidRPr="00E64932">
        <w:rPr>
          <w:rFonts w:ascii="Times New Roman" w:hAnsi="Times New Roman"/>
          <w:sz w:val="24"/>
          <w:szCs w:val="24"/>
        </w:rPr>
        <w:t xml:space="preserve"> 2, pentru cele două amplasamente; s</w:t>
      </w:r>
      <w:r w:rsidRPr="00E64932">
        <w:rPr>
          <w:rFonts w:ascii="Times New Roman" w:eastAsia="Calibri" w:hAnsi="Times New Roman"/>
          <w:sz w:val="24"/>
          <w:szCs w:val="24"/>
        </w:rPr>
        <w:t>-a întocmit documentatia cadastrală în vederea alipirii celor două amplasamente cu scopul realizării lucrărilor de construire, urmand înscrierea dreptului de proprietate în Cartea Funciară. S-a obținut certificatul de urbanism nr.901/101P/22.06.2018 pentru întreaga suprafață.</w:t>
      </w:r>
    </w:p>
    <w:p w:rsidR="006B07BE" w:rsidRPr="00E64932" w:rsidRDefault="006B07BE" w:rsidP="006B07BE">
      <w:pPr>
        <w:pStyle w:val="Listparagraf1"/>
        <w:spacing w:after="0" w:line="240" w:lineRule="auto"/>
        <w:ind w:left="0"/>
        <w:jc w:val="both"/>
        <w:rPr>
          <w:rFonts w:ascii="Times New Roman" w:hAnsi="Times New Roman"/>
          <w:color w:val="FF0000"/>
          <w:sz w:val="24"/>
          <w:szCs w:val="24"/>
        </w:rPr>
      </w:pPr>
    </w:p>
    <w:p w:rsidR="006B07BE" w:rsidRPr="00E64932" w:rsidRDefault="006B07BE" w:rsidP="006B07BE">
      <w:pPr>
        <w:pStyle w:val="Listparagraf1"/>
        <w:spacing w:after="0" w:line="240" w:lineRule="auto"/>
        <w:ind w:left="0"/>
        <w:jc w:val="both"/>
        <w:rPr>
          <w:rFonts w:ascii="Times New Roman" w:hAnsi="Times New Roman"/>
          <w:color w:val="FF0000"/>
          <w:sz w:val="24"/>
          <w:szCs w:val="24"/>
        </w:rPr>
      </w:pPr>
      <w:r w:rsidRPr="00E64932">
        <w:rPr>
          <w:rFonts w:ascii="Times New Roman" w:hAnsi="Times New Roman"/>
          <w:b/>
          <w:sz w:val="24"/>
          <w:szCs w:val="24"/>
        </w:rPr>
        <w:lastRenderedPageBreak/>
        <w:t>► Reabilitare unități medicale</w:t>
      </w:r>
    </w:p>
    <w:p w:rsidR="006B07BE" w:rsidRPr="00E64932" w:rsidRDefault="006B07BE" w:rsidP="006B07BE">
      <w:pPr>
        <w:pStyle w:val="Listparagraf1"/>
        <w:spacing w:after="0" w:line="240" w:lineRule="auto"/>
        <w:ind w:left="0"/>
        <w:jc w:val="both"/>
        <w:rPr>
          <w:rFonts w:ascii="Times New Roman" w:hAnsi="Times New Roman"/>
          <w:sz w:val="24"/>
          <w:szCs w:val="24"/>
        </w:rPr>
      </w:pPr>
      <w:r w:rsidRPr="00E64932">
        <w:rPr>
          <w:rFonts w:ascii="Times New Roman" w:hAnsi="Times New Roman"/>
          <w:b/>
          <w:sz w:val="24"/>
          <w:szCs w:val="24"/>
        </w:rPr>
        <w:t xml:space="preserve">   ● Reabilitare Corp A + Corp B Maternitatea Bucur secţia internă a Spitalului Clinic de Urgenţă Sfântul Ioan  Bucureşti</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Proiectul propune consolidarea și reabilitarea imobilului pentru încadrarea acestuia în prescripțiile legale în vigoare. </w:t>
      </w:r>
    </w:p>
    <w:p w:rsidR="006B07BE" w:rsidRPr="00E64932" w:rsidRDefault="006B07BE" w:rsidP="006B07BE">
      <w:pPr>
        <w:pStyle w:val="Listparagraf1"/>
        <w:spacing w:after="0" w:line="240" w:lineRule="auto"/>
        <w:ind w:left="0" w:firstLine="720"/>
        <w:jc w:val="both"/>
        <w:rPr>
          <w:rFonts w:ascii="Times New Roman" w:hAnsi="Times New Roman"/>
          <w:color w:val="000000"/>
          <w:sz w:val="24"/>
          <w:szCs w:val="24"/>
        </w:rPr>
      </w:pPr>
      <w:r w:rsidRPr="00E64932">
        <w:rPr>
          <w:rFonts w:ascii="Times New Roman" w:hAnsi="Times New Roman"/>
          <w:color w:val="000000"/>
          <w:sz w:val="24"/>
          <w:szCs w:val="24"/>
        </w:rPr>
        <w:t xml:space="preserve">Consiliul General al Municipiului București a emis Hotărârea nr. 32/22.02.2018 prin care s-au aprobat indicatorii tehnico - economici aferenți obiectivului de investiții „Reabilitare Corp A și Corp B, Maternitatea Bucur, secția internă a Spitalului Clinic de Urgență Sf. Ioan București”. </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Indicatorii tehnico-economici au fost actualizați prin Hotărarea Consiliului General al Municipiului București nr.600/26.09.2018.</w:t>
      </w:r>
      <w:r w:rsidRPr="00E64932">
        <w:rPr>
          <w:rFonts w:ascii="Times New Roman" w:hAnsi="Times New Roman"/>
          <w:color w:val="FF0000"/>
          <w:sz w:val="24"/>
          <w:szCs w:val="24"/>
        </w:rPr>
        <w:t xml:space="preserve"> </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Conform expertizelor tehnice efectuate se pot concluziona urmatoarele: structurile clădirilor în stadiul actuat au deplasări de nivel mai mari decât cele admisibile pentru o structură de rezistență proiectată conform prescripțiilor tehnice in vigoare; cerințele de rezistență locală nu sunt satisfacute; zonele critice au fost necorespunzator asigurate.</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Pentru corpul din Str.Bucur nr.10 s-a obţinut certificatul de urbanism de </w:t>
      </w:r>
      <w:smartTag w:uri="urn:schemas-microsoft-com:office:smarttags" w:element="PersonName">
        <w:smartTagPr>
          <w:attr w:name="ProductID" w:val="la Primăria"/>
        </w:smartTagPr>
        <w:r w:rsidRPr="00E64932">
          <w:rPr>
            <w:rFonts w:ascii="Times New Roman" w:hAnsi="Times New Roman"/>
            <w:sz w:val="24"/>
            <w:szCs w:val="24"/>
          </w:rPr>
          <w:t>la Primăria</w:t>
        </w:r>
      </w:smartTag>
      <w:r w:rsidRPr="00E64932">
        <w:rPr>
          <w:rFonts w:ascii="Times New Roman" w:hAnsi="Times New Roman"/>
          <w:sz w:val="24"/>
          <w:szCs w:val="24"/>
        </w:rPr>
        <w:t xml:space="preserve"> sectorului 4. Pentru corpul din Str.Bucur nr.19 s-a solicitat certificat de urbanism </w:t>
      </w:r>
      <w:smartTag w:uri="urn:schemas-microsoft-com:office:smarttags" w:element="PersonName">
        <w:smartTagPr>
          <w:attr w:name="ProductID" w:val="la PMB"/>
        </w:smartTagPr>
        <w:r w:rsidRPr="00E64932">
          <w:rPr>
            <w:rFonts w:ascii="Times New Roman" w:hAnsi="Times New Roman"/>
            <w:sz w:val="24"/>
            <w:szCs w:val="24"/>
          </w:rPr>
          <w:t>la PMB</w:t>
        </w:r>
      </w:smartTag>
      <w:r w:rsidRPr="00E64932">
        <w:rPr>
          <w:rFonts w:ascii="Times New Roman" w:hAnsi="Times New Roman"/>
          <w:sz w:val="24"/>
          <w:szCs w:val="24"/>
        </w:rPr>
        <w:t>, fiind amplasat în zonă protejată.</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Au fost pregătite documentațiile necesare demarării procedurii de achiziție de servicii privind elaborarea documentație tehnice faza PT+DE+PAC+AT și execuție.</w:t>
      </w:r>
    </w:p>
    <w:p w:rsidR="006B07BE" w:rsidRDefault="006B07BE" w:rsidP="006B07BE">
      <w:pPr>
        <w:jc w:val="both"/>
      </w:pPr>
      <w:r w:rsidRPr="00E64932">
        <w:t>Valoarea totală a investiției este de 130.310.217,41 lei, fără TVA, din care, lucrări de construcții – montaj: 48.578.505,40 lei, fără TVA.</w:t>
      </w:r>
    </w:p>
    <w:p w:rsidR="006B07BE" w:rsidRDefault="006B07BE" w:rsidP="00A77970">
      <w:pPr>
        <w:jc w:val="both"/>
      </w:pPr>
    </w:p>
    <w:p w:rsidR="006B07BE" w:rsidRPr="00E64932" w:rsidRDefault="00082575" w:rsidP="006B07BE">
      <w:pPr>
        <w:pStyle w:val="ListParagraph"/>
        <w:ind w:left="0"/>
        <w:jc w:val="both"/>
        <w:rPr>
          <w:b/>
        </w:rPr>
      </w:pPr>
      <w:r>
        <w:tab/>
      </w:r>
      <w:r w:rsidR="006B07BE" w:rsidRPr="00E64932">
        <w:rPr>
          <w:b/>
        </w:rPr>
        <w:t>P.M.B. – Direcţia Generală Investiţii</w:t>
      </w:r>
    </w:p>
    <w:p w:rsidR="006B07BE" w:rsidRPr="00E64932" w:rsidRDefault="006B07BE" w:rsidP="006B07BE">
      <w:pPr>
        <w:pStyle w:val="Listparagraf1"/>
        <w:spacing w:after="0" w:line="240" w:lineRule="auto"/>
        <w:ind w:left="0"/>
        <w:jc w:val="both"/>
        <w:rPr>
          <w:rFonts w:ascii="Times New Roman" w:hAnsi="Times New Roman"/>
          <w:sz w:val="24"/>
          <w:szCs w:val="24"/>
        </w:rPr>
      </w:pPr>
      <w:r w:rsidRPr="00E64932">
        <w:rPr>
          <w:rFonts w:ascii="Times New Roman" w:hAnsi="Times New Roman"/>
          <w:sz w:val="24"/>
          <w:szCs w:val="24"/>
        </w:rPr>
        <w:tab/>
        <w:t>Prin îndeplinirea măsurilor asumate în domeniul educaţiei, se ating obiectivele propuse de către municipalitate, respectiv, îmbunătăţirea calităţii infrastructurii educaţionale din Bucureşti şi totodată, îmbunătăţirea calităţii procesului educaţional.</w:t>
      </w:r>
    </w:p>
    <w:p w:rsidR="006B07BE" w:rsidRPr="00E64932" w:rsidRDefault="006B07BE" w:rsidP="006B07BE">
      <w:pPr>
        <w:pStyle w:val="Listparagraf1"/>
        <w:spacing w:after="0" w:line="240" w:lineRule="auto"/>
        <w:ind w:left="0"/>
        <w:jc w:val="both"/>
        <w:rPr>
          <w:rFonts w:ascii="Times New Roman" w:hAnsi="Times New Roman"/>
          <w:sz w:val="24"/>
          <w:szCs w:val="24"/>
        </w:rPr>
      </w:pPr>
    </w:p>
    <w:p w:rsidR="006B07BE" w:rsidRPr="00E64932" w:rsidRDefault="006B07BE" w:rsidP="006B07BE">
      <w:pPr>
        <w:pStyle w:val="Listparagraf1"/>
        <w:spacing w:after="0" w:line="240" w:lineRule="auto"/>
        <w:ind w:left="0"/>
        <w:jc w:val="both"/>
        <w:rPr>
          <w:rFonts w:ascii="Times New Roman" w:hAnsi="Times New Roman"/>
          <w:b/>
          <w:sz w:val="24"/>
          <w:szCs w:val="24"/>
        </w:rPr>
      </w:pPr>
      <w:r w:rsidRPr="00E64932">
        <w:rPr>
          <w:rFonts w:ascii="Times New Roman" w:hAnsi="Times New Roman"/>
          <w:b/>
          <w:sz w:val="24"/>
          <w:szCs w:val="24"/>
        </w:rPr>
        <w:t>► Construire Complexe multifuncţionale pentru activităţi didactice şi sport</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Construire 7 Complexe multifuncţionale pentru activităţi didactice şi sport în sectorul 3 al capitalei, în incinta şcolilor deja existente.</w:t>
      </w:r>
    </w:p>
    <w:p w:rsidR="006B07BE" w:rsidRPr="00E64932" w:rsidRDefault="006B07BE" w:rsidP="006B07BE">
      <w:pPr>
        <w:pStyle w:val="Listparagraf1"/>
        <w:spacing w:after="0" w:line="240" w:lineRule="auto"/>
        <w:ind w:left="0"/>
        <w:jc w:val="both"/>
        <w:rPr>
          <w:rFonts w:ascii="Times New Roman" w:hAnsi="Times New Roman"/>
          <w:b/>
          <w:sz w:val="24"/>
          <w:szCs w:val="24"/>
        </w:rPr>
      </w:pPr>
      <w:r w:rsidRPr="00E64932">
        <w:rPr>
          <w:rFonts w:ascii="Times New Roman" w:hAnsi="Times New Roman"/>
          <w:b/>
          <w:sz w:val="24"/>
          <w:szCs w:val="24"/>
        </w:rPr>
        <w:t xml:space="preserve">   ●</w:t>
      </w:r>
      <w:r w:rsidRPr="00E64932">
        <w:rPr>
          <w:rFonts w:ascii="Times New Roman" w:hAnsi="Times New Roman"/>
          <w:sz w:val="24"/>
          <w:szCs w:val="24"/>
        </w:rPr>
        <w:t xml:space="preserve"> „</w:t>
      </w:r>
      <w:r w:rsidRPr="00E64932">
        <w:rPr>
          <w:rFonts w:ascii="Times New Roman" w:hAnsi="Times New Roman"/>
          <w:b/>
          <w:sz w:val="24"/>
          <w:szCs w:val="24"/>
        </w:rPr>
        <w:t>Complex Multifuncţional pentru activităţi didactice şi sport în incinta Şcolii Gimnazială Leonardo Da Vinci (fosta Şcoala nr. 75)”</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A fost încheiat cu Trustul de Clădiri Metropolitane București S.A., Contractul nr.517/03.04.2018 pentru elaborare PT+DE+DTAC+AT şi execuţie. Valoarea contractului este de 9.945.411,42 lei, fără TVA, cu termen de finalizare 19.06.2018 (proiect tehnic) și 28.06.2019 (finalizare executie).</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Ordinul de începere pentru proiectare a fost emis începand cu data de 19.04.2018. Proiectul a fost predat și avizat în 14.08.2018 în Consiliul Tehnico-Economic al PMB.</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Ordinul de începere pentru execuție a fost emis începand cu data de 28.08.2018.</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În prezent, contractul este în derulare, urmează demararea procedurii pentru asigurarea serviciilor pentru dirigenție de șantier.</w:t>
      </w:r>
    </w:p>
    <w:p w:rsidR="006B07BE" w:rsidRPr="00E64932" w:rsidRDefault="006B07BE" w:rsidP="006B07BE">
      <w:pPr>
        <w:pStyle w:val="Listparagraf1"/>
        <w:spacing w:after="0" w:line="240" w:lineRule="auto"/>
        <w:ind w:left="0"/>
        <w:jc w:val="both"/>
        <w:rPr>
          <w:rFonts w:ascii="Times New Roman" w:hAnsi="Times New Roman"/>
          <w:b/>
          <w:sz w:val="24"/>
          <w:szCs w:val="24"/>
        </w:rPr>
      </w:pPr>
      <w:r w:rsidRPr="00E64932">
        <w:rPr>
          <w:rFonts w:ascii="Times New Roman" w:hAnsi="Times New Roman"/>
          <w:sz w:val="24"/>
          <w:szCs w:val="24"/>
        </w:rPr>
        <w:t xml:space="preserve">   </w:t>
      </w:r>
      <w:r w:rsidRPr="00E64932">
        <w:rPr>
          <w:rFonts w:ascii="Times New Roman" w:hAnsi="Times New Roman"/>
          <w:b/>
          <w:sz w:val="24"/>
          <w:szCs w:val="24"/>
        </w:rPr>
        <w:t xml:space="preserve">● „Complex Multifuncţional pentru activităţi didactice şi sport în incinta Şcolii Gimnaziale nr. </w:t>
      </w:r>
      <w:smartTag w:uri="urn:schemas-microsoft-com:office:smarttags" w:element="metricconverter">
        <w:smartTagPr>
          <w:attr w:name="ProductID" w:val="92”"/>
        </w:smartTagPr>
        <w:r w:rsidRPr="00E64932">
          <w:rPr>
            <w:rFonts w:ascii="Times New Roman" w:hAnsi="Times New Roman"/>
            <w:b/>
            <w:sz w:val="24"/>
            <w:szCs w:val="24"/>
          </w:rPr>
          <w:t>92”</w:t>
        </w:r>
      </w:smartTag>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A fost încheiat cu Trustul de Clădiri Metropolitane București Contractul nr.516/03.04.2018 pentru elaborare PT+DE+DTAC+AT şi execuţie. Valoarea contractului este de 13.960.357,43 lei, fără TVA, cu termen de finalizare 19.06.2018 (proiect tehnic) și 28.06.2019 (finalizare execuție).</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Ordinul de începere pentru proiectare a fost emis începand cu data de 19.04.2018. Proiectul a fost predat și avizat. în Consiliul Tehnico-Economic al PMB în data de 14.08.2018.</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Ordinul de începere pentru execuție a fost emis începand cu data de  28.08.2018.</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În prezent, contractul este în derulare, urmează demararea procedurii pentru asigurarea serviciilor pentru dirigenție de șantier.</w:t>
      </w:r>
    </w:p>
    <w:p w:rsidR="006B07BE" w:rsidRPr="00E64932" w:rsidRDefault="006B07BE" w:rsidP="006B07BE">
      <w:pPr>
        <w:pStyle w:val="Listparagraf1"/>
        <w:spacing w:after="0" w:line="240" w:lineRule="auto"/>
        <w:ind w:left="0"/>
        <w:jc w:val="both"/>
        <w:rPr>
          <w:rFonts w:ascii="Times New Roman" w:hAnsi="Times New Roman"/>
          <w:b/>
          <w:sz w:val="24"/>
          <w:szCs w:val="24"/>
        </w:rPr>
      </w:pPr>
      <w:r w:rsidRPr="00E64932">
        <w:rPr>
          <w:rFonts w:ascii="Times New Roman" w:hAnsi="Times New Roman"/>
          <w:b/>
          <w:sz w:val="24"/>
          <w:szCs w:val="24"/>
        </w:rPr>
        <w:lastRenderedPageBreak/>
        <w:t xml:space="preserve">   ● „Complex Multifuncţional pentru activităţi didactice şi sport în incinta Şcolii Gimnaziale A.I. Cuza” (fosta Şcoală  nr. 199)</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A fost încheiat cu Trustul de Clădiri Metropolitane București Contractul nr.518/03.04.2018 pentru elaborare PT+DE+DTAC+AT şi execuţie. Valoarea contractului este de 13.960.357,43 lei, fără TVA, cu termen de finalizare 19.06.2018 (proiect tehnic) și 28.06.2019 (finalizare execuție).</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Ordinul de începere pentru proiectare a fost emis începând cu data de 19.04.2018.</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Proiectul a fost predat și avizat în Consiliul Tehnico-Economic al PMB în 14.08.2018.</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Ordinul de începere pentru execuție a fost emis începand cu data de 28.08.2018.</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În prezent, contractul este în derulare, urmează demararea procedurii pentru asigurarea serviciilor de dirigenție de șantier.</w:t>
      </w:r>
    </w:p>
    <w:p w:rsidR="006B07BE" w:rsidRPr="00E64932" w:rsidRDefault="006B07BE" w:rsidP="006B07BE">
      <w:pPr>
        <w:pStyle w:val="Listparagraf1"/>
        <w:spacing w:after="0" w:line="240" w:lineRule="auto"/>
        <w:ind w:left="0"/>
        <w:jc w:val="both"/>
        <w:rPr>
          <w:rFonts w:ascii="Times New Roman" w:hAnsi="Times New Roman"/>
          <w:b/>
          <w:sz w:val="24"/>
          <w:szCs w:val="24"/>
        </w:rPr>
      </w:pPr>
      <w:r w:rsidRPr="00E64932">
        <w:rPr>
          <w:rFonts w:ascii="Times New Roman" w:hAnsi="Times New Roman"/>
          <w:b/>
          <w:sz w:val="24"/>
          <w:szCs w:val="24"/>
        </w:rPr>
        <w:t xml:space="preserve">   ● „Complex Multifuncţional pentru activităţi didactice şi sport în incinta Şcolii Liceului Benjamin Franklin”</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A fost încheiat cu Compania Municipală Dezvoltare Durabilă București S.A., Contractul nr.512/02.04.2018 pentru proiectare şi asistenţă tehnică în vederea realizării unui „Complex Multifuncţional pentru activităţi didactice şi sport în incinta Şcolii Liceului Benjamin Franklin”, strada Pictor Tăttărăscu nr. 1, Sector 3. Valoarea contractului este de 151.818,35 lei, fără TVA, cu termen de finalizare 12.06.2018. Ordinul de începere pentru proiectare a fost emis începand cu data de 12.04.2018. Proiectul a fost predat și avizat în Consiliul Tehnico-Economic al PMB în 14.08.2018. Pentru execuția lucrărilor, a fost încheiat cu Compania Municipală Consolidări S.A., Contractul nr.1499/28.12.2018. Valoarea contractului este de 5.123.605,68 lei, fără TVA, cu termen de finalizare 10 luni de la emiterea ordinului de începere a lucrărilor și 36 luni perioada de garanție. Urmează emiterea ordinului de începere a lucrărilor și demararea procedurii pentru asigurarea serviciilor de dirigenție de șantier.</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A fost încheiat cu Compania Municipală Dezvoltare Durabilă București S.A., Contractul nr.511/02.04.2018 pentru proiectare şi asistenţă tehnică în vederea realizării unui „Complex Multifuncţional pentru activităţi didactice şi sport în incinta Şcolii Gimnaziale nr. </w:t>
      </w:r>
      <w:smartTag w:uri="urn:schemas-microsoft-com:office:smarttags" w:element="metricconverter">
        <w:smartTagPr>
          <w:attr w:name="ProductID" w:val="47”"/>
        </w:smartTagPr>
        <w:r w:rsidRPr="00E64932">
          <w:rPr>
            <w:rFonts w:ascii="Times New Roman" w:hAnsi="Times New Roman"/>
            <w:sz w:val="24"/>
            <w:szCs w:val="24"/>
          </w:rPr>
          <w:t>47”</w:t>
        </w:r>
      </w:smartTag>
      <w:r w:rsidRPr="00E64932">
        <w:rPr>
          <w:rFonts w:ascii="Times New Roman" w:hAnsi="Times New Roman"/>
          <w:sz w:val="24"/>
          <w:szCs w:val="24"/>
        </w:rPr>
        <w:t>, Şoseaua Gării Căţelu nr. 130, Sector 3. Valoarea contractului este de 267.533,02 lei, fără TVA, cu termen de finalizare 12.06.2018. Ordinul de începere pentru proiectare a fost emis începand cu data de 12.04.2018. Proiectul a fost predat și avizat în Consiliul Tehnico-Economic al PMB în 14.08.2018. lucrarea nu poate fi demarată, întrucât există pe rolul instanței litigii privind retrocedarea în baza Legii 10/1995.</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A fost încheiat cu Compania Municipală Dezvoltare Durabilă București S.A., Contractul nr.509/02.04.2018 pentru elaborare proiectare şi asistenţă tehnică „Complex Multifuncţional pentru activităţi didactice şi sport în incinta Şcolii Gimnazială nr. </w:t>
      </w:r>
      <w:smartTag w:uri="urn:schemas-microsoft-com:office:smarttags" w:element="metricconverter">
        <w:smartTagPr>
          <w:attr w:name="ProductID" w:val="67”"/>
        </w:smartTagPr>
        <w:r w:rsidRPr="00E64932">
          <w:rPr>
            <w:rFonts w:ascii="Times New Roman" w:hAnsi="Times New Roman"/>
            <w:sz w:val="24"/>
            <w:szCs w:val="24"/>
          </w:rPr>
          <w:t>67”</w:t>
        </w:r>
      </w:smartTag>
      <w:r w:rsidRPr="00E64932">
        <w:rPr>
          <w:rFonts w:ascii="Times New Roman" w:hAnsi="Times New Roman"/>
          <w:sz w:val="24"/>
          <w:szCs w:val="24"/>
        </w:rPr>
        <w:t>, Aleea Magnetului nr. 1-3, Sector 3. Valoarea contractului este de 199.768,48 lei, fără TVA, cu termen de finalizare 12.06.2018. Ordinul de începere pentru proiectare a fost emis începand cu data de 12.04.2018. Proiectul a fost predat și avizat în Consiliul Tehnico-Economic al PMB în 14.08.2018. Pentru execuția lucrărilor, a fost încheiat cu Compania Municipală Consolidări S.A., Contractul nr.1498/28.12.2018. Valoarea contractului este de 8.566.348,61 lei, fără TVA, cu termen de finalizare 10 luni de la emiterea ordinului de începere a lucrărilor și 36 luni perioada de garanție. Urmează emiterea ordinului de începere a lucrărilor și demararea procedurii pentru asigurarea serviciilor de dirigenție de șantier.</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A fost încheiat cu Compania Municipală Dezvoltare Durabilă București S.A., Contractul nr.510/02.04.2018 pentru elaborare proiectare şi asistenţă tehnică în vederea realizării unui „Complex Multifuncţional pentru activităţi didactice şi sport în incinta Şcolii Gimnaziale nr. </w:t>
      </w:r>
      <w:smartTag w:uri="urn:schemas-microsoft-com:office:smarttags" w:element="metricconverter">
        <w:smartTagPr>
          <w:attr w:name="ProductID" w:val="112”"/>
        </w:smartTagPr>
        <w:r w:rsidRPr="00E64932">
          <w:rPr>
            <w:rFonts w:ascii="Times New Roman" w:hAnsi="Times New Roman"/>
            <w:sz w:val="24"/>
            <w:szCs w:val="24"/>
          </w:rPr>
          <w:t>112”</w:t>
        </w:r>
      </w:smartTag>
      <w:r w:rsidRPr="00E64932">
        <w:rPr>
          <w:rFonts w:ascii="Times New Roman" w:hAnsi="Times New Roman"/>
          <w:sz w:val="24"/>
          <w:szCs w:val="24"/>
        </w:rPr>
        <w:t>, strada Pătulului nr. 2, Sector 3. Valoarea contractului este de 199.768,48 lei, fără TVA, cu termen de finalizare 12.06.2018. Ordinul de începere pentru proiectare a fost emis începand cu data de 12.04.2018. Proiectul a fost predat și avizat în Consiliul Tehnico-Economic al PMB în 14.08.2018. Pentru execuția lucrărilor, a fost încheiat cu Compania Municipală Consolidări S.A., Contractul nr.1497/28.12.2018. Valoarea contractului este de 8.440.930,05 lei, fără TVA, cu termen de finalizare 10 luni de la emiterea ordinului de începere a lucrărilor și 36 luni perioada de garanție. Urmează emiterea ordinului de începere a lucrărilor și demararea procedurii pentru asigurarea serviciilor de dirigenție de șantier.</w:t>
      </w:r>
    </w:p>
    <w:p w:rsidR="006B07BE" w:rsidRPr="00E64932" w:rsidRDefault="006B07BE" w:rsidP="006B07BE">
      <w:pPr>
        <w:pStyle w:val="Listparagraf1"/>
        <w:spacing w:after="0" w:line="240" w:lineRule="auto"/>
        <w:ind w:left="0"/>
        <w:jc w:val="both"/>
        <w:rPr>
          <w:rFonts w:ascii="Times New Roman" w:hAnsi="Times New Roman"/>
          <w:sz w:val="24"/>
          <w:szCs w:val="24"/>
        </w:rPr>
      </w:pPr>
    </w:p>
    <w:p w:rsidR="006B07BE" w:rsidRPr="00E64932" w:rsidRDefault="006B07BE" w:rsidP="006B07BE">
      <w:pPr>
        <w:pStyle w:val="Listparagraf1"/>
        <w:spacing w:after="0" w:line="240" w:lineRule="auto"/>
        <w:ind w:left="0"/>
        <w:jc w:val="both"/>
        <w:rPr>
          <w:rFonts w:ascii="Times New Roman" w:hAnsi="Times New Roman"/>
          <w:sz w:val="24"/>
          <w:szCs w:val="24"/>
        </w:rPr>
      </w:pPr>
      <w:r w:rsidRPr="00E64932">
        <w:rPr>
          <w:rFonts w:ascii="Times New Roman" w:hAnsi="Times New Roman"/>
          <w:b/>
          <w:sz w:val="24"/>
          <w:szCs w:val="24"/>
        </w:rPr>
        <w:lastRenderedPageBreak/>
        <w:t>► Construire grădinițe</w:t>
      </w:r>
    </w:p>
    <w:p w:rsidR="006B07BE" w:rsidRPr="00E64932" w:rsidRDefault="006B07BE" w:rsidP="006B07BE">
      <w:pPr>
        <w:pStyle w:val="Listparagraf1"/>
        <w:spacing w:after="0" w:line="240" w:lineRule="auto"/>
        <w:ind w:left="0"/>
        <w:jc w:val="both"/>
        <w:rPr>
          <w:rFonts w:ascii="Times New Roman" w:hAnsi="Times New Roman"/>
          <w:sz w:val="24"/>
          <w:szCs w:val="24"/>
        </w:rPr>
      </w:pPr>
      <w:r w:rsidRPr="00E64932">
        <w:rPr>
          <w:rFonts w:ascii="Times New Roman" w:hAnsi="Times New Roman"/>
          <w:sz w:val="24"/>
          <w:szCs w:val="24"/>
        </w:rPr>
        <w:t xml:space="preserve"> </w:t>
      </w:r>
      <w:r w:rsidRPr="00E64932">
        <w:rPr>
          <w:rFonts w:ascii="Times New Roman" w:hAnsi="Times New Roman"/>
          <w:b/>
          <w:sz w:val="24"/>
          <w:szCs w:val="24"/>
        </w:rPr>
        <w:t xml:space="preserve">  ● Construire 4 grădinițe cu 8 grupe în incinta unităților școlare din sectorul 2, București</w:t>
      </w:r>
      <w:r w:rsidRPr="00E64932">
        <w:rPr>
          <w:rFonts w:ascii="Times New Roman" w:hAnsi="Times New Roman"/>
          <w:sz w:val="24"/>
          <w:szCs w:val="24"/>
        </w:rPr>
        <w:t>.</w:t>
      </w:r>
    </w:p>
    <w:p w:rsidR="006B07BE" w:rsidRPr="00E64932" w:rsidRDefault="006B07BE" w:rsidP="006B07BE">
      <w:pPr>
        <w:pStyle w:val="Listparagraf1"/>
        <w:spacing w:after="0" w:line="240" w:lineRule="auto"/>
        <w:ind w:left="0" w:firstLine="720"/>
        <w:jc w:val="both"/>
        <w:rPr>
          <w:rFonts w:ascii="Times New Roman" w:hAnsi="Times New Roman"/>
          <w:color w:val="000000"/>
          <w:sz w:val="24"/>
          <w:szCs w:val="24"/>
        </w:rPr>
      </w:pPr>
      <w:r w:rsidRPr="00E64932">
        <w:rPr>
          <w:rFonts w:ascii="Times New Roman" w:hAnsi="Times New Roman"/>
          <w:color w:val="000000"/>
          <w:sz w:val="24"/>
          <w:szCs w:val="24"/>
        </w:rPr>
        <w:t>Ținând cont de evoluția demografică și datorită numărului mare de copii preșcolari din sectorul 2 al capitalei, a solicitărilor venite din partea părinților, a conducerii unităților de învățământ, a recomandărilor Inspectoratului Școlar, se impune creșterea capacității de preluare a copiilor și cadrelor didactice, precum și suplimentarea facilităților necesare unei bune desfășurări a procesului de învățământ preșcolar.</w:t>
      </w:r>
    </w:p>
    <w:p w:rsidR="006B07BE" w:rsidRPr="00E64932" w:rsidRDefault="00306F64" w:rsidP="00306F64">
      <w:pPr>
        <w:pStyle w:val="Listparagraf1"/>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ab/>
      </w:r>
      <w:r w:rsidR="006B07BE" w:rsidRPr="00E64932">
        <w:rPr>
          <w:rFonts w:ascii="Times New Roman" w:hAnsi="Times New Roman"/>
          <w:color w:val="000000"/>
          <w:sz w:val="24"/>
          <w:szCs w:val="24"/>
        </w:rPr>
        <w:t>În prezent, situația unităților de învățământ preșcolar, din cele 4 locații, este următoarea:</w:t>
      </w:r>
    </w:p>
    <w:p w:rsidR="006B07BE" w:rsidRPr="00E64932" w:rsidRDefault="006B07BE" w:rsidP="00306F64">
      <w:pPr>
        <w:pStyle w:val="Listparagraf1"/>
        <w:spacing w:after="0" w:line="240" w:lineRule="auto"/>
        <w:ind w:left="0" w:firstLine="720"/>
        <w:jc w:val="both"/>
        <w:rPr>
          <w:rFonts w:ascii="Times New Roman" w:hAnsi="Times New Roman"/>
          <w:color w:val="000000"/>
          <w:sz w:val="24"/>
          <w:szCs w:val="24"/>
        </w:rPr>
      </w:pPr>
      <w:r w:rsidRPr="00E64932">
        <w:rPr>
          <w:rFonts w:ascii="Times New Roman" w:hAnsi="Times New Roman"/>
          <w:color w:val="000000"/>
          <w:sz w:val="24"/>
          <w:szCs w:val="24"/>
        </w:rPr>
        <w:t>• în incinta Școlii Gimnaziale nr.40, strada Periș nr.27, sector 2, există o grădiniță care a fost retrocedată și apoi închiriată de către Primăria Sectorului 2, dar nu îndeplinește condițiile necesare pentru asigurarea numărului de locuri solicitate; se impune construirea unei grădinițe cu 8 grupe, cu program prelungit;</w:t>
      </w:r>
    </w:p>
    <w:p w:rsidR="006B07BE" w:rsidRPr="00E64932" w:rsidRDefault="006B07BE" w:rsidP="00306F64">
      <w:pPr>
        <w:pStyle w:val="Listparagraf1"/>
        <w:spacing w:after="0" w:line="240" w:lineRule="auto"/>
        <w:ind w:left="0" w:firstLine="720"/>
        <w:jc w:val="both"/>
        <w:rPr>
          <w:rFonts w:ascii="Times New Roman" w:hAnsi="Times New Roman"/>
          <w:color w:val="000000"/>
          <w:sz w:val="24"/>
          <w:szCs w:val="24"/>
        </w:rPr>
      </w:pPr>
      <w:r w:rsidRPr="00E64932">
        <w:rPr>
          <w:rFonts w:ascii="Times New Roman" w:hAnsi="Times New Roman"/>
          <w:color w:val="000000"/>
          <w:sz w:val="24"/>
          <w:szCs w:val="24"/>
        </w:rPr>
        <w:t>• în zona apropiată Școlii Gimnaziale “Petre Ghelmez” din strada Pescărușului nr.124, sector 2, nu există nici o grădiniță; în cartier sunt 3 școli gimnaziale, dar, nici o grădiniță; se impune construirea unei grădinițe cu 8 grupe, cu program prelungit;</w:t>
      </w:r>
    </w:p>
    <w:p w:rsidR="006B07BE" w:rsidRPr="00E64932" w:rsidRDefault="006B07BE" w:rsidP="00306F64">
      <w:pPr>
        <w:pStyle w:val="Listparagraf1"/>
        <w:spacing w:after="0" w:line="240" w:lineRule="auto"/>
        <w:ind w:left="0" w:firstLine="720"/>
        <w:jc w:val="both"/>
        <w:rPr>
          <w:rFonts w:ascii="Times New Roman" w:hAnsi="Times New Roman"/>
          <w:color w:val="000000"/>
          <w:sz w:val="24"/>
          <w:szCs w:val="24"/>
        </w:rPr>
      </w:pPr>
      <w:r w:rsidRPr="00E64932">
        <w:rPr>
          <w:rFonts w:ascii="Times New Roman" w:hAnsi="Times New Roman"/>
          <w:color w:val="000000"/>
          <w:sz w:val="24"/>
          <w:szCs w:val="24"/>
        </w:rPr>
        <w:t>• în incinta Școlii Gimnaziale nr.32 din strada Sportului nr.21, sector 2, există o grădiniță care are o suprafață construită de 112 mp, compusă din 3 camere, clădire care nu îndeplinește condițiile necesare pentru asigurarea numărului de locuri solicitate; în acest context, unele grupe de copii au fost mutate în săli de clasă din școală, săli care sunt improprii programului de pregătire preșcolar; se impune construirea unei grădinițe cu 8 grupe, cu program prelungit;</w:t>
      </w:r>
    </w:p>
    <w:p w:rsidR="006B07BE" w:rsidRPr="00E64932" w:rsidRDefault="006B07BE" w:rsidP="00306F64">
      <w:pPr>
        <w:pStyle w:val="Listparagraf1"/>
        <w:spacing w:after="0" w:line="240" w:lineRule="auto"/>
        <w:ind w:left="0" w:firstLine="720"/>
        <w:jc w:val="both"/>
        <w:rPr>
          <w:rFonts w:ascii="Times New Roman" w:hAnsi="Times New Roman"/>
          <w:color w:val="000000"/>
          <w:sz w:val="24"/>
          <w:szCs w:val="24"/>
        </w:rPr>
      </w:pPr>
      <w:r w:rsidRPr="00E64932">
        <w:rPr>
          <w:rFonts w:ascii="Times New Roman" w:hAnsi="Times New Roman"/>
          <w:color w:val="000000"/>
          <w:sz w:val="24"/>
          <w:szCs w:val="24"/>
        </w:rPr>
        <w:t>• pe strada Știucii nr.54, sector 2, există Grădinița nr.150, clădire având suprafața utilă de 96,78 mp, care nu îndeplinește condițiile pentru asigurarea numărului de locuri solicitate. În acest context, se propune demolarea clădirii existente, pentru eliberarea amplasamentului și construirea unei noi grădinițe cu 8 grupe, cu program prelungit;</w:t>
      </w:r>
    </w:p>
    <w:p w:rsidR="006B07BE" w:rsidRPr="00E64932" w:rsidRDefault="006B07BE" w:rsidP="006B07BE">
      <w:pPr>
        <w:pStyle w:val="Listparagraf1"/>
        <w:spacing w:after="0" w:line="240" w:lineRule="auto"/>
        <w:ind w:left="0" w:firstLine="720"/>
        <w:jc w:val="both"/>
        <w:rPr>
          <w:rFonts w:ascii="Times New Roman" w:hAnsi="Times New Roman"/>
          <w:color w:val="000000"/>
          <w:sz w:val="24"/>
          <w:szCs w:val="24"/>
        </w:rPr>
      </w:pPr>
      <w:r w:rsidRPr="00E64932">
        <w:rPr>
          <w:rFonts w:ascii="Times New Roman" w:hAnsi="Times New Roman"/>
          <w:color w:val="000000"/>
          <w:sz w:val="24"/>
          <w:szCs w:val="24"/>
        </w:rPr>
        <w:t>Grădinița nouă reprezintă o clădire pentru învățământul preșcolar, ce cuprinde funcțiunile specifice și dotările tehnico-edilitare necesare desfășurării în condiții moderne a educației și va avea 8 săli de grupă. Construcțiile noi vor fi amplasate în spațiile libere din incinta unităților de învățământ menționate, putând fi dimensionate în conformitate cu standardele în vigoare și Normativul NP 011-97 privind proiectarea, realizarea și exploatarea construcțiilor pentru grădinițe de copii.</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Astfel, a fost încheiat cu Compania Municipală Dezvoltare Durabilă București S.A., contractul nr.514/02.04.2018 pentru elaborare documentație faza SF+PT+DTAC+DE şi Asistenţă Tehnică pentru „Construire corp Nou Grădinţă 8 grupe în incinta Şcolii Gimnaziale nr. </w:t>
      </w:r>
      <w:smartTag w:uri="urn:schemas-microsoft-com:office:smarttags" w:element="metricconverter">
        <w:smartTagPr>
          <w:attr w:name="ProductID" w:val="40”"/>
        </w:smartTagPr>
        <w:r w:rsidRPr="00E64932">
          <w:rPr>
            <w:rFonts w:ascii="Times New Roman" w:hAnsi="Times New Roman"/>
            <w:sz w:val="24"/>
            <w:szCs w:val="24"/>
          </w:rPr>
          <w:t>40”</w:t>
        </w:r>
      </w:smartTag>
      <w:r w:rsidRPr="00E64932">
        <w:rPr>
          <w:rFonts w:ascii="Times New Roman" w:hAnsi="Times New Roman"/>
          <w:sz w:val="24"/>
          <w:szCs w:val="24"/>
        </w:rPr>
        <w:t xml:space="preserve">,  Strada Periş nr. 27, Sector 2;  „Construire corp Nou Grădinţă 8 grupe în incinta Grădinţei nr. </w:t>
      </w:r>
      <w:smartTag w:uri="urn:schemas-microsoft-com:office:smarttags" w:element="metricconverter">
        <w:smartTagPr>
          <w:attr w:name="ProductID" w:val="150”"/>
        </w:smartTagPr>
        <w:r w:rsidRPr="00E64932">
          <w:rPr>
            <w:rFonts w:ascii="Times New Roman" w:hAnsi="Times New Roman"/>
            <w:sz w:val="24"/>
            <w:szCs w:val="24"/>
          </w:rPr>
          <w:t>150”</w:t>
        </w:r>
      </w:smartTag>
      <w:r w:rsidRPr="00E64932">
        <w:rPr>
          <w:rFonts w:ascii="Times New Roman" w:hAnsi="Times New Roman"/>
          <w:sz w:val="24"/>
          <w:szCs w:val="24"/>
        </w:rPr>
        <w:t xml:space="preserve">, Strada Ştiucii nr.154, Sector 2; „Construire corp Nou Grădinţă 8 grupe în incinta Şcolii Gimnaziale nr. </w:t>
      </w:r>
      <w:smartTag w:uri="urn:schemas-microsoft-com:office:smarttags" w:element="metricconverter">
        <w:smartTagPr>
          <w:attr w:name="ProductID" w:val="32”"/>
        </w:smartTagPr>
        <w:r w:rsidRPr="00E64932">
          <w:rPr>
            <w:rFonts w:ascii="Times New Roman" w:hAnsi="Times New Roman"/>
            <w:sz w:val="24"/>
            <w:szCs w:val="24"/>
          </w:rPr>
          <w:t>32”</w:t>
        </w:r>
      </w:smartTag>
      <w:r w:rsidRPr="00E64932">
        <w:rPr>
          <w:rFonts w:ascii="Times New Roman" w:hAnsi="Times New Roman"/>
          <w:sz w:val="24"/>
          <w:szCs w:val="24"/>
        </w:rPr>
        <w:t xml:space="preserve">, Strada Sportului nr. 21, Sector 2; „Construire corp Nou Grădinţă 8 grupe în incinta Şcolii Gimnaziale Petre Ghelmez”, Strada Pescăruşului nr. 124, Sector 2; </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Studiul de fezabilitate a fost predat și avizat in Consiliul Tehnico-Economic al PMB în 14.08.2018. Indicatorii tehnico-economici au fost aprobați prin hotărarile Consiliului General al Municipiului București din 23.08.2018. Proiectul tehnic a fost predat la termen, însă nu au fost obținute toate avizele in vederea eliberarii autorizatiei de construire (aviz ISU, aviz DSP). După completarea acestora, urmează avizarea in Consiliul Tehnico-Economic al PMB și atribuire a contractului de executie lucrari catre Trustul de Constructii Metropolitan Bucuresti SA.</w:t>
      </w:r>
    </w:p>
    <w:p w:rsidR="006B07BE" w:rsidRPr="00E64932" w:rsidRDefault="006B07BE" w:rsidP="006B07BE">
      <w:pPr>
        <w:pStyle w:val="Listparagraf1"/>
        <w:spacing w:after="0" w:line="240" w:lineRule="auto"/>
        <w:ind w:left="0"/>
        <w:jc w:val="both"/>
        <w:rPr>
          <w:rFonts w:ascii="Times New Roman" w:hAnsi="Times New Roman"/>
          <w:sz w:val="24"/>
          <w:szCs w:val="24"/>
        </w:rPr>
      </w:pPr>
    </w:p>
    <w:p w:rsidR="006B07BE" w:rsidRPr="00E64932" w:rsidRDefault="006B07BE" w:rsidP="006B07BE">
      <w:pPr>
        <w:pStyle w:val="Listparagraf1"/>
        <w:spacing w:after="0" w:line="240" w:lineRule="auto"/>
        <w:ind w:left="0"/>
        <w:jc w:val="both"/>
        <w:rPr>
          <w:rFonts w:ascii="Times New Roman" w:hAnsi="Times New Roman"/>
          <w:sz w:val="24"/>
          <w:szCs w:val="24"/>
        </w:rPr>
      </w:pPr>
      <w:r w:rsidRPr="00E64932">
        <w:rPr>
          <w:rFonts w:ascii="Times New Roman" w:hAnsi="Times New Roman"/>
          <w:b/>
          <w:sz w:val="24"/>
          <w:szCs w:val="24"/>
        </w:rPr>
        <w:t xml:space="preserve">   ● Construire 5 corpuri noi cu destinaţia de after-school, în incinta unităţilor scolare din sectorul 5</w:t>
      </w:r>
      <w:r w:rsidRPr="00E64932">
        <w:rPr>
          <w:rFonts w:ascii="Times New Roman" w:hAnsi="Times New Roman"/>
          <w:sz w:val="24"/>
          <w:szCs w:val="24"/>
        </w:rPr>
        <w:t>.</w:t>
      </w:r>
    </w:p>
    <w:p w:rsidR="006B07BE" w:rsidRPr="00E64932" w:rsidRDefault="006B07BE" w:rsidP="006B07BE">
      <w:pPr>
        <w:pStyle w:val="Listparagraf1"/>
        <w:spacing w:after="0" w:line="240" w:lineRule="auto"/>
        <w:ind w:left="0" w:firstLine="720"/>
        <w:jc w:val="both"/>
        <w:rPr>
          <w:rFonts w:ascii="Times New Roman" w:hAnsi="Times New Roman"/>
          <w:color w:val="000000"/>
          <w:sz w:val="24"/>
          <w:szCs w:val="24"/>
        </w:rPr>
      </w:pPr>
      <w:r w:rsidRPr="00E64932">
        <w:rPr>
          <w:rFonts w:ascii="Times New Roman" w:hAnsi="Times New Roman"/>
          <w:color w:val="000000"/>
          <w:sz w:val="24"/>
          <w:szCs w:val="24"/>
        </w:rPr>
        <w:t xml:space="preserve">Tinând cont de nevoia implementării programului “școală după școală” pentru elevii și părinții comunității locale și de faptul că, școlile dispun de terenuri pentru construcția unor clădiri speciale, care să includă: spații special amenajate pentru servirea mesei și spații special amenajate pentru desfășurarea activităților cu sprijin specializat, ateliere/activități tematice, activități de tip recreativ, care vizează </w:t>
      </w:r>
      <w:r w:rsidRPr="00E64932">
        <w:rPr>
          <w:rFonts w:ascii="Times New Roman" w:hAnsi="Times New Roman"/>
          <w:color w:val="000000"/>
          <w:sz w:val="24"/>
          <w:szCs w:val="24"/>
        </w:rPr>
        <w:lastRenderedPageBreak/>
        <w:t>formarea și dezvoltarea competențelor specifice învățământului primar și gimnazial, în cazul a 5 unități școlare din sectorul 5, respectiv:</w:t>
      </w:r>
    </w:p>
    <w:p w:rsidR="006B07BE" w:rsidRPr="00E64932" w:rsidRDefault="006B07BE" w:rsidP="00306F64">
      <w:pPr>
        <w:pStyle w:val="Listparagraf1"/>
        <w:spacing w:after="0" w:line="240" w:lineRule="auto"/>
        <w:ind w:left="0"/>
        <w:rPr>
          <w:rFonts w:ascii="Times New Roman" w:hAnsi="Times New Roman"/>
          <w:color w:val="000000"/>
          <w:sz w:val="24"/>
          <w:szCs w:val="24"/>
        </w:rPr>
      </w:pPr>
      <w:r w:rsidRPr="00E64932">
        <w:rPr>
          <w:rFonts w:ascii="Times New Roman" w:hAnsi="Times New Roman"/>
          <w:color w:val="000000"/>
          <w:sz w:val="24"/>
          <w:szCs w:val="24"/>
        </w:rPr>
        <w:t>- Liceul Teoretic “Ion Barbu”, strada Năbucului nr.18, sector 5,</w:t>
      </w:r>
      <w:r w:rsidRPr="00E64932">
        <w:rPr>
          <w:rFonts w:ascii="Times New Roman" w:hAnsi="Times New Roman"/>
          <w:color w:val="000000"/>
          <w:sz w:val="24"/>
          <w:szCs w:val="24"/>
        </w:rPr>
        <w:br/>
        <w:t>- Școala Gimnazială nr.103, strada Vigoniei nr.3-5, sector 5,</w:t>
      </w:r>
      <w:r w:rsidRPr="00E64932">
        <w:rPr>
          <w:rFonts w:ascii="Times New Roman" w:hAnsi="Times New Roman"/>
          <w:color w:val="000000"/>
          <w:sz w:val="24"/>
          <w:szCs w:val="24"/>
        </w:rPr>
        <w:br/>
        <w:t>- Școala Gimnazială nr.127, strada Munții Carpați nr.68, sector 5,</w:t>
      </w:r>
      <w:r w:rsidRPr="00E64932">
        <w:rPr>
          <w:rFonts w:ascii="Times New Roman" w:hAnsi="Times New Roman"/>
          <w:color w:val="000000"/>
          <w:sz w:val="24"/>
          <w:szCs w:val="24"/>
        </w:rPr>
        <w:br/>
        <w:t>- Școala Gimnazială nr.134, strada Baciului nr.4A, sector 5,</w:t>
      </w:r>
      <w:r w:rsidRPr="00E64932">
        <w:rPr>
          <w:rFonts w:ascii="Times New Roman" w:hAnsi="Times New Roman"/>
          <w:color w:val="000000"/>
          <w:sz w:val="24"/>
          <w:szCs w:val="24"/>
        </w:rPr>
        <w:br/>
        <w:t xml:space="preserve">- Școala Gimnazială nr.136, strada Prelungirea Ferentari nr.74A, sector 5, </w:t>
      </w:r>
    </w:p>
    <w:p w:rsidR="006B07BE" w:rsidRPr="00E64932" w:rsidRDefault="006B07BE" w:rsidP="006B07BE">
      <w:pPr>
        <w:pStyle w:val="Listparagraf1"/>
        <w:spacing w:after="0" w:line="240" w:lineRule="auto"/>
        <w:ind w:left="0"/>
        <w:rPr>
          <w:rFonts w:ascii="Times New Roman" w:hAnsi="Times New Roman"/>
          <w:color w:val="000000"/>
          <w:sz w:val="24"/>
          <w:szCs w:val="24"/>
        </w:rPr>
      </w:pPr>
      <w:r w:rsidRPr="00E64932">
        <w:rPr>
          <w:rFonts w:ascii="Times New Roman" w:hAnsi="Times New Roman"/>
          <w:color w:val="000000"/>
          <w:sz w:val="24"/>
          <w:szCs w:val="24"/>
        </w:rPr>
        <w:t>se impune construirea unor clădiri noi cu destinația after-school.</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Astfel, a fost încheiat cu Compania Municipală Dezvoltare Durabilă București S.A., Contractul nr.519/04.04.2018 pentru elaborare documentatie (SF+PT+DTAC+DE+AT) pentru 5 After-School din Sectorul 5. Valoarea contractului este de 660.672 lei, fără TVA, cu termen de finalizare 12.06.2018 (pentru elaborare SF) și 23.10.2018 (finalizare PT+DE+PAC).</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Ordinul de începere pentru elaborarea studiului de fezabilitate a fost emis începand cu data de 12.04.2018. Studiul de fezabilitate a fost predat și avizat în Consiliul Tehnico-Economic al PMB în 14.08.2018. Indicatorii tehnico-economici au fost aprobati prin hotărarile Consiliului General al Municipiului București din 23.08.2018 </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Proiectul tehnic a fost predat, însă nu au fost obținute toate avizele in vederea eliberarii autorizatiei de construire (aviz ISU, aviz DSP). După completarea acestora, urmează avizarea în Consiliul Tehnico-Economic al PMB.</w:t>
      </w:r>
    </w:p>
    <w:p w:rsidR="006B07BE" w:rsidRPr="00E64932" w:rsidRDefault="006B07BE" w:rsidP="006B07BE">
      <w:pPr>
        <w:pStyle w:val="Listparagraf1"/>
        <w:spacing w:after="0" w:line="240" w:lineRule="auto"/>
        <w:ind w:left="0"/>
        <w:jc w:val="both"/>
        <w:rPr>
          <w:rFonts w:ascii="Times New Roman" w:hAnsi="Times New Roman"/>
          <w:sz w:val="24"/>
          <w:szCs w:val="24"/>
        </w:rPr>
      </w:pPr>
    </w:p>
    <w:p w:rsidR="006B07BE" w:rsidRPr="00E64932" w:rsidRDefault="006B07BE" w:rsidP="006B07BE">
      <w:pPr>
        <w:pStyle w:val="Listparagraf1"/>
        <w:spacing w:after="0" w:line="240" w:lineRule="auto"/>
        <w:ind w:left="0"/>
        <w:jc w:val="both"/>
        <w:rPr>
          <w:rFonts w:ascii="Times New Roman" w:hAnsi="Times New Roman"/>
          <w:b/>
          <w:sz w:val="24"/>
          <w:szCs w:val="24"/>
        </w:rPr>
      </w:pPr>
      <w:r w:rsidRPr="00E64932">
        <w:rPr>
          <w:rFonts w:ascii="Times New Roman" w:hAnsi="Times New Roman"/>
          <w:b/>
          <w:sz w:val="24"/>
          <w:szCs w:val="24"/>
        </w:rPr>
        <w:t>► Extindere, reparaţii, reabilitare, consolidare şi modernizare clădiri licee/colegii.</w:t>
      </w:r>
    </w:p>
    <w:p w:rsidR="006B07BE" w:rsidRPr="00E64932" w:rsidRDefault="006B07BE" w:rsidP="006B07BE">
      <w:pPr>
        <w:pStyle w:val="Listparagraf1"/>
        <w:spacing w:after="0" w:line="240" w:lineRule="auto"/>
        <w:ind w:left="0"/>
        <w:jc w:val="both"/>
        <w:rPr>
          <w:rFonts w:ascii="Times New Roman" w:hAnsi="Times New Roman"/>
          <w:b/>
          <w:sz w:val="24"/>
          <w:szCs w:val="24"/>
        </w:rPr>
      </w:pPr>
      <w:r w:rsidRPr="00E64932">
        <w:rPr>
          <w:rFonts w:ascii="Times New Roman" w:hAnsi="Times New Roman"/>
          <w:b/>
          <w:sz w:val="24"/>
          <w:szCs w:val="24"/>
        </w:rPr>
        <w:t xml:space="preserve">    ● Extindere, reparaţii, reabilitare, consolidare şi modernizare clădiri licee/colegii în sectoarele 2, 4, 5.</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A fost încheiat cu Compania Municipală Dezvoltare Durabilă București S.A., Contractul nr.736/05.06.2018 în vederea elaborării documentaţiei (DALI+PT+DTAC+DE+AT) pentru ,,Extindere Liceul Teoretic „Ștefan Odobleja”, strada Dorneasca nr.7A, sector 5, Bucureşti’’. Valoarea contractului este de 143.193,96 lei, fără TVA, cu termen de finalizare 06.08.2018 (pentru finalizare DALI) și 26.11.2018 (finalizare PT). Ordinul de începere a lucrărilor a fost emis începand cu data de 06.06.2018. Documentatia DALI a fost predată, avizată în Consiliul Tehnico-Economic al PMB în 18.09.2018 și aprobată prin hotărare a Consiliului General al Municipiului București. Documentația PT+DTAC+DE a fost predată, însă s-au solicitat completări. După completarea acesteia, urmează avizarea în Consiliul Tehnico-Economic al PMB.</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Pentru următoarele obiective de investiții, documentațiile necesare demarării procedurilor de achiziție publică, sunt în curs de elaborare:</w:t>
      </w:r>
    </w:p>
    <w:p w:rsidR="006B07BE" w:rsidRPr="00E64932" w:rsidRDefault="006B07BE" w:rsidP="006B07BE">
      <w:pPr>
        <w:pStyle w:val="Listparagraf1"/>
        <w:spacing w:after="0" w:line="240" w:lineRule="auto"/>
        <w:ind w:left="0" w:firstLine="720"/>
        <w:jc w:val="both"/>
        <w:rPr>
          <w:rFonts w:ascii="Times New Roman" w:hAnsi="Times New Roman"/>
          <w:sz w:val="24"/>
          <w:szCs w:val="24"/>
          <w:u w:val="single"/>
        </w:rPr>
      </w:pPr>
      <w:r w:rsidRPr="00E64932">
        <w:rPr>
          <w:rFonts w:ascii="Times New Roman" w:hAnsi="Times New Roman"/>
          <w:color w:val="000000"/>
          <w:sz w:val="24"/>
          <w:szCs w:val="24"/>
        </w:rPr>
        <w:t>“Construire corp nou în incinta Școlii Gimnaziale “Mircea Sântimbreanu”, Șoseaua Alexandriei nr. 21, sector 5,</w:t>
      </w:r>
      <w:r w:rsidRPr="00E64932">
        <w:rPr>
          <w:rFonts w:ascii="Times New Roman" w:hAnsi="Times New Roman"/>
          <w:sz w:val="24"/>
          <w:szCs w:val="24"/>
        </w:rPr>
        <w:t xml:space="preserve"> București (SF+PT+DTAC+DE+AT)”;</w:t>
      </w:r>
    </w:p>
    <w:p w:rsidR="006B07BE" w:rsidRPr="00E64932" w:rsidRDefault="006B07BE" w:rsidP="006B07BE">
      <w:pPr>
        <w:pStyle w:val="Listparagraf1"/>
        <w:spacing w:after="0" w:line="240" w:lineRule="auto"/>
        <w:ind w:left="0" w:firstLine="720"/>
        <w:jc w:val="both"/>
        <w:rPr>
          <w:rFonts w:ascii="Times New Roman" w:hAnsi="Times New Roman"/>
          <w:sz w:val="24"/>
          <w:szCs w:val="24"/>
          <w:u w:val="single"/>
        </w:rPr>
      </w:pPr>
      <w:r w:rsidRPr="00E64932">
        <w:rPr>
          <w:rFonts w:ascii="Times New Roman" w:hAnsi="Times New Roman"/>
          <w:color w:val="000000"/>
          <w:sz w:val="24"/>
          <w:szCs w:val="24"/>
        </w:rPr>
        <w:t>“Construire corp nou în incinta Școlii Gimnaziale nr.160 ”Sfanta Treime”, Str.Ghirlandei nr.7, sector 6,</w:t>
      </w:r>
      <w:r w:rsidRPr="00E64932">
        <w:rPr>
          <w:rFonts w:ascii="Times New Roman" w:hAnsi="Times New Roman"/>
          <w:sz w:val="24"/>
          <w:szCs w:val="24"/>
        </w:rPr>
        <w:t xml:space="preserve"> București (SF+PT+DTAC+DE+AT)”;</w:t>
      </w:r>
    </w:p>
    <w:p w:rsidR="006B07BE" w:rsidRPr="00E64932" w:rsidRDefault="006B07BE" w:rsidP="006B07BE">
      <w:pPr>
        <w:pStyle w:val="Listparagraf1"/>
        <w:spacing w:after="0" w:line="240" w:lineRule="auto"/>
        <w:ind w:left="0" w:firstLine="720"/>
        <w:jc w:val="both"/>
        <w:rPr>
          <w:rFonts w:ascii="Times New Roman" w:hAnsi="Times New Roman"/>
          <w:sz w:val="24"/>
          <w:szCs w:val="24"/>
          <w:u w:val="single"/>
        </w:rPr>
      </w:pPr>
      <w:r w:rsidRPr="00E64932">
        <w:rPr>
          <w:rFonts w:ascii="Times New Roman" w:hAnsi="Times New Roman"/>
          <w:color w:val="000000"/>
          <w:sz w:val="24"/>
          <w:szCs w:val="24"/>
        </w:rPr>
        <w:t>“</w:t>
      </w:r>
      <w:r w:rsidRPr="00E64932">
        <w:rPr>
          <w:rFonts w:ascii="Times New Roman" w:hAnsi="Times New Roman"/>
          <w:sz w:val="24"/>
          <w:szCs w:val="24"/>
        </w:rPr>
        <w:t>Demolare+construire corp nou grădiniță 3 grupe în incinta Grădiniței nr.135, Str. Mașina de Pâine nr.61, sector 2, București (DALI+SF+PT+DTAC+DE+AT)”;</w:t>
      </w:r>
    </w:p>
    <w:p w:rsidR="006B07BE" w:rsidRPr="00E64932" w:rsidRDefault="006B07BE" w:rsidP="006B07BE">
      <w:pPr>
        <w:pStyle w:val="Listparagraf1"/>
        <w:spacing w:after="0" w:line="240" w:lineRule="auto"/>
        <w:ind w:left="0" w:firstLine="720"/>
        <w:jc w:val="both"/>
        <w:rPr>
          <w:rFonts w:ascii="Times New Roman" w:hAnsi="Times New Roman"/>
          <w:sz w:val="24"/>
          <w:szCs w:val="24"/>
          <w:u w:val="single"/>
        </w:rPr>
      </w:pPr>
      <w:r w:rsidRPr="00E64932">
        <w:rPr>
          <w:rFonts w:ascii="Times New Roman" w:hAnsi="Times New Roman"/>
          <w:color w:val="000000"/>
          <w:sz w:val="24"/>
          <w:szCs w:val="24"/>
        </w:rPr>
        <w:t>“</w:t>
      </w:r>
      <w:r w:rsidRPr="00E64932">
        <w:rPr>
          <w:rFonts w:ascii="Times New Roman" w:hAnsi="Times New Roman"/>
          <w:sz w:val="24"/>
          <w:szCs w:val="24"/>
        </w:rPr>
        <w:t xml:space="preserve">Consolidare, reabilitare, modernizare clădire atelier Liceul Tehnologic </w:t>
      </w:r>
      <w:r w:rsidRPr="00E64932">
        <w:rPr>
          <w:rFonts w:ascii="Times New Roman" w:hAnsi="Times New Roman"/>
          <w:color w:val="000000"/>
          <w:sz w:val="24"/>
          <w:szCs w:val="24"/>
        </w:rPr>
        <w:t>”</w:t>
      </w:r>
      <w:r w:rsidRPr="00E64932">
        <w:rPr>
          <w:rFonts w:ascii="Times New Roman" w:hAnsi="Times New Roman"/>
          <w:sz w:val="24"/>
          <w:szCs w:val="24"/>
        </w:rPr>
        <w:t>I.C.Brătianu</w:t>
      </w:r>
      <w:r w:rsidRPr="00E64932">
        <w:rPr>
          <w:rFonts w:ascii="Times New Roman" w:hAnsi="Times New Roman"/>
          <w:color w:val="000000"/>
          <w:sz w:val="24"/>
          <w:szCs w:val="24"/>
        </w:rPr>
        <w:t>”</w:t>
      </w:r>
      <w:r w:rsidRPr="00E64932">
        <w:rPr>
          <w:rFonts w:ascii="Times New Roman" w:hAnsi="Times New Roman"/>
          <w:sz w:val="24"/>
          <w:szCs w:val="24"/>
        </w:rPr>
        <w:t>, Str. Popa Lazăr nr.8A, sector 2 (DALI+SF+PT+DTAC+DE+AT)”.</w:t>
      </w:r>
    </w:p>
    <w:p w:rsidR="006B07BE" w:rsidRPr="00E64932" w:rsidRDefault="006B07BE" w:rsidP="006B07BE">
      <w:pPr>
        <w:pStyle w:val="Listparagraf1"/>
        <w:spacing w:after="0" w:line="240" w:lineRule="auto"/>
        <w:ind w:left="0"/>
        <w:jc w:val="both"/>
        <w:rPr>
          <w:rFonts w:ascii="Times New Roman" w:hAnsi="Times New Roman"/>
          <w:b/>
          <w:sz w:val="24"/>
          <w:szCs w:val="24"/>
        </w:rPr>
      </w:pPr>
      <w:r w:rsidRPr="00E64932">
        <w:rPr>
          <w:rFonts w:ascii="Times New Roman" w:hAnsi="Times New Roman"/>
          <w:b/>
          <w:sz w:val="24"/>
          <w:szCs w:val="24"/>
        </w:rPr>
        <w:t xml:space="preserve">   ● Modernizarea Liceului Teoretic “Mihail Kogălniceanu” și construirea bazei sportive la standarde internaționale pe terenul situat în Comuna Snagov, Sat Snagov, Intrarea Narciselor nr.8, Județul Ilfov.</w:t>
      </w:r>
    </w:p>
    <w:p w:rsidR="006B07BE" w:rsidRPr="00E64932" w:rsidRDefault="006B07BE" w:rsidP="006B07BE">
      <w:pPr>
        <w:pStyle w:val="Listparagraf1"/>
        <w:spacing w:after="0" w:line="240" w:lineRule="auto"/>
        <w:ind w:left="0" w:firstLine="720"/>
        <w:jc w:val="both"/>
        <w:rPr>
          <w:rFonts w:ascii="Times New Roman" w:hAnsi="Times New Roman"/>
          <w:color w:val="000000"/>
          <w:sz w:val="24"/>
          <w:szCs w:val="24"/>
        </w:rPr>
      </w:pPr>
      <w:r w:rsidRPr="00E64932">
        <w:rPr>
          <w:rFonts w:ascii="Times New Roman" w:hAnsi="Times New Roman"/>
          <w:color w:val="000000"/>
          <w:sz w:val="24"/>
          <w:szCs w:val="24"/>
        </w:rPr>
        <w:t>Amplasamentul aferent Liceului Mihail Kogălniceanu din Comuna Snagov, reprezintă posibilitatea de a investi într-o bază sportivă în afara orașului, care să ofere un nivel sporit de siguranță și confort.</w:t>
      </w:r>
    </w:p>
    <w:p w:rsidR="006B07BE" w:rsidRPr="00E64932" w:rsidRDefault="006B07BE" w:rsidP="006B07BE">
      <w:pPr>
        <w:pStyle w:val="Listparagraf1"/>
        <w:spacing w:after="0" w:line="240" w:lineRule="auto"/>
        <w:ind w:left="0" w:firstLine="720"/>
        <w:jc w:val="both"/>
        <w:rPr>
          <w:rFonts w:ascii="Times New Roman" w:hAnsi="Times New Roman"/>
          <w:sz w:val="24"/>
          <w:szCs w:val="24"/>
          <w:lang w:val="fr-FR"/>
        </w:rPr>
      </w:pPr>
      <w:r w:rsidRPr="00E64932">
        <w:rPr>
          <w:rFonts w:ascii="Times New Roman" w:hAnsi="Times New Roman"/>
          <w:sz w:val="24"/>
          <w:szCs w:val="24"/>
          <w:lang w:val="fr-FR"/>
        </w:rPr>
        <w:t>Pe terenul din strada Intrarea Narciselor nr. 8 sunt 3 clădiri :</w:t>
      </w:r>
    </w:p>
    <w:p w:rsidR="006B07BE" w:rsidRPr="00E64932" w:rsidRDefault="006B07BE" w:rsidP="00980D72">
      <w:pPr>
        <w:pStyle w:val="Listparagraf1"/>
        <w:numPr>
          <w:ilvl w:val="1"/>
          <w:numId w:val="33"/>
        </w:numPr>
        <w:spacing w:after="0" w:line="240" w:lineRule="auto"/>
        <w:ind w:left="0" w:firstLine="0"/>
        <w:jc w:val="both"/>
        <w:rPr>
          <w:rFonts w:ascii="Times New Roman" w:hAnsi="Times New Roman"/>
          <w:sz w:val="24"/>
          <w:szCs w:val="24"/>
          <w:lang w:val="fr-FR"/>
        </w:rPr>
      </w:pPr>
      <w:r w:rsidRPr="00E64932">
        <w:rPr>
          <w:rFonts w:ascii="Times New Roman" w:hAnsi="Times New Roman"/>
          <w:sz w:val="24"/>
          <w:szCs w:val="24"/>
          <w:lang w:val="fr-FR"/>
        </w:rPr>
        <w:lastRenderedPageBreak/>
        <w:t>Clădirea liceului (C1) o construcție cu acces din Intrarea Narciselor și este compusă din două tronsoane: tronsonul dinspre stradă, realizat în anul 1972, în formă de U cu laturi inegale și tronsonul din spate realizat în anul 2016; în prezent clădirea este în regim de conservare.</w:t>
      </w:r>
    </w:p>
    <w:p w:rsidR="006B07BE" w:rsidRPr="00E64932" w:rsidRDefault="006B07BE" w:rsidP="00306F64">
      <w:pPr>
        <w:pStyle w:val="Listparagraf1"/>
        <w:spacing w:after="0" w:line="240" w:lineRule="auto"/>
        <w:ind w:left="0"/>
        <w:jc w:val="both"/>
        <w:rPr>
          <w:rFonts w:ascii="Times New Roman" w:hAnsi="Times New Roman"/>
          <w:sz w:val="24"/>
          <w:szCs w:val="24"/>
          <w:lang w:val="fr-FR"/>
        </w:rPr>
      </w:pPr>
      <w:r w:rsidRPr="00E64932">
        <w:rPr>
          <w:rFonts w:ascii="Times New Roman" w:hAnsi="Times New Roman"/>
          <w:sz w:val="24"/>
          <w:szCs w:val="24"/>
          <w:lang w:val="fr-FR"/>
        </w:rPr>
        <w:t>Starea de întreținere a acestor spații este precară, fațadele sunt la stadiul de tencuială, fără a fi prevăzut un sistem de termoizolare exterioară, iar tronsonul dinspre stradă este într-o stare de degradare accentuată. Se dorește desființarea tronsonului construit în 1972 și reconstruirea acestuia pe amprenta inițială, consolidarea tronsonului construit în 2016, dacă se impune și mansardarea clădirii cu un etaj ușor, pentru creșterea capacității unității de învățământ și a siguranței utilizatorilor.</w:t>
      </w:r>
    </w:p>
    <w:p w:rsidR="006B07BE" w:rsidRPr="00E64932" w:rsidRDefault="006B07BE" w:rsidP="00980D72">
      <w:pPr>
        <w:pStyle w:val="Listparagraf1"/>
        <w:numPr>
          <w:ilvl w:val="1"/>
          <w:numId w:val="33"/>
        </w:numPr>
        <w:spacing w:after="0" w:line="240" w:lineRule="auto"/>
        <w:ind w:left="0" w:firstLine="0"/>
        <w:jc w:val="both"/>
        <w:rPr>
          <w:rFonts w:ascii="Times New Roman" w:hAnsi="Times New Roman"/>
          <w:sz w:val="24"/>
          <w:szCs w:val="24"/>
          <w:lang w:val="fr-FR"/>
        </w:rPr>
      </w:pPr>
      <w:r w:rsidRPr="00E64932">
        <w:rPr>
          <w:rFonts w:ascii="Times New Roman" w:hAnsi="Times New Roman"/>
          <w:sz w:val="24"/>
          <w:szCs w:val="24"/>
          <w:lang w:val="fr-FR"/>
        </w:rPr>
        <w:t>Clădirea sălii de sport (C2) are două tronsoane: tronsonul construit în anul 1972 cu funcțiune de sală de sport și tronsonul construit în anul 2016 cu funcțiunea de cameră tehnică, întreaga construcție fiind în prezent în regim de conservare.</w:t>
      </w:r>
    </w:p>
    <w:p w:rsidR="006B07BE" w:rsidRPr="00E64932" w:rsidRDefault="006B07BE" w:rsidP="00306F64">
      <w:pPr>
        <w:pStyle w:val="Listparagraf1"/>
        <w:spacing w:after="0" w:line="240" w:lineRule="auto"/>
        <w:ind w:left="0"/>
        <w:jc w:val="both"/>
        <w:rPr>
          <w:rFonts w:ascii="Times New Roman" w:hAnsi="Times New Roman"/>
          <w:sz w:val="24"/>
          <w:szCs w:val="24"/>
          <w:lang w:val="fr-FR"/>
        </w:rPr>
      </w:pPr>
      <w:r w:rsidRPr="00E64932">
        <w:rPr>
          <w:rFonts w:ascii="Times New Roman" w:hAnsi="Times New Roman"/>
          <w:sz w:val="24"/>
          <w:szCs w:val="24"/>
          <w:lang w:val="fr-FR"/>
        </w:rPr>
        <w:t xml:space="preserve"> Se dorește consolidarea acesteia pentru creșterea gradului de siguranță a clădirii.</w:t>
      </w:r>
    </w:p>
    <w:p w:rsidR="006B07BE" w:rsidRPr="00E64932" w:rsidRDefault="006B07BE" w:rsidP="00980D72">
      <w:pPr>
        <w:pStyle w:val="Listparagraf1"/>
        <w:numPr>
          <w:ilvl w:val="1"/>
          <w:numId w:val="33"/>
        </w:numPr>
        <w:spacing w:after="0" w:line="240" w:lineRule="auto"/>
        <w:ind w:left="0" w:firstLine="0"/>
        <w:jc w:val="both"/>
        <w:rPr>
          <w:rFonts w:ascii="Times New Roman" w:hAnsi="Times New Roman"/>
          <w:sz w:val="24"/>
          <w:szCs w:val="24"/>
          <w:lang w:val="fr-FR"/>
        </w:rPr>
      </w:pPr>
      <w:r w:rsidRPr="00E64932">
        <w:rPr>
          <w:rFonts w:ascii="Times New Roman" w:hAnsi="Times New Roman"/>
          <w:sz w:val="24"/>
          <w:szCs w:val="24"/>
          <w:lang w:val="fr-FR"/>
        </w:rPr>
        <w:t>Clădirea internat (C3) este o construcție parter + etaj, Clădirea are un tronson în formă de L construit în anul 1950 și un tronson în formă de I construit în anul 2016. În prezent clădirea este în regim de conservare. Clădirea urmează să fie demolată, pentru eliberarea amplasamentului în vederea amenajării acestuia și construirii complexului sportiv la standarde internaționale.</w:t>
      </w:r>
    </w:p>
    <w:p w:rsidR="006B07BE" w:rsidRPr="00E64932" w:rsidRDefault="006B07BE" w:rsidP="00306F64">
      <w:pPr>
        <w:pStyle w:val="Listparagraf1"/>
        <w:spacing w:after="0" w:line="240" w:lineRule="auto"/>
        <w:ind w:left="0"/>
        <w:jc w:val="both"/>
        <w:rPr>
          <w:rFonts w:ascii="Times New Roman" w:hAnsi="Times New Roman"/>
          <w:sz w:val="24"/>
          <w:szCs w:val="24"/>
        </w:rPr>
      </w:pPr>
      <w:r w:rsidRPr="00E64932">
        <w:rPr>
          <w:rFonts w:ascii="Times New Roman" w:hAnsi="Times New Roman"/>
          <w:sz w:val="24"/>
          <w:szCs w:val="24"/>
        </w:rPr>
        <w:t xml:space="preserve">Trotuarele necesită refaceri integrale, iar sistematizarea verticală a incintei este inexistentă. Nu există un acces facil pentru persoanele cu dizabilități. </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Complexul sportiv ce va fi construit pe amplasamentul internatului, va adăposti următoarele funcțiuni: sală de sport competițională cu 2.500 de locuri, sală de antrenamente, pistă de atletism, zonă pentru public, restaurant sportivi, hotel sportivi, parcare subterană și spații anexă.</w:t>
      </w:r>
    </w:p>
    <w:p w:rsidR="006B07BE" w:rsidRPr="00E64932" w:rsidRDefault="006B07BE" w:rsidP="006B07BE">
      <w:pPr>
        <w:pStyle w:val="Listparagraf1"/>
        <w:spacing w:after="0" w:line="240" w:lineRule="auto"/>
        <w:ind w:left="0" w:firstLine="720"/>
        <w:jc w:val="both"/>
        <w:rPr>
          <w:rFonts w:ascii="Times New Roman" w:hAnsi="Times New Roman"/>
          <w:sz w:val="24"/>
          <w:szCs w:val="24"/>
          <w:lang w:val="es-ES"/>
        </w:rPr>
      </w:pPr>
      <w:r w:rsidRPr="00E64932">
        <w:rPr>
          <w:rFonts w:ascii="Times New Roman" w:hAnsi="Times New Roman"/>
          <w:sz w:val="24"/>
          <w:szCs w:val="24"/>
          <w:lang w:val="es-ES"/>
        </w:rPr>
        <w:t>Asocierea în participațiune presupune ca Primăria Municipiului București să fie responsabilă de finanțarea proiectării și execuției bazei sportive și a liceului, iar Primăria Snagov să pună la dispoziție terenul respectiv.</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lang w:val="es-ES"/>
        </w:rPr>
        <w:t>A fost aprobată Hotărarea Consiliului General al Municipiului București nr.234/19.04.2018 privind aprobarea asocierii între Municipiul București și Comuna Snagov, în vederea încheierii unui Contract de asociere în participațiune având ca obiect p</w:t>
      </w:r>
      <w:r w:rsidRPr="00E64932">
        <w:rPr>
          <w:rFonts w:ascii="Times New Roman" w:hAnsi="Times New Roman"/>
          <w:sz w:val="24"/>
          <w:szCs w:val="24"/>
        </w:rPr>
        <w:t>roiectarea, implementarea și finalizarea unei baze sportive și a unui liceu la standarde internaționale pe terenul situat în Comuna Snagov, Sat Snagov, Intrarea Narciselor nr.8, Județul Ilfov".</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În prezent, sunt în lucru documentațiile necesare în vederea demarării procedurii de atribuire a contractului </w:t>
      </w:r>
      <w:r w:rsidRPr="00E64932">
        <w:rPr>
          <w:rFonts w:ascii="Times New Roman" w:hAnsi="Times New Roman"/>
          <w:sz w:val="24"/>
          <w:szCs w:val="24"/>
          <w:lang w:val="pt-BR"/>
        </w:rPr>
        <w:t xml:space="preserve">de </w:t>
      </w:r>
      <w:r w:rsidRPr="00E64932">
        <w:rPr>
          <w:rFonts w:ascii="Times New Roman" w:hAnsi="Times New Roman"/>
          <w:sz w:val="24"/>
          <w:szCs w:val="24"/>
        </w:rPr>
        <w:t xml:space="preserve">servicii de elaborare expertiză tehnică și documentație de avizare a lucrărilor de intervenție (DALI) aferente obiectivului de investiții și elaborare </w:t>
      </w:r>
      <w:r w:rsidRPr="00E64932">
        <w:rPr>
          <w:rFonts w:ascii="Times New Roman" w:hAnsi="Times New Roman"/>
          <w:sz w:val="24"/>
          <w:szCs w:val="24"/>
          <w:lang w:val="es-ES"/>
        </w:rPr>
        <w:t>Contract de asociere în participațiune.</w:t>
      </w:r>
    </w:p>
    <w:p w:rsidR="006B07BE" w:rsidRPr="00E64932" w:rsidRDefault="006B07BE" w:rsidP="006B07BE">
      <w:pPr>
        <w:pStyle w:val="Listparagraf1"/>
        <w:spacing w:after="0" w:line="240" w:lineRule="auto"/>
        <w:ind w:left="0"/>
        <w:jc w:val="both"/>
        <w:rPr>
          <w:rFonts w:ascii="Times New Roman" w:hAnsi="Times New Roman"/>
          <w:b/>
          <w:sz w:val="24"/>
          <w:szCs w:val="24"/>
        </w:rPr>
      </w:pPr>
      <w:r w:rsidRPr="00E64932">
        <w:rPr>
          <w:rFonts w:ascii="Times New Roman" w:hAnsi="Times New Roman"/>
          <w:b/>
          <w:sz w:val="24"/>
          <w:szCs w:val="24"/>
        </w:rPr>
        <w:t xml:space="preserve">   ● Reabilitarea infrastructurii educaţionale în Bucureşti – 102 şcoli - proiect finanţat de Banca Europeană de Investiţii (BEI) (obiectiv în continuare).</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Proiectul “Reabilitarea Infrastructurii Educaţionale în Bucureşti” a selectat 102 obiective, unități de învățământ preuniversitar de stat  pentru reabilitare și construirea de clădiri noi, precum şi de achiziţionare a unor dotări şi echipamente noi:</w:t>
      </w:r>
    </w:p>
    <w:p w:rsidR="006B07BE" w:rsidRPr="00E64932" w:rsidRDefault="006B07BE" w:rsidP="00980D72">
      <w:pPr>
        <w:pStyle w:val="Listparagraf1"/>
        <w:numPr>
          <w:ilvl w:val="1"/>
          <w:numId w:val="33"/>
        </w:numPr>
        <w:spacing w:after="0" w:line="240" w:lineRule="auto"/>
        <w:ind w:left="0" w:firstLine="0"/>
        <w:jc w:val="both"/>
        <w:rPr>
          <w:rFonts w:ascii="Times New Roman" w:hAnsi="Times New Roman"/>
          <w:sz w:val="24"/>
          <w:szCs w:val="24"/>
        </w:rPr>
      </w:pPr>
      <w:r w:rsidRPr="00E64932">
        <w:rPr>
          <w:rFonts w:ascii="Times New Roman" w:hAnsi="Times New Roman"/>
          <w:sz w:val="24"/>
          <w:szCs w:val="24"/>
        </w:rPr>
        <w:t>4 grădinițe;</w:t>
      </w:r>
    </w:p>
    <w:p w:rsidR="006B07BE" w:rsidRPr="00E64932" w:rsidRDefault="006B07BE" w:rsidP="00980D72">
      <w:pPr>
        <w:pStyle w:val="Listparagraf1"/>
        <w:numPr>
          <w:ilvl w:val="1"/>
          <w:numId w:val="33"/>
        </w:numPr>
        <w:spacing w:after="0" w:line="240" w:lineRule="auto"/>
        <w:ind w:left="0" w:firstLine="0"/>
        <w:jc w:val="both"/>
        <w:rPr>
          <w:rFonts w:ascii="Times New Roman" w:hAnsi="Times New Roman"/>
          <w:sz w:val="24"/>
          <w:szCs w:val="24"/>
        </w:rPr>
      </w:pPr>
      <w:r w:rsidRPr="00E64932">
        <w:rPr>
          <w:rFonts w:ascii="Times New Roman" w:hAnsi="Times New Roman"/>
          <w:sz w:val="24"/>
          <w:szCs w:val="24"/>
        </w:rPr>
        <w:t>65 şcoli generale;</w:t>
      </w:r>
    </w:p>
    <w:p w:rsidR="006B07BE" w:rsidRPr="00E64932" w:rsidRDefault="006B07BE" w:rsidP="00980D72">
      <w:pPr>
        <w:pStyle w:val="Listparagraf1"/>
        <w:numPr>
          <w:ilvl w:val="1"/>
          <w:numId w:val="33"/>
        </w:numPr>
        <w:spacing w:after="0" w:line="240" w:lineRule="auto"/>
        <w:ind w:left="0" w:firstLine="0"/>
        <w:jc w:val="both"/>
        <w:rPr>
          <w:rFonts w:ascii="Times New Roman" w:hAnsi="Times New Roman"/>
          <w:sz w:val="24"/>
          <w:szCs w:val="24"/>
        </w:rPr>
      </w:pPr>
      <w:r w:rsidRPr="00E64932">
        <w:rPr>
          <w:rFonts w:ascii="Times New Roman" w:hAnsi="Times New Roman"/>
          <w:sz w:val="24"/>
          <w:szCs w:val="24"/>
        </w:rPr>
        <w:t>15 licee;</w:t>
      </w:r>
    </w:p>
    <w:p w:rsidR="006B07BE" w:rsidRPr="00E64932" w:rsidRDefault="006B07BE" w:rsidP="00980D72">
      <w:pPr>
        <w:pStyle w:val="Listparagraf1"/>
        <w:numPr>
          <w:ilvl w:val="1"/>
          <w:numId w:val="33"/>
        </w:numPr>
        <w:spacing w:after="0" w:line="240" w:lineRule="auto"/>
        <w:ind w:left="0" w:firstLine="0"/>
        <w:jc w:val="both"/>
        <w:rPr>
          <w:rFonts w:ascii="Times New Roman" w:hAnsi="Times New Roman"/>
          <w:sz w:val="24"/>
          <w:szCs w:val="24"/>
        </w:rPr>
      </w:pPr>
      <w:r w:rsidRPr="00E64932">
        <w:rPr>
          <w:rFonts w:ascii="Times New Roman" w:hAnsi="Times New Roman"/>
          <w:sz w:val="24"/>
          <w:szCs w:val="24"/>
        </w:rPr>
        <w:t xml:space="preserve">18 şcoli speciale. </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Școala Gimnazială nr.47 a fost scoasă din proiect din cauza existenței litigiului - Legea nr. 10/2001. </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Surse Banca Europeană de Investiţii:112,2 mil. euro</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Surse locale: 121,38 mil. euro la care se adaugă TVA și alte taxe</w:t>
      </w:r>
    </w:p>
    <w:p w:rsidR="006B07BE" w:rsidRPr="00E64932" w:rsidRDefault="006B07BE" w:rsidP="006B07BE">
      <w:pPr>
        <w:pStyle w:val="Listparagraf1"/>
        <w:spacing w:after="0" w:line="240" w:lineRule="auto"/>
        <w:ind w:left="0"/>
        <w:jc w:val="both"/>
        <w:rPr>
          <w:rFonts w:ascii="Times New Roman" w:hAnsi="Times New Roman"/>
          <w:sz w:val="24"/>
          <w:szCs w:val="24"/>
        </w:rPr>
      </w:pPr>
      <w:r w:rsidRPr="00E64932">
        <w:rPr>
          <w:rFonts w:ascii="Times New Roman" w:hAnsi="Times New Roman"/>
          <w:sz w:val="24"/>
          <w:szCs w:val="24"/>
        </w:rPr>
        <w:t>Pe parcursul anului 2018 au fost realizate următoarele:</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bCs/>
          <w:iCs/>
          <w:sz w:val="24"/>
          <w:szCs w:val="24"/>
        </w:rPr>
        <w:t>6 - unități de învățământ finalizate cu Proces Verbal de Recepție Finală</w:t>
      </w:r>
      <w:r w:rsidRPr="00E64932">
        <w:rPr>
          <w:rFonts w:ascii="Times New Roman" w:hAnsi="Times New Roman"/>
          <w:sz w:val="24"/>
          <w:szCs w:val="24"/>
        </w:rPr>
        <w:t xml:space="preserve">: </w:t>
      </w:r>
    </w:p>
    <w:p w:rsidR="006B07BE" w:rsidRPr="00E64932" w:rsidRDefault="006B07BE" w:rsidP="00980D72">
      <w:pPr>
        <w:pStyle w:val="Listparagraf1"/>
        <w:numPr>
          <w:ilvl w:val="1"/>
          <w:numId w:val="33"/>
        </w:numPr>
        <w:spacing w:after="0" w:line="240" w:lineRule="auto"/>
        <w:ind w:left="0" w:firstLine="0"/>
        <w:jc w:val="both"/>
        <w:rPr>
          <w:rFonts w:ascii="Times New Roman" w:hAnsi="Times New Roman"/>
          <w:sz w:val="24"/>
          <w:szCs w:val="24"/>
        </w:rPr>
      </w:pPr>
      <w:r w:rsidRPr="00E64932">
        <w:rPr>
          <w:rFonts w:ascii="Times New Roman" w:hAnsi="Times New Roman"/>
          <w:sz w:val="24"/>
          <w:szCs w:val="24"/>
        </w:rPr>
        <w:t xml:space="preserve">Scoala Gimnazială Nr.109; </w:t>
      </w:r>
    </w:p>
    <w:p w:rsidR="006B07BE" w:rsidRPr="00E64932" w:rsidRDefault="006B07BE" w:rsidP="00980D72">
      <w:pPr>
        <w:pStyle w:val="Listparagraf1"/>
        <w:numPr>
          <w:ilvl w:val="1"/>
          <w:numId w:val="33"/>
        </w:numPr>
        <w:spacing w:after="0" w:line="240" w:lineRule="auto"/>
        <w:ind w:left="0" w:firstLine="0"/>
        <w:jc w:val="both"/>
        <w:rPr>
          <w:rFonts w:ascii="Times New Roman" w:hAnsi="Times New Roman"/>
          <w:sz w:val="24"/>
          <w:szCs w:val="24"/>
        </w:rPr>
      </w:pPr>
      <w:r w:rsidRPr="00E64932">
        <w:rPr>
          <w:rFonts w:ascii="Times New Roman" w:hAnsi="Times New Roman"/>
          <w:sz w:val="24"/>
          <w:szCs w:val="24"/>
        </w:rPr>
        <w:t xml:space="preserve">Scoala Gimnazială Nr.189; </w:t>
      </w:r>
    </w:p>
    <w:p w:rsidR="006B07BE" w:rsidRPr="00E64932" w:rsidRDefault="006B07BE" w:rsidP="00980D72">
      <w:pPr>
        <w:pStyle w:val="Listparagraf1"/>
        <w:numPr>
          <w:ilvl w:val="1"/>
          <w:numId w:val="33"/>
        </w:numPr>
        <w:spacing w:after="0" w:line="240" w:lineRule="auto"/>
        <w:ind w:left="0" w:firstLine="0"/>
        <w:jc w:val="both"/>
        <w:rPr>
          <w:rFonts w:ascii="Times New Roman" w:hAnsi="Times New Roman"/>
          <w:sz w:val="24"/>
          <w:szCs w:val="24"/>
        </w:rPr>
      </w:pPr>
      <w:r w:rsidRPr="00E64932">
        <w:rPr>
          <w:rFonts w:ascii="Times New Roman" w:hAnsi="Times New Roman"/>
          <w:sz w:val="24"/>
          <w:szCs w:val="24"/>
        </w:rPr>
        <w:t xml:space="preserve">Scoala Gimnazială Nr.93; </w:t>
      </w:r>
    </w:p>
    <w:p w:rsidR="006B07BE" w:rsidRPr="00E64932" w:rsidRDefault="006B07BE" w:rsidP="00980D72">
      <w:pPr>
        <w:pStyle w:val="Listparagraf1"/>
        <w:numPr>
          <w:ilvl w:val="1"/>
          <w:numId w:val="33"/>
        </w:numPr>
        <w:spacing w:after="0" w:line="240" w:lineRule="auto"/>
        <w:ind w:left="0" w:firstLine="0"/>
        <w:jc w:val="both"/>
        <w:rPr>
          <w:rFonts w:ascii="Times New Roman" w:hAnsi="Times New Roman"/>
          <w:sz w:val="24"/>
          <w:szCs w:val="24"/>
        </w:rPr>
      </w:pPr>
      <w:r w:rsidRPr="00E64932">
        <w:rPr>
          <w:rFonts w:ascii="Times New Roman" w:hAnsi="Times New Roman"/>
          <w:sz w:val="24"/>
          <w:szCs w:val="24"/>
        </w:rPr>
        <w:lastRenderedPageBreak/>
        <w:t xml:space="preserve">Scoala Gimnazială Nr.310; </w:t>
      </w:r>
    </w:p>
    <w:p w:rsidR="006B07BE" w:rsidRPr="00E64932" w:rsidRDefault="006B07BE" w:rsidP="00980D72">
      <w:pPr>
        <w:pStyle w:val="Listparagraf1"/>
        <w:numPr>
          <w:ilvl w:val="1"/>
          <w:numId w:val="33"/>
        </w:numPr>
        <w:spacing w:after="0" w:line="240" w:lineRule="auto"/>
        <w:ind w:left="0" w:firstLine="0"/>
        <w:jc w:val="both"/>
        <w:rPr>
          <w:rFonts w:ascii="Times New Roman" w:hAnsi="Times New Roman"/>
          <w:sz w:val="24"/>
          <w:szCs w:val="24"/>
        </w:rPr>
      </w:pPr>
      <w:r w:rsidRPr="00E64932">
        <w:rPr>
          <w:rFonts w:ascii="Times New Roman" w:hAnsi="Times New Roman"/>
          <w:sz w:val="24"/>
          <w:szCs w:val="24"/>
        </w:rPr>
        <w:t>Scoala Gimnazială Nr.110</w:t>
      </w:r>
    </w:p>
    <w:p w:rsidR="006B07BE" w:rsidRPr="00E64932" w:rsidRDefault="006B07BE" w:rsidP="00980D72">
      <w:pPr>
        <w:pStyle w:val="Listparagraf1"/>
        <w:numPr>
          <w:ilvl w:val="1"/>
          <w:numId w:val="33"/>
        </w:numPr>
        <w:spacing w:after="0" w:line="240" w:lineRule="auto"/>
        <w:ind w:left="0" w:firstLine="0"/>
        <w:jc w:val="both"/>
        <w:rPr>
          <w:rFonts w:ascii="Times New Roman" w:hAnsi="Times New Roman"/>
          <w:sz w:val="24"/>
          <w:szCs w:val="24"/>
        </w:rPr>
      </w:pPr>
      <w:r w:rsidRPr="00E64932">
        <w:rPr>
          <w:rFonts w:ascii="Times New Roman" w:hAnsi="Times New Roman"/>
          <w:sz w:val="24"/>
          <w:szCs w:val="24"/>
        </w:rPr>
        <w:t>Liceul Tehnologic Special Nr.3 (Centrul Special Nr.3)</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La această dată, situația reabilitării unităților de învățământ din cadrul proiectului se prezintă astfel; </w:t>
      </w:r>
    </w:p>
    <w:p w:rsidR="006B07BE" w:rsidRPr="00E64932" w:rsidRDefault="006B07BE" w:rsidP="00980D72">
      <w:pPr>
        <w:pStyle w:val="Listparagraf1"/>
        <w:numPr>
          <w:ilvl w:val="1"/>
          <w:numId w:val="33"/>
        </w:numPr>
        <w:spacing w:after="0" w:line="240" w:lineRule="auto"/>
        <w:ind w:left="0" w:firstLine="0"/>
        <w:jc w:val="both"/>
        <w:rPr>
          <w:rFonts w:ascii="Times New Roman" w:hAnsi="Times New Roman"/>
          <w:sz w:val="24"/>
          <w:szCs w:val="24"/>
        </w:rPr>
      </w:pPr>
      <w:r w:rsidRPr="00E64932">
        <w:rPr>
          <w:rFonts w:ascii="Times New Roman" w:hAnsi="Times New Roman"/>
          <w:sz w:val="24"/>
          <w:szCs w:val="24"/>
        </w:rPr>
        <w:t>93 unități de învățământ au recepție finală.</w:t>
      </w:r>
    </w:p>
    <w:p w:rsidR="006B07BE" w:rsidRPr="00E64932" w:rsidRDefault="006B07BE" w:rsidP="00980D72">
      <w:pPr>
        <w:pStyle w:val="Listparagraf1"/>
        <w:numPr>
          <w:ilvl w:val="1"/>
          <w:numId w:val="33"/>
        </w:numPr>
        <w:spacing w:after="0" w:line="240" w:lineRule="auto"/>
        <w:ind w:left="0" w:firstLine="0"/>
        <w:jc w:val="both"/>
        <w:rPr>
          <w:rFonts w:ascii="Times New Roman" w:hAnsi="Times New Roman"/>
          <w:sz w:val="24"/>
          <w:szCs w:val="24"/>
        </w:rPr>
      </w:pPr>
      <w:r w:rsidRPr="00E64932">
        <w:rPr>
          <w:rFonts w:ascii="Times New Roman" w:hAnsi="Times New Roman"/>
          <w:sz w:val="24"/>
          <w:szCs w:val="24"/>
        </w:rPr>
        <w:t>2 unități de învățământ au recepție la terminarea lucrărilor şi sunt în garanție (Scoala Profesională Specială nr. 2 și Colegiul Agricol V. Harnaj) urmând ca după perioada de garanție să fie efectuată recepția finală (2019).</w:t>
      </w:r>
    </w:p>
    <w:p w:rsidR="006B07BE" w:rsidRPr="00E64932" w:rsidRDefault="006B07BE" w:rsidP="00980D72">
      <w:pPr>
        <w:pStyle w:val="Listparagraf1"/>
        <w:numPr>
          <w:ilvl w:val="1"/>
          <w:numId w:val="33"/>
        </w:numPr>
        <w:spacing w:after="0" w:line="240" w:lineRule="auto"/>
        <w:ind w:left="0" w:firstLine="0"/>
        <w:jc w:val="both"/>
        <w:rPr>
          <w:rFonts w:ascii="Times New Roman" w:hAnsi="Times New Roman"/>
          <w:sz w:val="24"/>
          <w:szCs w:val="24"/>
        </w:rPr>
      </w:pPr>
      <w:r w:rsidRPr="00E64932">
        <w:rPr>
          <w:rFonts w:ascii="Times New Roman" w:hAnsi="Times New Roman"/>
          <w:sz w:val="24"/>
          <w:szCs w:val="24"/>
        </w:rPr>
        <w:t>Liceul N. Stănescu, contract in derulare din anul 2018 încheiat cu Compania Municipală Trustul de Clădiri Metropolitane SA;</w:t>
      </w:r>
    </w:p>
    <w:p w:rsidR="006B07BE" w:rsidRPr="00E64932" w:rsidRDefault="006B07BE" w:rsidP="00980D72">
      <w:pPr>
        <w:pStyle w:val="Listparagraf1"/>
        <w:numPr>
          <w:ilvl w:val="1"/>
          <w:numId w:val="33"/>
        </w:numPr>
        <w:spacing w:after="0" w:line="240" w:lineRule="auto"/>
        <w:ind w:left="0" w:firstLine="0"/>
        <w:jc w:val="both"/>
        <w:rPr>
          <w:rFonts w:ascii="Times New Roman" w:hAnsi="Times New Roman"/>
          <w:sz w:val="24"/>
          <w:szCs w:val="24"/>
        </w:rPr>
      </w:pPr>
      <w:r w:rsidRPr="00E64932">
        <w:rPr>
          <w:rFonts w:ascii="Times New Roman" w:hAnsi="Times New Roman"/>
          <w:sz w:val="24"/>
          <w:szCs w:val="24"/>
        </w:rPr>
        <w:t>4 unități de învățământ (Liceul Enescu, Școala Gimnazială nr.87, Școala Gimnazială nr. 173  şi  Școala Gimnazială nr. 7), nefinalizate, a căror contracte au fost reziliate și antreprenorul a înaintat acțiune in instanță – Curtea de Arbitraj CAD pentru plata unor lucrări executate dar care nu sunt conforme/executate parțial;</w:t>
      </w:r>
    </w:p>
    <w:p w:rsidR="006B07BE" w:rsidRPr="00E64932" w:rsidRDefault="006B07BE" w:rsidP="00980D72">
      <w:pPr>
        <w:pStyle w:val="Listparagraf1"/>
        <w:numPr>
          <w:ilvl w:val="1"/>
          <w:numId w:val="33"/>
        </w:numPr>
        <w:spacing w:after="0" w:line="240" w:lineRule="auto"/>
        <w:ind w:left="0" w:firstLine="0"/>
        <w:jc w:val="both"/>
        <w:rPr>
          <w:rFonts w:ascii="Times New Roman" w:hAnsi="Times New Roman"/>
          <w:sz w:val="24"/>
          <w:szCs w:val="24"/>
        </w:rPr>
      </w:pPr>
      <w:r w:rsidRPr="00E64932">
        <w:rPr>
          <w:rFonts w:ascii="Times New Roman" w:hAnsi="Times New Roman"/>
          <w:sz w:val="24"/>
          <w:szCs w:val="24"/>
        </w:rPr>
        <w:t xml:space="preserve">2 unități de învățământ (Școala Gimnazială nr.149 şi Școala Gimnazială nr.16) nefinalizate, a căror contracte au fost reziliate, lucrările au fost finalizate </w:t>
      </w:r>
      <w:r w:rsidRPr="00E64932">
        <w:rPr>
          <w:rFonts w:ascii="Times New Roman" w:hAnsi="Times New Roman"/>
          <w:bCs/>
          <w:color w:val="000000"/>
          <w:sz w:val="24"/>
          <w:szCs w:val="24"/>
        </w:rPr>
        <w:t>î</w:t>
      </w:r>
      <w:r w:rsidRPr="00E64932">
        <w:rPr>
          <w:rFonts w:ascii="Times New Roman" w:hAnsi="Times New Roman"/>
          <w:sz w:val="24"/>
          <w:szCs w:val="24"/>
        </w:rPr>
        <w:t>n proporție de 80%; S-a executat expertiză tehnică, urmând a se atribui contractul de lucrări in vederea finalizării acestora;</w:t>
      </w:r>
    </w:p>
    <w:p w:rsidR="006B07BE" w:rsidRPr="00E64932" w:rsidRDefault="006B07BE" w:rsidP="00980D72">
      <w:pPr>
        <w:pStyle w:val="Listparagraf1"/>
        <w:numPr>
          <w:ilvl w:val="1"/>
          <w:numId w:val="33"/>
        </w:numPr>
        <w:spacing w:after="0" w:line="240" w:lineRule="auto"/>
        <w:ind w:left="0" w:firstLine="0"/>
        <w:jc w:val="both"/>
        <w:rPr>
          <w:rFonts w:ascii="Times New Roman" w:hAnsi="Times New Roman"/>
          <w:sz w:val="24"/>
          <w:szCs w:val="24"/>
        </w:rPr>
      </w:pPr>
      <w:r w:rsidRPr="00E64932">
        <w:rPr>
          <w:rFonts w:ascii="Times New Roman" w:hAnsi="Times New Roman"/>
          <w:sz w:val="24"/>
          <w:szCs w:val="24"/>
        </w:rPr>
        <w:t>Colegiul Viilor - contractul suspendat până la soluționarea litigiului pentru etajele IV şi V. Menționăm că au fost executate lucrările de reabilitare până la etajul 4 inclusiv, unde se desfășoară activitatea educațională. Etajele V și VI aparțin Ministerului Educației si unei firme private care nu vor să elibereze spațiile. Pentru continuarea lucrărilor trebuie efectuată o nouă expertiză tehnică având in vedere perioada mare de timp care a trecut de la sistarea lucrărilor până in prezent.</w:t>
      </w:r>
    </w:p>
    <w:p w:rsidR="006B07BE" w:rsidRPr="00E64932" w:rsidRDefault="006B07BE" w:rsidP="00980D72">
      <w:pPr>
        <w:pStyle w:val="Listparagraf1"/>
        <w:numPr>
          <w:ilvl w:val="1"/>
          <w:numId w:val="33"/>
        </w:numPr>
        <w:spacing w:after="0" w:line="240" w:lineRule="auto"/>
        <w:ind w:left="0" w:firstLine="0"/>
        <w:jc w:val="both"/>
        <w:rPr>
          <w:rFonts w:ascii="Times New Roman" w:hAnsi="Times New Roman"/>
          <w:sz w:val="24"/>
          <w:szCs w:val="24"/>
        </w:rPr>
      </w:pPr>
      <w:r w:rsidRPr="00E64932">
        <w:rPr>
          <w:rFonts w:ascii="Times New Roman" w:hAnsi="Times New Roman"/>
          <w:sz w:val="24"/>
          <w:szCs w:val="24"/>
        </w:rPr>
        <w:t>La Colegiul Mihai Viteazul, din cauza unor probleme privind securitatea la incendiu și nerezolvate până la această data, nu se poate efectua recepția finală. Menționăm că recepția la terminarea lucrărilor s-a efectuat la data de 26.08.2011.</w:t>
      </w:r>
    </w:p>
    <w:p w:rsidR="006B07BE" w:rsidRPr="00E64932" w:rsidRDefault="006B07BE" w:rsidP="00980D72">
      <w:pPr>
        <w:pStyle w:val="Listparagraf1"/>
        <w:numPr>
          <w:ilvl w:val="1"/>
          <w:numId w:val="33"/>
        </w:numPr>
        <w:spacing w:after="0" w:line="240" w:lineRule="auto"/>
        <w:ind w:left="0" w:firstLine="0"/>
        <w:jc w:val="both"/>
        <w:rPr>
          <w:rFonts w:ascii="Times New Roman" w:hAnsi="Times New Roman"/>
          <w:sz w:val="24"/>
          <w:szCs w:val="24"/>
        </w:rPr>
      </w:pPr>
      <w:r w:rsidRPr="00E64932">
        <w:rPr>
          <w:rFonts w:ascii="Times New Roman" w:hAnsi="Times New Roman"/>
          <w:sz w:val="24"/>
          <w:szCs w:val="24"/>
        </w:rPr>
        <w:t xml:space="preserve">Sala sport aferentă Școlii Gimnaziale nr.74 este nefinalizată. Antreprenorul a solicitat rezilierea contractului de lucrări și totodată solicită plata unor lucrări executate in perioada de suspendare care nu pot fi decontate. </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Pe lângă reabilitarea unităților de învățământ proiectul a prevăzut și dotarea atelierelor cu echipamente și utilaje pentru toate unitățile de învățământ cu profil tehnic şi profesional cuprinse în proiect, pentru care s-au stabilit 15 loturi pe tipuri de profiluri tehnice. </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color w:val="000000"/>
          <w:sz w:val="24"/>
          <w:szCs w:val="24"/>
        </w:rPr>
        <w:t xml:space="preserve">Pentru 4 loturi </w:t>
      </w:r>
      <w:r w:rsidRPr="00E64932">
        <w:rPr>
          <w:rFonts w:ascii="Times New Roman" w:hAnsi="Times New Roman"/>
          <w:sz w:val="24"/>
          <w:szCs w:val="24"/>
        </w:rPr>
        <w:t>(1, 2, 7, 12)</w:t>
      </w:r>
      <w:r w:rsidRPr="00E64932">
        <w:rPr>
          <w:rFonts w:ascii="Times New Roman" w:hAnsi="Times New Roman"/>
          <w:color w:val="000000"/>
          <w:sz w:val="24"/>
          <w:szCs w:val="24"/>
        </w:rPr>
        <w:t xml:space="preserve"> ateliere rămase de achiziționat, procedura de achiziție s-a finalizat in 2018 prin atribuirea contractelor de furnizare numai pentru</w:t>
      </w:r>
      <w:r w:rsidRPr="00E64932">
        <w:rPr>
          <w:rFonts w:ascii="Times New Roman" w:hAnsi="Times New Roman"/>
          <w:sz w:val="24"/>
          <w:szCs w:val="24"/>
        </w:rPr>
        <w:t xml:space="preserve"> 3 loturi ( Loturile 1, 7, 12). </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Din cele 3 loturi cu contracte de furnizare încheiate, s-au finalizat in cursul anului 2018:</w:t>
      </w:r>
    </w:p>
    <w:p w:rsidR="006B07BE" w:rsidRPr="00E64932" w:rsidRDefault="006B07BE" w:rsidP="00980D72">
      <w:pPr>
        <w:pStyle w:val="Listparagraf1"/>
        <w:numPr>
          <w:ilvl w:val="1"/>
          <w:numId w:val="33"/>
        </w:numPr>
        <w:spacing w:after="0" w:line="240" w:lineRule="auto"/>
        <w:ind w:left="0" w:firstLine="0"/>
        <w:jc w:val="both"/>
        <w:rPr>
          <w:rFonts w:ascii="Times New Roman" w:hAnsi="Times New Roman"/>
          <w:sz w:val="24"/>
          <w:szCs w:val="24"/>
        </w:rPr>
      </w:pPr>
      <w:r w:rsidRPr="00E64932">
        <w:rPr>
          <w:rFonts w:ascii="Times New Roman" w:hAnsi="Times New Roman"/>
          <w:sz w:val="24"/>
          <w:szCs w:val="24"/>
        </w:rPr>
        <w:t>LOT 7 – Atelier Tâmplărie mecanică/manuală, Contract furnizare nr.779/26.06.2018, încheiat cu SC Energo-Metr SRL, în valoare de 501.535,19 lei fără TVA, aferente unităților de învățământ:</w:t>
      </w:r>
    </w:p>
    <w:p w:rsidR="006B07BE" w:rsidRPr="00E64932" w:rsidRDefault="006B07BE" w:rsidP="00980D72">
      <w:pPr>
        <w:pStyle w:val="Listparagraf1"/>
        <w:numPr>
          <w:ilvl w:val="1"/>
          <w:numId w:val="33"/>
        </w:numPr>
        <w:spacing w:after="0" w:line="240" w:lineRule="auto"/>
        <w:ind w:left="0" w:firstLine="0"/>
        <w:jc w:val="both"/>
        <w:rPr>
          <w:rFonts w:ascii="Times New Roman" w:hAnsi="Times New Roman"/>
          <w:sz w:val="24"/>
          <w:szCs w:val="24"/>
        </w:rPr>
      </w:pPr>
      <w:r w:rsidRPr="00E64932">
        <w:rPr>
          <w:rFonts w:ascii="Times New Roman" w:hAnsi="Times New Roman"/>
          <w:sz w:val="24"/>
          <w:szCs w:val="24"/>
        </w:rPr>
        <w:t>LOT 12 – Atelier Prelucrări mecanice”, Contractul de furnizare nr.780/26.06.2018 - încheiat cu SC Energo-Metr SRL, în valoare de 154.991,89 lei fără TVA, pentru Grupul Școlar Ind. “D. Gusti”.</w:t>
      </w:r>
    </w:p>
    <w:p w:rsidR="006B07BE" w:rsidRPr="00E64932" w:rsidRDefault="006B07BE" w:rsidP="00980D72">
      <w:pPr>
        <w:pStyle w:val="Listparagraf1"/>
        <w:numPr>
          <w:ilvl w:val="1"/>
          <w:numId w:val="33"/>
        </w:numPr>
        <w:spacing w:after="0" w:line="240" w:lineRule="auto"/>
        <w:ind w:left="0" w:firstLine="0"/>
        <w:jc w:val="both"/>
        <w:rPr>
          <w:rFonts w:ascii="Times New Roman" w:hAnsi="Times New Roman"/>
          <w:sz w:val="24"/>
          <w:szCs w:val="24"/>
        </w:rPr>
      </w:pPr>
      <w:r w:rsidRPr="00E64932">
        <w:rPr>
          <w:rFonts w:ascii="Times New Roman" w:hAnsi="Times New Roman"/>
          <w:sz w:val="24"/>
          <w:szCs w:val="24"/>
        </w:rPr>
        <w:t>Pentru LOTUL 1 – Atelier Industrie Alimentară, Contractul de furnizare nr.778/26.06.2018 - încheiat cu SC Energo-Metr SRL, în valoare de 154.991,89 lei fără TVA, s-au efectuat livrări parțiale aferente unităților de învățământ :</w:t>
      </w:r>
    </w:p>
    <w:p w:rsidR="006B07BE" w:rsidRPr="00E64932" w:rsidRDefault="006B07BE" w:rsidP="00306F64">
      <w:pPr>
        <w:pStyle w:val="Listparagraf1"/>
        <w:spacing w:after="0" w:line="240" w:lineRule="auto"/>
        <w:ind w:left="0"/>
        <w:jc w:val="both"/>
        <w:rPr>
          <w:rFonts w:ascii="Times New Roman" w:hAnsi="Times New Roman"/>
          <w:sz w:val="24"/>
          <w:szCs w:val="24"/>
        </w:rPr>
      </w:pPr>
      <w:r w:rsidRPr="00E64932">
        <w:rPr>
          <w:rFonts w:ascii="Times New Roman" w:hAnsi="Times New Roman"/>
          <w:sz w:val="24"/>
          <w:szCs w:val="24"/>
        </w:rPr>
        <w:t>• Liceul Tehnologic Special nr.3 (Centrul Special Nr. 3)</w:t>
      </w:r>
    </w:p>
    <w:p w:rsidR="006B07BE" w:rsidRPr="00E64932" w:rsidRDefault="006B07BE" w:rsidP="00306F64">
      <w:pPr>
        <w:pStyle w:val="Listparagraf1"/>
        <w:spacing w:after="0" w:line="240" w:lineRule="auto"/>
        <w:ind w:left="0"/>
        <w:jc w:val="both"/>
        <w:rPr>
          <w:rFonts w:ascii="Times New Roman" w:hAnsi="Times New Roman"/>
          <w:sz w:val="24"/>
          <w:szCs w:val="24"/>
        </w:rPr>
      </w:pPr>
      <w:r w:rsidRPr="00E64932">
        <w:rPr>
          <w:rFonts w:ascii="Times New Roman" w:hAnsi="Times New Roman"/>
          <w:sz w:val="24"/>
          <w:szCs w:val="24"/>
        </w:rPr>
        <w:t xml:space="preserve">• Școala Specială Profesională Nr. 2;  </w:t>
      </w:r>
    </w:p>
    <w:p w:rsidR="006B07BE" w:rsidRPr="00E64932" w:rsidRDefault="006B07BE" w:rsidP="00306F64">
      <w:pPr>
        <w:pStyle w:val="Listparagraf1"/>
        <w:spacing w:after="0" w:line="240" w:lineRule="auto"/>
        <w:ind w:left="0"/>
        <w:jc w:val="both"/>
        <w:rPr>
          <w:rFonts w:ascii="Times New Roman" w:hAnsi="Times New Roman"/>
          <w:sz w:val="24"/>
          <w:szCs w:val="24"/>
        </w:rPr>
      </w:pPr>
      <w:r w:rsidRPr="00E64932">
        <w:rPr>
          <w:rFonts w:ascii="Times New Roman" w:hAnsi="Times New Roman"/>
          <w:sz w:val="24"/>
          <w:szCs w:val="24"/>
        </w:rPr>
        <w:t>• Școala Gimnaziala nr. 311</w:t>
      </w:r>
    </w:p>
    <w:p w:rsidR="006B07BE" w:rsidRPr="00E64932" w:rsidRDefault="006B07BE" w:rsidP="00306F64">
      <w:pPr>
        <w:pStyle w:val="Listparagraf1"/>
        <w:spacing w:after="0" w:line="240" w:lineRule="auto"/>
        <w:ind w:left="0"/>
        <w:jc w:val="both"/>
        <w:rPr>
          <w:rFonts w:ascii="Times New Roman" w:hAnsi="Times New Roman"/>
          <w:sz w:val="24"/>
          <w:szCs w:val="24"/>
        </w:rPr>
      </w:pPr>
      <w:r w:rsidRPr="00E64932">
        <w:rPr>
          <w:rFonts w:ascii="Times New Roman" w:hAnsi="Times New Roman"/>
          <w:sz w:val="24"/>
          <w:szCs w:val="24"/>
        </w:rPr>
        <w:t>• Liceul Teoretic « N. Stănescu</w:t>
      </w:r>
    </w:p>
    <w:p w:rsidR="006B07BE" w:rsidRPr="00E64932" w:rsidRDefault="006B07BE" w:rsidP="00306F64">
      <w:pPr>
        <w:pStyle w:val="Listparagraf1"/>
        <w:spacing w:after="0" w:line="240" w:lineRule="auto"/>
        <w:ind w:left="0"/>
        <w:jc w:val="both"/>
        <w:rPr>
          <w:rFonts w:ascii="Times New Roman" w:hAnsi="Times New Roman"/>
          <w:sz w:val="24"/>
          <w:szCs w:val="24"/>
        </w:rPr>
      </w:pPr>
      <w:r w:rsidRPr="00E64932">
        <w:rPr>
          <w:rFonts w:ascii="Times New Roman" w:hAnsi="Times New Roman"/>
          <w:sz w:val="24"/>
          <w:szCs w:val="24"/>
        </w:rPr>
        <w:t>• Colegiul Tehnic de Industrie Alimentară « D. Motoc »</w:t>
      </w:r>
    </w:p>
    <w:p w:rsidR="006B07BE" w:rsidRPr="00E64932" w:rsidRDefault="006B07BE" w:rsidP="00306F64">
      <w:pPr>
        <w:pStyle w:val="Listparagraf1"/>
        <w:spacing w:after="0" w:line="240" w:lineRule="auto"/>
        <w:ind w:left="0"/>
        <w:jc w:val="both"/>
        <w:rPr>
          <w:rFonts w:ascii="Times New Roman" w:hAnsi="Times New Roman"/>
          <w:sz w:val="24"/>
          <w:szCs w:val="24"/>
        </w:rPr>
      </w:pPr>
      <w:r w:rsidRPr="00E64932">
        <w:rPr>
          <w:rFonts w:ascii="Times New Roman" w:hAnsi="Times New Roman"/>
          <w:sz w:val="24"/>
          <w:szCs w:val="24"/>
        </w:rPr>
        <w:t>• Școala Gimnazială nr. 194</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Având în vedere finalizarea proiectului, se impune continuarea lucrărilor de reabilitare, pentru un număr de 9 unități de învățământ, la care contractele au fost reziliate sau suspendate, astfel: </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lastRenderedPageBreak/>
        <w:t xml:space="preserve">1. Colegiul Economic Viilor: Unitatea de învățământ este funcțională cu excepția etajelor V și VI. Contractul a fost atribuit SC T DANCOR ROMCONSTRUCT și  este suspendat din anul  2013. </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Lucrările aferente etajelor P + IV au fost finalizate, dar nu s-a putut convoca Recepția la Terminarea Lucrărilor din cauza neefectuării lucrărilor prevăzute în contract pentru etajele V si VI. Lucrările de reabilitare, neputând fi efectuate deoarece etajul 5 este utilizat de angajații Ministerului Educației, iar etajul 6 fiind în litigiu. Firma executantă nu poate face recepția la terminarea lucrărilor și nu-și poate recupera garanția de bună execuție.</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Necesitatea urgentării finalizării lucrărilor de consolidare a etajelor V și VI reiese şi din Punctul de vedere al proiectantului asupra execuției, care menționează  că până în prezent nu s-a respectat proiectul de consolidare pe întreaga înălțime a structurii de rezistență având consecințe grave în ceea ce privește cerințele fundamentale de siguranță (cerință de siguranță a vieții și cerința de limitare a degradărilor, prevăzute în Codul de proiectare seismică P100-2008, precum și siguranța în exploatare a obiectivului.</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2. Școlile Gimnaziale Nr.16 și Nr.149 – Ambele unități de învățământ sunt funcționale cu excepția sălilor de sport. La această dată contractul este reziliat. Pană la această dată nu s-a scos la licitație restul de lucrări, conform legilor in vigoare, este necesară o expertiză pentru restul de lucrări, precum și revizuirea proiectului. La casa scării de la Scoala Nr.16 a apărut o fisură prin tasarea pereților, motiv pentru care s-a întocmit o expertiză tehnică, urmând a se efectua proiect de consolidare. </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3. Liceul Nichita Stănescu – Lucrările au fost realizate în proporție de 80% in baza contractului de lucrări încheiat cu SC ROMBET SA BACAU, contract reziliat din cauza intrării în faliment a firmei de construcții. Unitatea de învățământ este funcțională cu excepția cantinei – corp G și corp A și amenajări exterioare. In anul 2018 s-a atribuit contractul Companiei Municipale Trustul de Clădiri Metropolitane pentru continuarea și finalizarea lucrărilor la obiectiv.</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 4. Școala Gimnazială nr.7, Școala Gimnazială nr. 87, Școala Gimnazială nr. 173 și Liceul de Muzică „George Enescu” sunt funcționale - Contractul atribuit SC ROZA PROD SRL este reziliat. Pentru finalizarea lucrărilor sunt necesare expertize tehnice in vederea terminării lucrărilor si a obiectivului.</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 5.  Școala Generală nr.74- Sală sport- Contractul atribuit SC ROZA PROD SRL este reziliat. Pentru finalizarea lucrărilor sunt necesare expertize tehnice in vederea terminării lucrărilor si a obiectivului.</w:t>
      </w:r>
    </w:p>
    <w:p w:rsidR="006B07BE" w:rsidRPr="00E64932" w:rsidRDefault="00082575" w:rsidP="006B07BE">
      <w:pPr>
        <w:pStyle w:val="Listparagraf1"/>
        <w:spacing w:after="0" w:line="240" w:lineRule="auto"/>
        <w:ind w:left="0"/>
        <w:rPr>
          <w:rFonts w:ascii="Times New Roman" w:hAnsi="Times New Roman"/>
          <w:b/>
          <w:color w:val="000000"/>
          <w:sz w:val="24"/>
          <w:szCs w:val="24"/>
        </w:rPr>
      </w:pPr>
      <w:r>
        <w:t xml:space="preserve"> </w:t>
      </w:r>
      <w:r w:rsidR="006B07BE" w:rsidRPr="00E64932">
        <w:rPr>
          <w:rFonts w:ascii="Times New Roman" w:hAnsi="Times New Roman"/>
          <w:b/>
          <w:color w:val="000000"/>
          <w:sz w:val="24"/>
          <w:szCs w:val="24"/>
        </w:rPr>
        <w:t>P.M.B. – Direcţia Generală Investiţii</w:t>
      </w:r>
    </w:p>
    <w:p w:rsidR="006B07BE" w:rsidRPr="00E64932" w:rsidRDefault="006B07BE" w:rsidP="006B07BE">
      <w:pPr>
        <w:pStyle w:val="Listparagraf1"/>
        <w:spacing w:after="0" w:line="240" w:lineRule="auto"/>
        <w:ind w:left="0"/>
        <w:rPr>
          <w:rFonts w:ascii="Times New Roman" w:hAnsi="Times New Roman"/>
          <w:color w:val="000000"/>
          <w:sz w:val="24"/>
          <w:szCs w:val="24"/>
        </w:rPr>
      </w:pPr>
    </w:p>
    <w:p w:rsidR="006B07BE" w:rsidRPr="00E64932" w:rsidRDefault="006B07BE" w:rsidP="006B07BE">
      <w:pPr>
        <w:pStyle w:val="Listparagraf1"/>
        <w:spacing w:after="0" w:line="240" w:lineRule="auto"/>
        <w:ind w:left="0"/>
        <w:rPr>
          <w:rFonts w:ascii="Times New Roman" w:hAnsi="Times New Roman"/>
          <w:b/>
          <w:color w:val="000000"/>
          <w:sz w:val="24"/>
          <w:szCs w:val="24"/>
        </w:rPr>
      </w:pPr>
      <w:r w:rsidRPr="00E64932">
        <w:rPr>
          <w:rFonts w:ascii="Times New Roman" w:hAnsi="Times New Roman"/>
          <w:b/>
          <w:color w:val="000000"/>
          <w:sz w:val="24"/>
          <w:szCs w:val="24"/>
        </w:rPr>
        <w:t xml:space="preserve">► Investiții în infrastructura culturală </w:t>
      </w:r>
    </w:p>
    <w:p w:rsidR="006B07BE" w:rsidRPr="00E64932" w:rsidRDefault="006B07BE" w:rsidP="006B07BE">
      <w:pPr>
        <w:pStyle w:val="Listparagraf1"/>
        <w:spacing w:after="0" w:line="240" w:lineRule="auto"/>
        <w:ind w:left="0"/>
        <w:rPr>
          <w:rFonts w:ascii="Times New Roman" w:hAnsi="Times New Roman"/>
          <w:color w:val="000000"/>
          <w:sz w:val="24"/>
          <w:szCs w:val="24"/>
        </w:rPr>
      </w:pPr>
      <w:r w:rsidRPr="00E64932">
        <w:rPr>
          <w:rFonts w:ascii="Times New Roman" w:hAnsi="Times New Roman"/>
          <w:b/>
          <w:color w:val="000000"/>
          <w:sz w:val="24"/>
          <w:szCs w:val="24"/>
        </w:rPr>
        <w:t xml:space="preserve">   ● Teatrul Ion Creangă – Str. Piaţa Amzei nr.13, sector 1</w:t>
      </w:r>
      <w:r w:rsidRPr="00E64932">
        <w:rPr>
          <w:rFonts w:ascii="Times New Roman" w:hAnsi="Times New Roman"/>
          <w:color w:val="000000"/>
          <w:sz w:val="24"/>
          <w:szCs w:val="24"/>
        </w:rPr>
        <w:t xml:space="preserve">     </w:t>
      </w:r>
    </w:p>
    <w:p w:rsidR="006B07BE" w:rsidRPr="00E64932" w:rsidRDefault="006B07BE" w:rsidP="006B07BE">
      <w:pPr>
        <w:pStyle w:val="Listparagraf1"/>
        <w:spacing w:after="0" w:line="240" w:lineRule="auto"/>
        <w:ind w:left="0"/>
        <w:jc w:val="both"/>
        <w:rPr>
          <w:rFonts w:ascii="Times New Roman" w:hAnsi="Times New Roman"/>
          <w:color w:val="000000"/>
          <w:sz w:val="24"/>
          <w:szCs w:val="24"/>
        </w:rPr>
      </w:pPr>
      <w:r w:rsidRPr="00E64932">
        <w:rPr>
          <w:rFonts w:ascii="Times New Roman" w:hAnsi="Times New Roman"/>
          <w:color w:val="000000"/>
          <w:sz w:val="24"/>
          <w:szCs w:val="24"/>
        </w:rPr>
        <w:t xml:space="preserve">          </w:t>
      </w:r>
      <w:r w:rsidRPr="00E64932">
        <w:rPr>
          <w:rFonts w:ascii="Times New Roman" w:hAnsi="Times New Roman"/>
          <w:bCs/>
          <w:color w:val="000000"/>
          <w:sz w:val="24"/>
          <w:szCs w:val="24"/>
          <w:lang w:val="it-IT"/>
        </w:rPr>
        <w:tab/>
      </w:r>
      <w:r w:rsidRPr="00E64932">
        <w:rPr>
          <w:rFonts w:ascii="Times New Roman" w:hAnsi="Times New Roman"/>
          <w:color w:val="000000"/>
          <w:sz w:val="24"/>
          <w:szCs w:val="24"/>
        </w:rPr>
        <w:t>Proiectul propune modernizarea generală a sălii de teatru, conform cerinţelor actuale ale acestui tip de destinaţie.</w:t>
      </w:r>
    </w:p>
    <w:p w:rsidR="006B07BE" w:rsidRPr="00E64932" w:rsidRDefault="006B07BE" w:rsidP="006B07BE">
      <w:pPr>
        <w:pStyle w:val="Listparagraf1"/>
        <w:spacing w:after="0" w:line="240" w:lineRule="auto"/>
        <w:ind w:left="0" w:firstLine="720"/>
        <w:jc w:val="both"/>
        <w:rPr>
          <w:rFonts w:ascii="Times New Roman" w:hAnsi="Times New Roman"/>
          <w:color w:val="000000"/>
          <w:sz w:val="24"/>
          <w:szCs w:val="24"/>
        </w:rPr>
      </w:pPr>
      <w:r w:rsidRPr="00E64932">
        <w:rPr>
          <w:rFonts w:ascii="Times New Roman" w:hAnsi="Times New Roman"/>
          <w:bCs/>
          <w:color w:val="000000"/>
          <w:sz w:val="24"/>
          <w:szCs w:val="24"/>
          <w:lang w:val="it-IT"/>
        </w:rPr>
        <w:t xml:space="preserve">Pe parcursul anului 2018, au continuat lucrările de amenajare a teatrului în baza </w:t>
      </w:r>
      <w:r w:rsidRPr="00E64932">
        <w:rPr>
          <w:rFonts w:ascii="Times New Roman" w:hAnsi="Times New Roman"/>
          <w:color w:val="000000"/>
          <w:sz w:val="24"/>
          <w:szCs w:val="24"/>
        </w:rPr>
        <w:t>Contractului de servicii de proiectare şi execuţie lucrări nr.07/08.01.2015, încheiat cu Asocierea S.C. Rotary Construcţii S.R.L. - S.C.  Design Unit S.R.L.</w:t>
      </w:r>
    </w:p>
    <w:p w:rsidR="006B07BE" w:rsidRPr="00E64932" w:rsidRDefault="006B07BE" w:rsidP="006B07BE">
      <w:pPr>
        <w:pStyle w:val="Listparagraf1"/>
        <w:spacing w:after="0" w:line="240" w:lineRule="auto"/>
        <w:ind w:left="0" w:firstLine="720"/>
        <w:jc w:val="both"/>
        <w:rPr>
          <w:rFonts w:ascii="Times New Roman" w:hAnsi="Times New Roman"/>
          <w:color w:val="000000"/>
          <w:sz w:val="24"/>
          <w:szCs w:val="24"/>
        </w:rPr>
      </w:pPr>
      <w:r w:rsidRPr="00E64932">
        <w:rPr>
          <w:rFonts w:ascii="Times New Roman" w:hAnsi="Times New Roman"/>
          <w:color w:val="000000"/>
          <w:sz w:val="24"/>
          <w:szCs w:val="24"/>
        </w:rPr>
        <w:t xml:space="preserve">Valoarea contractului este de 12.918.637,07 lei exclusiv TVA din care: </w:t>
      </w:r>
    </w:p>
    <w:p w:rsidR="006B07BE" w:rsidRPr="00E64932" w:rsidRDefault="006B07BE" w:rsidP="00980D72">
      <w:pPr>
        <w:pStyle w:val="Listparagraf1"/>
        <w:numPr>
          <w:ilvl w:val="1"/>
          <w:numId w:val="33"/>
        </w:numPr>
        <w:spacing w:after="0" w:line="240" w:lineRule="auto"/>
        <w:jc w:val="both"/>
        <w:rPr>
          <w:rFonts w:ascii="Times New Roman" w:hAnsi="Times New Roman"/>
          <w:color w:val="000000"/>
          <w:sz w:val="24"/>
          <w:szCs w:val="24"/>
        </w:rPr>
      </w:pPr>
      <w:r w:rsidRPr="00E64932">
        <w:rPr>
          <w:rFonts w:ascii="Times New Roman" w:hAnsi="Times New Roman"/>
          <w:color w:val="000000"/>
          <w:sz w:val="24"/>
          <w:szCs w:val="24"/>
        </w:rPr>
        <w:t>Cheltuieli pentru proiectare 1.134.385,00 lei, exclusiv TVA</w:t>
      </w:r>
    </w:p>
    <w:p w:rsidR="006B07BE" w:rsidRPr="00E64932" w:rsidRDefault="006B07BE" w:rsidP="00980D72">
      <w:pPr>
        <w:pStyle w:val="Listparagraf1"/>
        <w:numPr>
          <w:ilvl w:val="1"/>
          <w:numId w:val="33"/>
        </w:numPr>
        <w:spacing w:after="0" w:line="240" w:lineRule="auto"/>
        <w:jc w:val="both"/>
        <w:rPr>
          <w:rFonts w:ascii="Times New Roman" w:hAnsi="Times New Roman"/>
          <w:color w:val="000000"/>
          <w:sz w:val="24"/>
          <w:szCs w:val="24"/>
        </w:rPr>
      </w:pPr>
      <w:r w:rsidRPr="00E64932">
        <w:rPr>
          <w:rFonts w:ascii="Times New Roman" w:hAnsi="Times New Roman"/>
          <w:color w:val="000000"/>
          <w:sz w:val="24"/>
          <w:szCs w:val="24"/>
        </w:rPr>
        <w:t>Cheltuieli pentru asistență tehnică 105.000,00 lei fără TVA</w:t>
      </w:r>
    </w:p>
    <w:p w:rsidR="006B07BE" w:rsidRPr="00E64932" w:rsidRDefault="006B07BE" w:rsidP="00980D72">
      <w:pPr>
        <w:pStyle w:val="Listparagraf1"/>
        <w:numPr>
          <w:ilvl w:val="1"/>
          <w:numId w:val="33"/>
        </w:numPr>
        <w:spacing w:after="0" w:line="240" w:lineRule="auto"/>
        <w:jc w:val="both"/>
        <w:rPr>
          <w:rFonts w:ascii="Times New Roman" w:hAnsi="Times New Roman"/>
          <w:color w:val="000000"/>
          <w:sz w:val="24"/>
          <w:szCs w:val="24"/>
        </w:rPr>
      </w:pPr>
      <w:r w:rsidRPr="00E64932">
        <w:rPr>
          <w:rFonts w:ascii="Times New Roman" w:hAnsi="Times New Roman"/>
          <w:color w:val="000000"/>
          <w:sz w:val="24"/>
          <w:szCs w:val="24"/>
        </w:rPr>
        <w:t xml:space="preserve">Cheltuieli pentru execuție și dotări 11.159.871,96 lei fără TVA </w:t>
      </w:r>
    </w:p>
    <w:p w:rsidR="006B07BE" w:rsidRPr="00E64932" w:rsidRDefault="006B07BE" w:rsidP="00980D72">
      <w:pPr>
        <w:pStyle w:val="Listparagraf1"/>
        <w:numPr>
          <w:ilvl w:val="1"/>
          <w:numId w:val="33"/>
        </w:numPr>
        <w:spacing w:after="0" w:line="240" w:lineRule="auto"/>
        <w:jc w:val="both"/>
        <w:rPr>
          <w:rFonts w:ascii="Times New Roman" w:hAnsi="Times New Roman"/>
          <w:color w:val="000000"/>
          <w:sz w:val="24"/>
          <w:szCs w:val="24"/>
        </w:rPr>
      </w:pPr>
      <w:r w:rsidRPr="00E64932">
        <w:rPr>
          <w:rFonts w:ascii="Times New Roman" w:hAnsi="Times New Roman"/>
          <w:color w:val="000000"/>
          <w:sz w:val="24"/>
          <w:szCs w:val="24"/>
        </w:rPr>
        <w:t>Cheltuieli diverse și neprevăzute 516.380,11 lei fără TVA.</w:t>
      </w:r>
    </w:p>
    <w:p w:rsidR="006B07BE" w:rsidRPr="00E64932" w:rsidRDefault="006B07BE" w:rsidP="006B07BE">
      <w:pPr>
        <w:pStyle w:val="Listparagraf1"/>
        <w:spacing w:after="0" w:line="240" w:lineRule="auto"/>
        <w:ind w:left="0" w:firstLine="720"/>
        <w:jc w:val="both"/>
        <w:rPr>
          <w:rFonts w:ascii="Times New Roman" w:hAnsi="Times New Roman"/>
          <w:color w:val="000000"/>
          <w:sz w:val="24"/>
          <w:szCs w:val="24"/>
        </w:rPr>
      </w:pPr>
      <w:r w:rsidRPr="00E64932">
        <w:rPr>
          <w:rFonts w:ascii="Times New Roman" w:hAnsi="Times New Roman"/>
          <w:color w:val="000000"/>
          <w:sz w:val="24"/>
          <w:szCs w:val="24"/>
        </w:rPr>
        <w:t>La data de 12.09.2018 lucrările au fost sistate pentru perfectarea unui act adițional la contractul de lucrări pentru decalare de termen. A fost încheiat Actul adițional nr.1/1184/25.10.2018 la Contractul de proiectare și execuție lucrări nr.7/08.01.2015, prin care se prelungește termenul de finalizare a lucrărilor până la data de 29.01.2019</w:t>
      </w:r>
      <w:r w:rsidRPr="00E64932">
        <w:rPr>
          <w:rFonts w:ascii="Times New Roman" w:hAnsi="Times New Roman"/>
          <w:color w:val="000000"/>
          <w:sz w:val="24"/>
          <w:szCs w:val="24"/>
          <w:lang w:val="fr-FR"/>
        </w:rPr>
        <w:t>.</w:t>
      </w:r>
      <w:r w:rsidRPr="00E64932">
        <w:rPr>
          <w:rFonts w:ascii="Times New Roman" w:hAnsi="Times New Roman"/>
          <w:color w:val="000000"/>
          <w:sz w:val="24"/>
          <w:szCs w:val="24"/>
        </w:rPr>
        <w:t xml:space="preserve">  Ordinul de reîncepere a lucrărilor a fost emis începand cu data de 26.10.2018.</w:t>
      </w:r>
    </w:p>
    <w:p w:rsidR="006B07BE" w:rsidRPr="00E64932" w:rsidRDefault="006B07BE" w:rsidP="006B07BE">
      <w:pPr>
        <w:pStyle w:val="Listparagraf1"/>
        <w:spacing w:after="0" w:line="240" w:lineRule="auto"/>
        <w:ind w:left="0" w:firstLine="720"/>
        <w:jc w:val="both"/>
        <w:rPr>
          <w:rFonts w:ascii="Times New Roman" w:hAnsi="Times New Roman"/>
          <w:color w:val="000000"/>
          <w:sz w:val="24"/>
          <w:szCs w:val="24"/>
        </w:rPr>
      </w:pPr>
      <w:r w:rsidRPr="00E64932">
        <w:rPr>
          <w:rFonts w:ascii="Times New Roman" w:hAnsi="Times New Roman"/>
          <w:color w:val="000000"/>
          <w:sz w:val="24"/>
          <w:szCs w:val="24"/>
        </w:rPr>
        <w:lastRenderedPageBreak/>
        <w:t>A fost încheiat Actul adițional nr.2 la Contractul de proiectare și execuție lucrări nr.7/08.01.2015, prin care se reglementează prelungirea duratei de executare a contractului și pe cale de consecință, decalarea termenului de finalizare a lucrărilor de execuție pană</w:t>
      </w:r>
      <w:r w:rsidRPr="00E64932">
        <w:rPr>
          <w:rFonts w:ascii="Times New Roman" w:hAnsi="Times New Roman"/>
          <w:noProof/>
          <w:color w:val="000000"/>
          <w:sz w:val="24"/>
          <w:szCs w:val="24"/>
        </w:rPr>
        <w:t xml:space="preserve"> la data de </w:t>
      </w:r>
      <w:r w:rsidRPr="00E64932">
        <w:rPr>
          <w:rFonts w:ascii="Times New Roman" w:hAnsi="Times New Roman"/>
          <w:color w:val="000000"/>
          <w:sz w:val="24"/>
          <w:szCs w:val="24"/>
        </w:rPr>
        <w:t>31.07.2019</w:t>
      </w:r>
      <w:r w:rsidRPr="00E64932">
        <w:rPr>
          <w:rFonts w:ascii="Times New Roman" w:hAnsi="Times New Roman"/>
          <w:color w:val="000000"/>
          <w:sz w:val="24"/>
          <w:szCs w:val="24"/>
          <w:lang w:val="fr-FR"/>
        </w:rPr>
        <w:t>.</w:t>
      </w:r>
      <w:r w:rsidRPr="00E64932">
        <w:rPr>
          <w:rFonts w:ascii="Times New Roman" w:hAnsi="Times New Roman"/>
          <w:color w:val="000000"/>
          <w:sz w:val="24"/>
          <w:szCs w:val="24"/>
        </w:rPr>
        <w:t xml:space="preserve"> Valoarea contractului nu se modifică și nu se extinde domeniul de aplicabilitate al acestuia.</w:t>
      </w:r>
    </w:p>
    <w:p w:rsidR="006B07BE" w:rsidRPr="00E64932" w:rsidRDefault="006B07BE" w:rsidP="006B07BE">
      <w:pPr>
        <w:pStyle w:val="Listparagraf1"/>
        <w:spacing w:after="0" w:line="240" w:lineRule="auto"/>
        <w:ind w:left="0" w:firstLine="720"/>
        <w:jc w:val="both"/>
        <w:rPr>
          <w:rFonts w:ascii="Times New Roman" w:hAnsi="Times New Roman"/>
          <w:color w:val="000000"/>
          <w:spacing w:val="-10"/>
          <w:kern w:val="28"/>
          <w:sz w:val="24"/>
          <w:szCs w:val="24"/>
        </w:rPr>
      </w:pPr>
      <w:r w:rsidRPr="00E64932">
        <w:rPr>
          <w:rFonts w:ascii="Times New Roman" w:hAnsi="Times New Roman"/>
          <w:color w:val="000000"/>
          <w:spacing w:val="-10"/>
          <w:kern w:val="28"/>
          <w:sz w:val="24"/>
          <w:szCs w:val="24"/>
        </w:rPr>
        <w:t>Stadiul valoric al lucrărilor este următorul:</w:t>
      </w:r>
    </w:p>
    <w:p w:rsidR="006B07BE" w:rsidRPr="00E64932" w:rsidRDefault="006B07BE" w:rsidP="00980D72">
      <w:pPr>
        <w:pStyle w:val="Listparagraf1"/>
        <w:numPr>
          <w:ilvl w:val="1"/>
          <w:numId w:val="33"/>
        </w:numPr>
        <w:spacing w:after="0" w:line="240" w:lineRule="auto"/>
        <w:jc w:val="both"/>
        <w:rPr>
          <w:rFonts w:ascii="Times New Roman" w:hAnsi="Times New Roman"/>
          <w:color w:val="000000"/>
          <w:sz w:val="24"/>
          <w:szCs w:val="24"/>
        </w:rPr>
      </w:pPr>
      <w:r w:rsidRPr="00E64932">
        <w:rPr>
          <w:rFonts w:ascii="Times New Roman" w:hAnsi="Times New Roman"/>
          <w:color w:val="000000"/>
          <w:sz w:val="24"/>
          <w:szCs w:val="24"/>
        </w:rPr>
        <w:t xml:space="preserve">decontat 100%, servicii de proiectare; </w:t>
      </w:r>
    </w:p>
    <w:p w:rsidR="006B07BE" w:rsidRPr="00E64932" w:rsidRDefault="006B07BE" w:rsidP="00980D72">
      <w:pPr>
        <w:pStyle w:val="Listparagraf1"/>
        <w:numPr>
          <w:ilvl w:val="1"/>
          <w:numId w:val="33"/>
        </w:numPr>
        <w:spacing w:after="0" w:line="240" w:lineRule="auto"/>
        <w:jc w:val="both"/>
        <w:rPr>
          <w:rFonts w:ascii="Times New Roman" w:hAnsi="Times New Roman"/>
          <w:color w:val="000000"/>
          <w:sz w:val="24"/>
          <w:szCs w:val="24"/>
        </w:rPr>
      </w:pPr>
      <w:r w:rsidRPr="00E64932">
        <w:rPr>
          <w:rFonts w:ascii="Times New Roman" w:hAnsi="Times New Roman"/>
          <w:color w:val="000000"/>
          <w:sz w:val="24"/>
          <w:szCs w:val="24"/>
        </w:rPr>
        <w:t>ponderea lucrărilor executate până în prezent este de 60 %, reprezentand o valoare decontată din contract de aprox. 7.657.860,41 lei exclusiv TVA;</w:t>
      </w:r>
    </w:p>
    <w:p w:rsidR="006B07BE" w:rsidRPr="00E64932" w:rsidRDefault="006B07BE" w:rsidP="00980D72">
      <w:pPr>
        <w:pStyle w:val="Listparagraf1"/>
        <w:numPr>
          <w:ilvl w:val="1"/>
          <w:numId w:val="33"/>
        </w:numPr>
        <w:spacing w:after="0" w:line="240" w:lineRule="auto"/>
        <w:jc w:val="both"/>
        <w:rPr>
          <w:rFonts w:ascii="Times New Roman" w:hAnsi="Times New Roman"/>
          <w:color w:val="000000"/>
          <w:sz w:val="24"/>
          <w:szCs w:val="24"/>
        </w:rPr>
      </w:pPr>
      <w:r w:rsidRPr="00E64932">
        <w:rPr>
          <w:rFonts w:ascii="Times New Roman" w:hAnsi="Times New Roman"/>
          <w:color w:val="000000"/>
          <w:sz w:val="24"/>
          <w:szCs w:val="24"/>
        </w:rPr>
        <w:t>restul de executat este de 5.193.430,27 lei exclusiv TVA.</w:t>
      </w:r>
    </w:p>
    <w:p w:rsidR="006B07BE" w:rsidRPr="00E64932" w:rsidRDefault="006B07BE" w:rsidP="006B07BE">
      <w:pPr>
        <w:pStyle w:val="Listparagraf1"/>
        <w:spacing w:after="0" w:line="240" w:lineRule="auto"/>
        <w:ind w:left="0" w:firstLine="720"/>
        <w:jc w:val="both"/>
        <w:rPr>
          <w:rFonts w:ascii="Times New Roman" w:hAnsi="Times New Roman"/>
          <w:color w:val="000000"/>
          <w:sz w:val="24"/>
          <w:szCs w:val="24"/>
        </w:rPr>
      </w:pPr>
      <w:r w:rsidRPr="00E64932">
        <w:rPr>
          <w:rFonts w:ascii="Times New Roman" w:hAnsi="Times New Roman"/>
          <w:color w:val="000000"/>
          <w:sz w:val="24"/>
          <w:szCs w:val="24"/>
        </w:rPr>
        <w:t>Pe parcursul anului 2018, a fost demarată, pe Normă internă conform H.C.G.M.B. nr.130/28.03.2018, procedura de atribuire a contractului de prestări servicii pentru dirigenție de șantier, atribuindu-se, Contractul de prestări servicii dirigenție șantier pe partea de instalații și electrice nr.745/06.06.2018, Companiei Municipale Dezvoltare Durabilă București S.A., la o valoare de 64.792,00 lei, exclusiv TVA. Ordinul de începere derulare servicii de dirigenție de șantier a fost emis începand cu data de 07.06.2018.</w:t>
      </w:r>
    </w:p>
    <w:p w:rsidR="006B07BE" w:rsidRPr="00E64932" w:rsidRDefault="006B07BE" w:rsidP="006B07BE">
      <w:pPr>
        <w:pStyle w:val="Listparagraf1"/>
        <w:spacing w:after="0" w:line="240" w:lineRule="auto"/>
        <w:ind w:left="0" w:firstLine="720"/>
        <w:jc w:val="both"/>
        <w:rPr>
          <w:rFonts w:ascii="Times New Roman" w:hAnsi="Times New Roman"/>
          <w:color w:val="000000"/>
          <w:sz w:val="24"/>
          <w:szCs w:val="24"/>
        </w:rPr>
      </w:pPr>
      <w:r w:rsidRPr="00E64932">
        <w:rPr>
          <w:rFonts w:ascii="Times New Roman" w:hAnsi="Times New Roman"/>
          <w:color w:val="000000"/>
          <w:sz w:val="24"/>
          <w:szCs w:val="24"/>
        </w:rPr>
        <w:t>Odată cu necesitatea încheierii Actului adițional nr.2 la Contractul de proiectare și execuție lucrări nr.7/08.01.2015 pentru decalarea termenului de finalizare a lucrărilor de execuție pană</w:t>
      </w:r>
      <w:r w:rsidRPr="00E64932">
        <w:rPr>
          <w:rFonts w:ascii="Times New Roman" w:hAnsi="Times New Roman"/>
          <w:noProof/>
          <w:color w:val="000000"/>
          <w:sz w:val="24"/>
          <w:szCs w:val="24"/>
        </w:rPr>
        <w:t xml:space="preserve"> la data de </w:t>
      </w:r>
      <w:r w:rsidRPr="00E64932">
        <w:rPr>
          <w:rFonts w:ascii="Times New Roman" w:hAnsi="Times New Roman"/>
          <w:color w:val="000000"/>
          <w:sz w:val="24"/>
          <w:szCs w:val="24"/>
        </w:rPr>
        <w:t>31.07.2019, se propune încheierea Actului aditional nr.2 la Contractului de prestări servicii dirigenție de șantier nr.745/06.06.2018 pentru decalare de termen pană la 31.07.2019. În prezent, acesta este în curs de aprobare.</w:t>
      </w:r>
    </w:p>
    <w:p w:rsidR="006B07BE" w:rsidRPr="00E64932" w:rsidRDefault="006B07BE" w:rsidP="006B07BE">
      <w:pPr>
        <w:pStyle w:val="Listparagraf1"/>
        <w:spacing w:after="0" w:line="240" w:lineRule="auto"/>
        <w:ind w:left="0"/>
        <w:jc w:val="both"/>
        <w:rPr>
          <w:rFonts w:ascii="Times New Roman" w:hAnsi="Times New Roman"/>
          <w:b/>
          <w:sz w:val="24"/>
          <w:szCs w:val="24"/>
        </w:rPr>
      </w:pPr>
      <w:r w:rsidRPr="00E64932">
        <w:rPr>
          <w:rFonts w:ascii="Times New Roman" w:hAnsi="Times New Roman"/>
          <w:b/>
          <w:sz w:val="24"/>
          <w:szCs w:val="24"/>
        </w:rPr>
        <w:t xml:space="preserve">   </w:t>
      </w:r>
      <w:r w:rsidRPr="00E64932">
        <w:rPr>
          <w:rFonts w:ascii="Times New Roman" w:hAnsi="Times New Roman"/>
          <w:b/>
          <w:color w:val="000000"/>
          <w:sz w:val="24"/>
          <w:szCs w:val="24"/>
        </w:rPr>
        <w:t xml:space="preserve">● </w:t>
      </w:r>
      <w:r w:rsidRPr="00E64932">
        <w:rPr>
          <w:rFonts w:ascii="Times New Roman" w:hAnsi="Times New Roman"/>
          <w:b/>
          <w:sz w:val="24"/>
          <w:szCs w:val="24"/>
        </w:rPr>
        <w:t>Consolidare, reabilitare, extindere şi restaurare faţadă imobil din B.dul Regina Elisabeta nr. 29 – 31, sector 5.</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Clădirea face parte din Ansamblul de Arhitectură B.dul Elisabeta, porţiunea cuprinsă între B.dul I.C.Brătianu şi B.dul Schitu Măgureanu, ce figurează în Lista Monumentelor istorice cu statut de monument istoric, cod B-II-m-B-18672, poziţia nr.953, sub numele Palatului fostei Eforii a Spitalelor Civile - Primăria Sector 5 - faţada principală - an 1886/1935.</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Imobilul face parte din Zona protejată nr.06 - grad de protecţie maxim, din punct de vedere arhitectural, urbanistic, istoric şi de mediu natural, </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lang w:val="es-ES"/>
        </w:rPr>
        <w:t>Clădirea este construită la sfârşitul secolului XIX.</w:t>
      </w:r>
      <w:r w:rsidRPr="00E64932">
        <w:rPr>
          <w:rFonts w:ascii="Times New Roman" w:hAnsi="Times New Roman"/>
          <w:sz w:val="24"/>
          <w:szCs w:val="24"/>
        </w:rPr>
        <w:t xml:space="preserve"> </w:t>
      </w:r>
      <w:r w:rsidRPr="00E64932">
        <w:rPr>
          <w:rFonts w:ascii="Times New Roman" w:hAnsi="Times New Roman"/>
          <w:sz w:val="24"/>
          <w:szCs w:val="24"/>
          <w:lang w:val="es-ES"/>
        </w:rPr>
        <w:t>După anii 90, faţada clădirii a suferit un proces accentuat de degradare, necesitând lucrări urgente de restaurare.</w:t>
      </w:r>
    </w:p>
    <w:p w:rsidR="006B07BE" w:rsidRPr="00E64932" w:rsidRDefault="006B07BE" w:rsidP="006B07BE">
      <w:pPr>
        <w:pStyle w:val="Listparagraf1"/>
        <w:spacing w:after="0" w:line="240" w:lineRule="auto"/>
        <w:ind w:left="0" w:firstLine="720"/>
        <w:jc w:val="both"/>
        <w:rPr>
          <w:rFonts w:ascii="Times New Roman" w:hAnsi="Times New Roman"/>
          <w:sz w:val="24"/>
          <w:szCs w:val="24"/>
          <w:lang w:val="es-ES"/>
        </w:rPr>
      </w:pPr>
      <w:r w:rsidRPr="00E64932">
        <w:rPr>
          <w:rFonts w:ascii="Times New Roman" w:hAnsi="Times New Roman"/>
          <w:sz w:val="24"/>
          <w:szCs w:val="24"/>
          <w:lang w:val="es-ES"/>
        </w:rPr>
        <w:t xml:space="preserve">Funcţiunea clădirii este de clădire administrativă cu spaţii comerciale la parter, formată din 6 corpuri </w:t>
      </w:r>
      <w:r w:rsidRPr="00E64932">
        <w:rPr>
          <w:rFonts w:ascii="Times New Roman" w:hAnsi="Times New Roman"/>
          <w:sz w:val="24"/>
          <w:szCs w:val="24"/>
        </w:rPr>
        <w:t>cu regim de înălţime diferit, construite în perioade diferite. În conformitate cu raportul expertizei efectuate, clădirea se înscrie în clasa de risc seismic  Rs II.</w:t>
      </w:r>
    </w:p>
    <w:p w:rsidR="006B07BE" w:rsidRPr="00E64932" w:rsidRDefault="006B07BE" w:rsidP="006B07BE">
      <w:pPr>
        <w:pStyle w:val="Listparagraf1"/>
        <w:spacing w:after="0" w:line="240" w:lineRule="auto"/>
        <w:ind w:left="0" w:firstLine="720"/>
        <w:jc w:val="both"/>
        <w:rPr>
          <w:rFonts w:ascii="Times New Roman" w:hAnsi="Times New Roman"/>
          <w:sz w:val="24"/>
          <w:szCs w:val="24"/>
          <w:lang w:val="pt-BR"/>
        </w:rPr>
      </w:pPr>
      <w:r w:rsidRPr="00E64932">
        <w:rPr>
          <w:rFonts w:ascii="Times New Roman" w:hAnsi="Times New Roman"/>
          <w:sz w:val="24"/>
          <w:szCs w:val="24"/>
          <w:lang w:val="pt-BR"/>
        </w:rPr>
        <w:t xml:space="preserve">În expertiza tehnică şi în documentaţia faza DALI au fost studiate 2 variante de soluţie de refacere a clădirii (minimală şi maximală), dar soluţia recomandată este cea maximală: consolidare corpuri principale, refacere acoperiş, demolare parţială şi reabilitare corpuri lipite ulterior, în scopul încadrării clădirii în clasa de risc seismic Rs IV şi a revenirii la forma iniţială a volumetriei şi proporţiilor clădirii monument istoric. </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Lucrările se desfășoară în baza Contractului de servicii de proiectare şi execuţie a lucrărilor nr.196/18.05.2017, încheiat cu Asocierea S.C. Aedificia Carpaţi S.A. -  S.C. Carpaţi Proiect S.R.L. </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Proiectul tehnic a fost finalizat, predat și aprobat în Consiliul Tehnico – Economic al Primăriei Municipiului București. S-a obținut Autorizatia de construire nr.445/1650737/13.09.2018. Ordinul de începere a lucrărilor de execuție a  fost emis începand cu data de 28.09.2018.</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S-au făcut demersuri pentru găsirea unor soluţii pentru proprietarii de la parterul şi subsolul imobilului, inclusiv propunerea de expropriere pentru cauză de utilitate publică de interes local a spaţiilor cu altă destinaţie.</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S.C. Aedificia Carpaţi S.A. solicită majorarea prețului contractului, conform Instructiunii 2/2018 emisă de ANAP. Urmează întocmirea unui act adițional pentru rest de executat-ajustare preț, conforn Instrucțiunii 2/2018.</w:t>
      </w:r>
    </w:p>
    <w:p w:rsidR="006B07BE" w:rsidRPr="00E64932" w:rsidRDefault="006B07BE" w:rsidP="006B07BE">
      <w:pPr>
        <w:pStyle w:val="Listparagraf1"/>
        <w:spacing w:after="0" w:line="240" w:lineRule="auto"/>
        <w:ind w:left="0"/>
        <w:jc w:val="both"/>
        <w:rPr>
          <w:rFonts w:ascii="Times New Roman" w:hAnsi="Times New Roman"/>
          <w:b/>
          <w:sz w:val="24"/>
          <w:szCs w:val="24"/>
        </w:rPr>
      </w:pPr>
      <w:r w:rsidRPr="00E64932">
        <w:rPr>
          <w:rFonts w:ascii="Times New Roman" w:hAnsi="Times New Roman"/>
          <w:b/>
          <w:color w:val="000000"/>
          <w:sz w:val="24"/>
          <w:szCs w:val="24"/>
        </w:rPr>
        <w:lastRenderedPageBreak/>
        <w:t xml:space="preserve">   ● </w:t>
      </w:r>
      <w:r w:rsidRPr="00E64932">
        <w:rPr>
          <w:rFonts w:ascii="Times New Roman" w:hAnsi="Times New Roman"/>
          <w:b/>
          <w:sz w:val="24"/>
          <w:szCs w:val="24"/>
        </w:rPr>
        <w:t>Restaurare şi punere în valoare a Palatului Voievodal „Curtea Veche” din Str.Franceză nr.21-23, sector 3.</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Obiectivul urmărit constă în conservarea, consolidarea, restaurarea şi punerea în valoare a vestigiilor arheologice.</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Ansamblul medieval zona Palatului Voievodal „Curtea Veche” este delimitat de străzile Franceză, Şelari, Şepcari, Covaci, Soarelui, este situat în imediata vecinătate a Bisericii Sf.Anton şi a Hanului lui Manuc.</w:t>
      </w:r>
    </w:p>
    <w:p w:rsidR="006B07BE" w:rsidRPr="00E64932" w:rsidRDefault="006B07BE" w:rsidP="006B07BE">
      <w:pPr>
        <w:pStyle w:val="Listparagraf1"/>
        <w:spacing w:after="0" w:line="240" w:lineRule="auto"/>
        <w:ind w:left="0" w:firstLine="720"/>
        <w:jc w:val="both"/>
        <w:rPr>
          <w:rFonts w:ascii="Times New Roman" w:hAnsi="Times New Roman"/>
          <w:sz w:val="24"/>
          <w:szCs w:val="24"/>
          <w:lang w:val="es-ES"/>
        </w:rPr>
      </w:pPr>
      <w:r w:rsidRPr="00E64932">
        <w:rPr>
          <w:rFonts w:ascii="Times New Roman" w:hAnsi="Times New Roman"/>
          <w:sz w:val="24"/>
          <w:szCs w:val="24"/>
          <w:lang w:val="es-ES"/>
        </w:rPr>
        <w:t>Curtea Veche este un sit istoric cuprins în Lista Monumentelor Istorice 2010 şi este alcătuit din 7 monumente istorice. Imobilul este amplasat în Zona protejată 26A - Nucleul comercial tradiţional - zona Lipscani, subzona CP1a, unde este prevăzut un grad maxim de protecţie a valorilor arhitectural-urbanistice, istorice şi de mediu natural existent.</w:t>
      </w:r>
    </w:p>
    <w:p w:rsidR="006B07BE" w:rsidRPr="00E64932" w:rsidRDefault="006B07BE" w:rsidP="006B07BE">
      <w:pPr>
        <w:pStyle w:val="Listparagraf1"/>
        <w:spacing w:after="0" w:line="240" w:lineRule="auto"/>
        <w:ind w:left="0" w:firstLine="720"/>
        <w:jc w:val="both"/>
        <w:rPr>
          <w:rFonts w:ascii="Times New Roman" w:hAnsi="Times New Roman"/>
          <w:sz w:val="24"/>
          <w:szCs w:val="24"/>
          <w:lang w:val="es-ES"/>
        </w:rPr>
      </w:pPr>
      <w:r w:rsidRPr="00E64932">
        <w:rPr>
          <w:rFonts w:ascii="Times New Roman" w:hAnsi="Times New Roman"/>
          <w:sz w:val="24"/>
          <w:szCs w:val="24"/>
          <w:lang w:val="es-ES"/>
        </w:rPr>
        <w:t xml:space="preserve">Prin implementarea proiectului se va promova potenţialul turistic cultural al zonei, legat de monumentul istoric, de istoria acestor locuri. </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Proiectul are ca scop, în afara protejării, restaurării şi consolidării, punerea în valoare a vestigiilor şi recomandă o serie de intervenţii absolut necesare asupra vestigiilor, unele directe, cu rol de asigurare a integritătii şi stabilitătii structurii, altele indirecte, cu rol de a înlătura factorii care pun în pericol starea acestui monument.</w:t>
      </w:r>
    </w:p>
    <w:p w:rsidR="006B07BE" w:rsidRPr="00E64932" w:rsidRDefault="006B07BE" w:rsidP="006B07BE">
      <w:pPr>
        <w:pStyle w:val="Listparagraf1"/>
        <w:spacing w:after="0" w:line="240" w:lineRule="auto"/>
        <w:ind w:left="0" w:firstLine="720"/>
        <w:jc w:val="both"/>
        <w:rPr>
          <w:rFonts w:ascii="Times New Roman" w:hAnsi="Times New Roman"/>
          <w:sz w:val="24"/>
          <w:szCs w:val="24"/>
          <w:lang w:val="pt-BR" w:eastAsia="ar-SA"/>
        </w:rPr>
      </w:pPr>
      <w:r w:rsidRPr="00E64932">
        <w:rPr>
          <w:rFonts w:ascii="Times New Roman" w:hAnsi="Times New Roman"/>
          <w:sz w:val="24"/>
          <w:szCs w:val="24"/>
          <w:lang w:val="pt-BR" w:eastAsia="ar-SA"/>
        </w:rPr>
        <w:t>Autorizația de construire nr. 22/1589357 a fost obținută în data de 06.02.2018.</w:t>
      </w:r>
    </w:p>
    <w:p w:rsidR="006B07BE" w:rsidRPr="00E64932" w:rsidRDefault="006B07BE" w:rsidP="006B07BE">
      <w:pPr>
        <w:pStyle w:val="Listparagraf1"/>
        <w:spacing w:after="0" w:line="240" w:lineRule="auto"/>
        <w:ind w:left="0" w:firstLine="720"/>
        <w:jc w:val="both"/>
        <w:rPr>
          <w:rFonts w:ascii="Times New Roman" w:hAnsi="Times New Roman"/>
          <w:sz w:val="24"/>
          <w:szCs w:val="24"/>
          <w:lang w:val="pt-BR"/>
        </w:rPr>
      </w:pPr>
      <w:r w:rsidRPr="00E64932">
        <w:rPr>
          <w:rFonts w:ascii="Times New Roman" w:hAnsi="Times New Roman"/>
          <w:sz w:val="24"/>
          <w:szCs w:val="24"/>
          <w:lang w:val="pt-BR" w:eastAsia="ar-SA"/>
        </w:rPr>
        <w:t xml:space="preserve">A fost încheiat, pe Normă internă, cu Compania Municipală Consolidări S.A., Contractul de lucrări nr.515 din 03.04.2018, termenul de finalizare a lucrărilor, fiind </w:t>
      </w:r>
      <w:r w:rsidRPr="00E64932">
        <w:rPr>
          <w:rFonts w:ascii="Times New Roman" w:hAnsi="Times New Roman"/>
          <w:sz w:val="24"/>
          <w:szCs w:val="24"/>
        </w:rPr>
        <w:t>24.</w:t>
      </w:r>
      <w:r w:rsidRPr="00E64932">
        <w:rPr>
          <w:rFonts w:ascii="Times New Roman" w:hAnsi="Times New Roman"/>
          <w:color w:val="000000"/>
          <w:sz w:val="24"/>
          <w:szCs w:val="24"/>
        </w:rPr>
        <w:t>01.2021</w:t>
      </w:r>
      <w:r w:rsidRPr="00E64932">
        <w:rPr>
          <w:rFonts w:ascii="Times New Roman" w:hAnsi="Times New Roman"/>
          <w:color w:val="000000"/>
          <w:sz w:val="24"/>
          <w:szCs w:val="24"/>
          <w:lang w:val="pt-BR" w:eastAsia="ar-SA"/>
        </w:rPr>
        <w:t>.</w:t>
      </w:r>
      <w:r w:rsidRPr="00E64932">
        <w:rPr>
          <w:rFonts w:ascii="Times New Roman" w:hAnsi="Times New Roman"/>
          <w:sz w:val="24"/>
          <w:szCs w:val="24"/>
          <w:lang w:val="pt-BR" w:eastAsia="ar-SA"/>
        </w:rPr>
        <w:t xml:space="preserve"> Ordinul de începere a lucrărilor de execuție a fost dat în data de 14.05.2018. </w:t>
      </w:r>
      <w:r w:rsidRPr="00E64932">
        <w:rPr>
          <w:rFonts w:ascii="Times New Roman" w:hAnsi="Times New Roman"/>
          <w:sz w:val="24"/>
          <w:szCs w:val="24"/>
          <w:lang w:val="pt-BR"/>
        </w:rPr>
        <w:t>Prin Hotărarea Consiliului General al Municipiului București nr.272/17.05.2018 au fost actualizați indicatorii tehnico – economici aferenți obiectivului. Valoarea contractului este de 32.977.065,05 lei fără TVA.</w:t>
      </w:r>
    </w:p>
    <w:p w:rsidR="006B07BE" w:rsidRPr="00E64932" w:rsidRDefault="006B07BE" w:rsidP="006B07BE">
      <w:pPr>
        <w:pStyle w:val="Listparagraf1"/>
        <w:spacing w:after="0" w:line="240" w:lineRule="auto"/>
        <w:ind w:left="0" w:firstLine="720"/>
        <w:jc w:val="both"/>
        <w:rPr>
          <w:rFonts w:ascii="Times New Roman" w:hAnsi="Times New Roman"/>
          <w:sz w:val="24"/>
          <w:szCs w:val="24"/>
          <w:lang w:val="pt-BR"/>
        </w:rPr>
      </w:pPr>
      <w:r w:rsidRPr="00E64932">
        <w:rPr>
          <w:rFonts w:ascii="Times New Roman" w:hAnsi="Times New Roman"/>
          <w:sz w:val="24"/>
          <w:szCs w:val="24"/>
          <w:lang w:val="pt-BR"/>
        </w:rPr>
        <w:t>După demararea lucrărilor, au fost identificate o serie de probleme care au condus la întarzieri în realizarea acestora.</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lang w:val="es-ES"/>
        </w:rPr>
        <w:t xml:space="preserve">Tot pe Normă internă, </w:t>
      </w:r>
      <w:r w:rsidRPr="00E64932">
        <w:rPr>
          <w:rFonts w:ascii="Times New Roman" w:hAnsi="Times New Roman"/>
          <w:sz w:val="24"/>
          <w:szCs w:val="24"/>
        </w:rPr>
        <w:t>conform H.C.G.M.B. nr.130/28.03, s-a derulat procedura de atribuire a contractului de prestări servicii pentru dirigenție de șantier, atribuindu-se, astfel, Contractul de prestări servicii dirigenție de șantier nr.994/14.08.2018, Companiei Municipale Dezvoltare Durabilă S.A., la o valoare de 494.651,8 lei, exclusiv TVA.  Ordinul de începere derulare servicii de dirigenție de șantier a fost emis începand cu data de 14.08.2018. Durata contractului este pană la 24.01.2021 (toată durata de execuție a lucrărilor) + 60 luni pentru supraveghere în perioada de garanție a lucrărilor.</w:t>
      </w:r>
    </w:p>
    <w:p w:rsidR="006B07BE" w:rsidRPr="00E64932" w:rsidRDefault="006B07BE" w:rsidP="006B07BE">
      <w:pPr>
        <w:pStyle w:val="Listparagraf1"/>
        <w:spacing w:after="0" w:line="240" w:lineRule="auto"/>
        <w:ind w:left="0" w:firstLine="720"/>
        <w:jc w:val="both"/>
        <w:rPr>
          <w:rFonts w:ascii="Times New Roman" w:hAnsi="Times New Roman"/>
          <w:sz w:val="24"/>
          <w:szCs w:val="24"/>
          <w:lang w:val="es-ES"/>
        </w:rPr>
      </w:pPr>
      <w:r w:rsidRPr="00E64932">
        <w:rPr>
          <w:rFonts w:ascii="Times New Roman" w:hAnsi="Times New Roman"/>
          <w:sz w:val="24"/>
          <w:szCs w:val="24"/>
        </w:rPr>
        <w:t>Pentru realizarea lucrărilor la bransamentul electric a fost atribuit firmei Electrica Racord S.R.L., Contractul nr.1091/02.10.2018. Valoarea contractului este de 442.800 lei fără TVA, cu termen de finalizare 09.10.2019. Ordinul de începere a fost emis începand cu data de 09.10.2018.</w:t>
      </w:r>
    </w:p>
    <w:p w:rsidR="006B07BE" w:rsidRPr="00E64932" w:rsidRDefault="006B07BE" w:rsidP="006B07BE">
      <w:pPr>
        <w:pStyle w:val="Listparagraf1"/>
        <w:spacing w:after="0" w:line="240" w:lineRule="auto"/>
        <w:ind w:left="0"/>
        <w:jc w:val="both"/>
        <w:rPr>
          <w:rFonts w:ascii="Times New Roman" w:hAnsi="Times New Roman"/>
          <w:b/>
          <w:sz w:val="24"/>
          <w:szCs w:val="24"/>
          <w:u w:val="single"/>
        </w:rPr>
      </w:pPr>
    </w:p>
    <w:p w:rsidR="006B07BE" w:rsidRPr="00E64932" w:rsidRDefault="006B07BE" w:rsidP="006B07BE">
      <w:pPr>
        <w:pStyle w:val="Listparagraf1"/>
        <w:spacing w:after="0" w:line="240" w:lineRule="auto"/>
        <w:ind w:left="0"/>
        <w:jc w:val="both"/>
        <w:rPr>
          <w:rFonts w:ascii="Times New Roman" w:hAnsi="Times New Roman"/>
          <w:b/>
          <w:sz w:val="24"/>
          <w:szCs w:val="24"/>
        </w:rPr>
      </w:pPr>
      <w:r w:rsidRPr="00E64932">
        <w:rPr>
          <w:rFonts w:ascii="Times New Roman" w:hAnsi="Times New Roman"/>
          <w:b/>
          <w:color w:val="000000"/>
          <w:sz w:val="24"/>
          <w:szCs w:val="24"/>
        </w:rPr>
        <w:t xml:space="preserve">► </w:t>
      </w:r>
      <w:r w:rsidRPr="00E64932">
        <w:rPr>
          <w:rFonts w:ascii="Times New Roman" w:hAnsi="Times New Roman"/>
          <w:b/>
          <w:sz w:val="24"/>
          <w:szCs w:val="24"/>
        </w:rPr>
        <w:t>Realizarea expertizelor tehnice asupra imobilelor în care îşi desfăşoară activitatea instituţii publice de cultură.</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Obiectivul urmărit constă în realizarea expertizelor tehnice asupra imobilelor în care îşi desfăşoară activitatea instituţiile publice de cultură aflate sub coordonarea metodologică a Direcţiei Cultură, Sport, Turism, pentru a determina starea tehnică a structurii de rezistentă a acestora şi a stabili încadrarea construcţiei în clase de risc. </w:t>
      </w:r>
    </w:p>
    <w:p w:rsidR="006B07BE" w:rsidRPr="00E64932" w:rsidRDefault="006B07BE" w:rsidP="006B07BE">
      <w:pPr>
        <w:pStyle w:val="Listparagraf1"/>
        <w:spacing w:after="0" w:line="240" w:lineRule="auto"/>
        <w:ind w:left="0"/>
        <w:jc w:val="both"/>
        <w:rPr>
          <w:rFonts w:ascii="Times New Roman" w:hAnsi="Times New Roman"/>
          <w:sz w:val="24"/>
          <w:szCs w:val="24"/>
        </w:rPr>
      </w:pPr>
      <w:r w:rsidRPr="00E64932">
        <w:rPr>
          <w:rFonts w:ascii="Times New Roman" w:hAnsi="Times New Roman"/>
          <w:sz w:val="24"/>
          <w:szCs w:val="24"/>
          <w:lang w:val="fr-FR"/>
        </w:rPr>
        <w:t xml:space="preserve">   </w:t>
      </w:r>
      <w:r w:rsidRPr="00E64932">
        <w:rPr>
          <w:rFonts w:ascii="Times New Roman" w:hAnsi="Times New Roman"/>
          <w:b/>
          <w:color w:val="000000"/>
          <w:sz w:val="24"/>
          <w:szCs w:val="24"/>
        </w:rPr>
        <w:t>●</w:t>
      </w:r>
      <w:r w:rsidRPr="00E64932">
        <w:rPr>
          <w:rFonts w:ascii="Times New Roman" w:hAnsi="Times New Roman"/>
          <w:sz w:val="24"/>
          <w:szCs w:val="24"/>
          <w:lang w:val="fr-FR"/>
        </w:rPr>
        <w:t xml:space="preserve"> </w:t>
      </w:r>
      <w:r w:rsidRPr="00E64932">
        <w:rPr>
          <w:rFonts w:ascii="Times New Roman" w:hAnsi="Times New Roman"/>
          <w:b/>
          <w:sz w:val="24"/>
          <w:szCs w:val="24"/>
          <w:lang w:val="fr-FR"/>
        </w:rPr>
        <w:t>Teatrul Foarte Mic</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A fost demarată, pe Normă internă, procedura de atribuire a contractului de servicii pentru elaborarea documentaţiei tehnice faza Expertiză Tehnică şi DALI. Procedura inițiată pe Normă internă a fost anulată și reluată în SICAP.</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A fost încheiat Contractul de servicii pentru elaborarea documentaţiei tehnice faza Expertiză Tehnică şi DALI nr.1475/27.12.2018, cu firma High Construct Project SRL, la o valoare de 132.000 lei, fără TVA, cu termen de finalizare 09.03.2019. Ordinul de începere a lucrărilor a fost dat începand cu 09.01.2019. În prezent, este în curs de realizare expertiza tehnică.</w:t>
      </w:r>
    </w:p>
    <w:p w:rsidR="006B07BE" w:rsidRPr="00E64932" w:rsidRDefault="006B07BE" w:rsidP="006B07BE">
      <w:pPr>
        <w:pStyle w:val="Listparagraf1"/>
        <w:spacing w:after="0" w:line="240" w:lineRule="auto"/>
        <w:ind w:left="0"/>
        <w:jc w:val="both"/>
        <w:rPr>
          <w:rFonts w:ascii="Times New Roman" w:hAnsi="Times New Roman"/>
          <w:b/>
          <w:sz w:val="24"/>
          <w:szCs w:val="24"/>
        </w:rPr>
      </w:pPr>
      <w:r w:rsidRPr="00E64932">
        <w:rPr>
          <w:rFonts w:ascii="Times New Roman" w:hAnsi="Times New Roman"/>
          <w:sz w:val="24"/>
          <w:szCs w:val="24"/>
        </w:rPr>
        <w:t xml:space="preserve">   </w:t>
      </w:r>
      <w:r w:rsidRPr="00E64932">
        <w:rPr>
          <w:rFonts w:ascii="Times New Roman" w:hAnsi="Times New Roman"/>
          <w:b/>
          <w:color w:val="000000"/>
          <w:sz w:val="24"/>
          <w:szCs w:val="24"/>
        </w:rPr>
        <w:t>●</w:t>
      </w:r>
      <w:r w:rsidRPr="00E64932">
        <w:rPr>
          <w:rFonts w:ascii="Times New Roman" w:hAnsi="Times New Roman"/>
          <w:sz w:val="24"/>
          <w:szCs w:val="24"/>
          <w:lang w:val="fr-FR"/>
        </w:rPr>
        <w:t xml:space="preserve"> </w:t>
      </w:r>
      <w:r w:rsidRPr="00E64932">
        <w:rPr>
          <w:rFonts w:ascii="Times New Roman" w:hAnsi="Times New Roman"/>
          <w:b/>
          <w:sz w:val="24"/>
          <w:szCs w:val="24"/>
        </w:rPr>
        <w:t>Teatrul Mic</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lastRenderedPageBreak/>
        <w:t>A fost demarată, pe Normă internă, procedura de atribuire a contractului de servicii pentru elaborarea documentaţiei tehnice faza DALI. A fost atribuit Contractul de servicii nr.705/30.05.2018, Companiei Municipale Dezvoltare Durabilă București S.A., cu o valoare de 129.735 lei fără TVA. Documentația DALI a fost predată, termenul de finalizare fiind.31.07.2018, avizată în Consiliul Tehnico-Economic al Primăriei Municipiului București în 14.08.2018 și</w:t>
      </w:r>
      <w:r w:rsidRPr="00E64932">
        <w:rPr>
          <w:rFonts w:ascii="Times New Roman" w:hAnsi="Times New Roman"/>
          <w:color w:val="FF0000"/>
          <w:sz w:val="24"/>
          <w:szCs w:val="24"/>
        </w:rPr>
        <w:t xml:space="preserve"> </w:t>
      </w:r>
      <w:r w:rsidRPr="00E64932">
        <w:rPr>
          <w:rFonts w:ascii="Times New Roman" w:hAnsi="Times New Roman"/>
          <w:sz w:val="24"/>
          <w:szCs w:val="24"/>
        </w:rPr>
        <w:t>aprobați indicatorii tehnico-economici prin Hotărarea Consiliului General al Municipiului București nr.500/23.08.2018</w:t>
      </w:r>
      <w:r w:rsidRPr="00E64932">
        <w:rPr>
          <w:rFonts w:ascii="Times New Roman" w:hAnsi="Times New Roman"/>
          <w:color w:val="FF0000"/>
          <w:sz w:val="24"/>
          <w:szCs w:val="24"/>
        </w:rPr>
        <w:t>.</w:t>
      </w:r>
      <w:r w:rsidRPr="00E64932">
        <w:rPr>
          <w:rFonts w:ascii="Times New Roman" w:hAnsi="Times New Roman"/>
          <w:sz w:val="24"/>
          <w:szCs w:val="24"/>
        </w:rPr>
        <w:t xml:space="preserve"> A fost obținut Certificatul de urbanism nr.1727/1663316/29.10.2018.</w:t>
      </w:r>
    </w:p>
    <w:p w:rsidR="006B07BE" w:rsidRPr="00E64932" w:rsidRDefault="006B07BE" w:rsidP="006B07BE">
      <w:pPr>
        <w:pStyle w:val="Listparagraf1"/>
        <w:spacing w:after="0" w:line="240" w:lineRule="auto"/>
        <w:ind w:left="0"/>
        <w:jc w:val="both"/>
        <w:rPr>
          <w:rFonts w:ascii="Times New Roman" w:hAnsi="Times New Roman"/>
          <w:b/>
          <w:sz w:val="24"/>
          <w:szCs w:val="24"/>
        </w:rPr>
      </w:pPr>
      <w:r w:rsidRPr="00E64932">
        <w:rPr>
          <w:rFonts w:ascii="Times New Roman" w:hAnsi="Times New Roman"/>
          <w:sz w:val="24"/>
          <w:szCs w:val="24"/>
        </w:rPr>
        <w:t xml:space="preserve">   </w:t>
      </w:r>
      <w:r w:rsidRPr="00E64932">
        <w:rPr>
          <w:rFonts w:ascii="Times New Roman" w:hAnsi="Times New Roman"/>
          <w:b/>
          <w:color w:val="000000"/>
          <w:sz w:val="24"/>
          <w:szCs w:val="24"/>
        </w:rPr>
        <w:t xml:space="preserve">● </w:t>
      </w:r>
      <w:r w:rsidRPr="00E64932">
        <w:rPr>
          <w:rFonts w:ascii="Times New Roman" w:hAnsi="Times New Roman"/>
          <w:b/>
          <w:sz w:val="24"/>
          <w:szCs w:val="24"/>
        </w:rPr>
        <w:t>Teatrul Bulandra</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A fost întocmită și aprobată documentaţia în vederea demarărării procedurii de atribuire a contractului de servicii pentru elaboarea documentaţiei tehnice faza expertiză tehnică şi DALI. În data de 18.12.2018, documentația a fost transmisă Direcției Generale Achiziții Publice în vederea ridicării acesteia în SICAP. În data de 03.01.2019, documentația a fost returnată, urmează completarea acesteia, conform solicitărilor Direcției Generale Achiziții Publice și retransmiterea ei.</w:t>
      </w:r>
    </w:p>
    <w:p w:rsidR="006B07BE" w:rsidRPr="00E64932" w:rsidRDefault="006B07BE" w:rsidP="006B07BE">
      <w:pPr>
        <w:pStyle w:val="Listparagraf1"/>
        <w:spacing w:after="0" w:line="240" w:lineRule="auto"/>
        <w:ind w:left="0"/>
        <w:jc w:val="both"/>
        <w:rPr>
          <w:rFonts w:ascii="Times New Roman" w:hAnsi="Times New Roman"/>
          <w:b/>
          <w:sz w:val="24"/>
          <w:szCs w:val="24"/>
        </w:rPr>
      </w:pPr>
      <w:r w:rsidRPr="00E64932">
        <w:rPr>
          <w:rFonts w:ascii="Times New Roman" w:hAnsi="Times New Roman"/>
          <w:sz w:val="24"/>
          <w:szCs w:val="24"/>
        </w:rPr>
        <w:t xml:space="preserve">   </w:t>
      </w:r>
      <w:r w:rsidRPr="00E64932">
        <w:rPr>
          <w:rFonts w:ascii="Times New Roman" w:hAnsi="Times New Roman"/>
          <w:b/>
          <w:color w:val="000000"/>
          <w:sz w:val="24"/>
          <w:szCs w:val="24"/>
        </w:rPr>
        <w:t xml:space="preserve">● </w:t>
      </w:r>
      <w:r w:rsidRPr="00E64932">
        <w:rPr>
          <w:rFonts w:ascii="Times New Roman" w:hAnsi="Times New Roman"/>
          <w:b/>
          <w:sz w:val="24"/>
          <w:szCs w:val="24"/>
          <w:lang w:val="es-ES"/>
        </w:rPr>
        <w:t>Extindere Şcoala de Artă Bucureşti din Str.Cuza Vodă nr.100, sector 4.</w:t>
      </w:r>
    </w:p>
    <w:p w:rsidR="006B07BE" w:rsidRPr="00E64932" w:rsidRDefault="006B07BE" w:rsidP="006B07BE">
      <w:pPr>
        <w:pStyle w:val="Listparagraf1"/>
        <w:spacing w:after="0" w:line="240" w:lineRule="auto"/>
        <w:ind w:left="0" w:firstLine="720"/>
        <w:jc w:val="both"/>
        <w:rPr>
          <w:rFonts w:ascii="Times New Roman" w:hAnsi="Times New Roman"/>
          <w:sz w:val="24"/>
          <w:szCs w:val="24"/>
          <w:lang w:val="pt-BR"/>
        </w:rPr>
      </w:pPr>
      <w:r w:rsidRPr="00E64932">
        <w:rPr>
          <w:rFonts w:ascii="Times New Roman" w:hAnsi="Times New Roman"/>
          <w:sz w:val="24"/>
          <w:szCs w:val="24"/>
          <w:lang w:val="pt-BR"/>
        </w:rPr>
        <w:t>Obiectivul urmărit constă în realizarea unei extinderi şi a unui corp–anexă pentru spaţii tehnice aferente imobilului.</w:t>
      </w:r>
    </w:p>
    <w:p w:rsidR="006B07BE" w:rsidRPr="00E64932" w:rsidRDefault="006B07BE" w:rsidP="006B07BE">
      <w:pPr>
        <w:pStyle w:val="Listparagraf1"/>
        <w:spacing w:after="0" w:line="240" w:lineRule="auto"/>
        <w:ind w:left="0" w:firstLine="720"/>
        <w:jc w:val="both"/>
        <w:rPr>
          <w:rFonts w:ascii="Times New Roman" w:hAnsi="Times New Roman"/>
          <w:sz w:val="24"/>
          <w:szCs w:val="24"/>
          <w:lang w:val="pt-BR"/>
        </w:rPr>
      </w:pPr>
      <w:r w:rsidRPr="00E64932">
        <w:rPr>
          <w:rFonts w:ascii="Times New Roman" w:hAnsi="Times New Roman"/>
          <w:sz w:val="24"/>
          <w:szCs w:val="24"/>
          <w:lang w:val="pt-BR"/>
        </w:rPr>
        <w:t>Este necesară realizarea unui nou Studiu de Fezabilitate, având în vedere că au trecut 5 ani de la întocmirea primului SF.</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A fost elaborată și aprobată documentaţia în vederea demarării procedurii de atribuire a contractului de servicii pentru revizuirea studiului de fezabilitate. În data de 21.09.2018, documentația a fost transmisă Direcției Generale Achiziții Publice în vederea ridicării acesteia în SICAP. Nu s-au prezentat ofertanți și se va relua procedura pe Norma Internă.</w:t>
      </w:r>
    </w:p>
    <w:p w:rsidR="006B07BE" w:rsidRPr="00E64932" w:rsidRDefault="006B07BE" w:rsidP="006B07BE">
      <w:pPr>
        <w:pStyle w:val="Listparagraf1"/>
        <w:spacing w:after="0" w:line="240" w:lineRule="auto"/>
        <w:ind w:left="0"/>
        <w:jc w:val="both"/>
        <w:rPr>
          <w:rFonts w:ascii="Times New Roman" w:hAnsi="Times New Roman"/>
          <w:b/>
          <w:sz w:val="24"/>
          <w:szCs w:val="24"/>
        </w:rPr>
      </w:pPr>
      <w:r w:rsidRPr="00E64932">
        <w:rPr>
          <w:rFonts w:ascii="Times New Roman" w:hAnsi="Times New Roman"/>
          <w:sz w:val="24"/>
          <w:szCs w:val="24"/>
        </w:rPr>
        <w:t xml:space="preserve">  </w:t>
      </w:r>
      <w:r w:rsidRPr="00E64932">
        <w:rPr>
          <w:rFonts w:ascii="Times New Roman" w:hAnsi="Times New Roman"/>
          <w:b/>
          <w:color w:val="000000"/>
          <w:sz w:val="24"/>
          <w:szCs w:val="24"/>
        </w:rPr>
        <w:t xml:space="preserve">● </w:t>
      </w:r>
      <w:r w:rsidRPr="00E64932">
        <w:rPr>
          <w:rFonts w:ascii="Times New Roman" w:hAnsi="Times New Roman"/>
          <w:b/>
          <w:sz w:val="24"/>
          <w:szCs w:val="24"/>
        </w:rPr>
        <w:t>Reabilitare şi modernizare Centrul Cultural Lumina – B.dul Regina Elisabeta nr.32, sect. 5</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Proiectul propune reabilitarea, modernizarea prin reamenajarea, refacerea finisajelor exterioare, interioare si eventuala consolidare a clădirii în vederea aducerii acesteia la destinația de sala multifuncțională de spectacol.</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A fost obţinul Certificatul de urbanism nr.538/1610248/03.05.2018 de la Primăria Municipiului București.</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A fost încheiat Contractul nr.1187/26.10.2018 cu SC Alpha House Design SRL. Valoarea contractului este de 120.000 lei, fără TVA, cu termen de finalizare, conform contract, 16 luni de la emiterea ordinului de începere. Ordinul de începere a fost emis începand cu 12.11.2018. </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Prima etapă, realizare expertiză tehnică și DALI a fost finalizată și predată documentația.</w:t>
      </w:r>
    </w:p>
    <w:p w:rsidR="006B07BE" w:rsidRPr="00E64932" w:rsidRDefault="006B07BE" w:rsidP="006B07BE">
      <w:pPr>
        <w:pStyle w:val="Listparagraf1"/>
        <w:spacing w:after="0" w:line="240" w:lineRule="auto"/>
        <w:ind w:left="0"/>
        <w:jc w:val="both"/>
        <w:rPr>
          <w:rFonts w:ascii="Times New Roman" w:hAnsi="Times New Roman"/>
          <w:sz w:val="24"/>
          <w:szCs w:val="24"/>
        </w:rPr>
      </w:pPr>
    </w:p>
    <w:p w:rsidR="006B07BE" w:rsidRPr="00E64932" w:rsidRDefault="006B07BE" w:rsidP="006B07BE">
      <w:pPr>
        <w:pStyle w:val="Listparagraf1"/>
        <w:spacing w:after="0" w:line="240" w:lineRule="auto"/>
        <w:ind w:left="0"/>
        <w:jc w:val="both"/>
        <w:rPr>
          <w:rFonts w:ascii="Times New Roman" w:hAnsi="Times New Roman"/>
          <w:b/>
          <w:color w:val="000000"/>
          <w:sz w:val="24"/>
          <w:szCs w:val="24"/>
        </w:rPr>
      </w:pPr>
      <w:r w:rsidRPr="00E64932">
        <w:rPr>
          <w:rFonts w:ascii="Times New Roman" w:hAnsi="Times New Roman"/>
          <w:b/>
          <w:color w:val="000000"/>
          <w:sz w:val="24"/>
          <w:szCs w:val="24"/>
        </w:rPr>
        <w:t>Muzeul Municipiului București</w:t>
      </w:r>
    </w:p>
    <w:p w:rsidR="006B07BE" w:rsidRPr="00E64932" w:rsidRDefault="006B07BE" w:rsidP="006B07BE">
      <w:pPr>
        <w:pStyle w:val="Listparagraf1"/>
        <w:spacing w:after="0" w:line="240" w:lineRule="auto"/>
        <w:ind w:left="0"/>
        <w:jc w:val="both"/>
        <w:rPr>
          <w:rFonts w:ascii="Times New Roman" w:hAnsi="Times New Roman"/>
          <w:sz w:val="24"/>
          <w:szCs w:val="24"/>
        </w:rPr>
      </w:pPr>
      <w:r w:rsidRPr="00E64932">
        <w:rPr>
          <w:rFonts w:ascii="Times New Roman" w:hAnsi="Times New Roman"/>
          <w:sz w:val="24"/>
          <w:szCs w:val="24"/>
        </w:rPr>
        <w:tab/>
        <w:t>Muzeul Municipiului București urmărește crearea unor experiențe unice pentru vizitatorii și participanții la activitățile muzeului, prin care aceștia să se familiarizeze nu numai cu colecțiile muzeului, ci și cu caracteristici și evoluții ale societății românești raportată la alte civilizații. Muzeul urmărește, în același timp, ca vizitatorii să conștientizeze și să aprecieze calitatea de membri ai unei culturi.</w:t>
      </w:r>
    </w:p>
    <w:p w:rsidR="006B07BE" w:rsidRPr="00E64932" w:rsidRDefault="006B07BE" w:rsidP="006B07BE">
      <w:pPr>
        <w:pStyle w:val="Listparagraf1"/>
        <w:spacing w:after="0" w:line="240" w:lineRule="auto"/>
        <w:ind w:left="0"/>
        <w:jc w:val="both"/>
        <w:rPr>
          <w:rFonts w:ascii="Times New Roman" w:hAnsi="Times New Roman"/>
          <w:b/>
          <w:sz w:val="24"/>
          <w:szCs w:val="24"/>
        </w:rPr>
      </w:pPr>
      <w:r w:rsidRPr="00E64932">
        <w:rPr>
          <w:rFonts w:ascii="Times New Roman" w:hAnsi="Times New Roman"/>
          <w:b/>
          <w:color w:val="000000"/>
          <w:sz w:val="24"/>
          <w:szCs w:val="24"/>
        </w:rPr>
        <w:t xml:space="preserve">► </w:t>
      </w:r>
      <w:r w:rsidRPr="00E64932">
        <w:rPr>
          <w:rFonts w:ascii="Times New Roman" w:hAnsi="Times New Roman"/>
          <w:b/>
          <w:sz w:val="24"/>
          <w:szCs w:val="24"/>
        </w:rPr>
        <w:t>Program de evidență computerizată, conservare și restaurare a patrimoniului cultural mobil</w:t>
      </w:r>
    </w:p>
    <w:p w:rsidR="006B07BE" w:rsidRPr="00E64932" w:rsidRDefault="006B07BE" w:rsidP="00980D72">
      <w:pPr>
        <w:pStyle w:val="Listparagraf1"/>
        <w:numPr>
          <w:ilvl w:val="0"/>
          <w:numId w:val="33"/>
        </w:numPr>
        <w:spacing w:after="0" w:line="240" w:lineRule="auto"/>
        <w:jc w:val="both"/>
        <w:rPr>
          <w:rFonts w:ascii="Times New Roman" w:hAnsi="Times New Roman"/>
          <w:sz w:val="24"/>
          <w:szCs w:val="24"/>
        </w:rPr>
      </w:pPr>
      <w:r w:rsidRPr="00E64932">
        <w:rPr>
          <w:rFonts w:ascii="Times New Roman" w:hAnsi="Times New Roman"/>
          <w:sz w:val="24"/>
          <w:szCs w:val="24"/>
        </w:rPr>
        <w:t>Continuarea evidenței patrimoniului MMB.</w:t>
      </w:r>
    </w:p>
    <w:p w:rsidR="006B07BE" w:rsidRPr="00E64932" w:rsidRDefault="006B07BE" w:rsidP="00980D72">
      <w:pPr>
        <w:pStyle w:val="Listparagraf1"/>
        <w:numPr>
          <w:ilvl w:val="0"/>
          <w:numId w:val="33"/>
        </w:numPr>
        <w:spacing w:after="0" w:line="240" w:lineRule="auto"/>
        <w:jc w:val="both"/>
        <w:rPr>
          <w:rFonts w:ascii="Times New Roman" w:hAnsi="Times New Roman"/>
          <w:sz w:val="24"/>
          <w:szCs w:val="24"/>
        </w:rPr>
      </w:pPr>
      <w:r w:rsidRPr="00E64932">
        <w:rPr>
          <w:rFonts w:ascii="Times New Roman" w:hAnsi="Times New Roman"/>
          <w:sz w:val="24"/>
          <w:szCs w:val="24"/>
        </w:rPr>
        <w:t>Continuarea clasării patrimoniului MMB în categoriile juridice Fond și Tezaur.</w:t>
      </w:r>
    </w:p>
    <w:p w:rsidR="006B07BE" w:rsidRPr="00E64932" w:rsidRDefault="006B07BE" w:rsidP="00980D72">
      <w:pPr>
        <w:pStyle w:val="Listparagraf1"/>
        <w:numPr>
          <w:ilvl w:val="0"/>
          <w:numId w:val="33"/>
        </w:numPr>
        <w:spacing w:after="0" w:line="240" w:lineRule="auto"/>
        <w:jc w:val="both"/>
        <w:rPr>
          <w:rFonts w:ascii="Times New Roman" w:hAnsi="Times New Roman"/>
          <w:sz w:val="24"/>
          <w:szCs w:val="24"/>
        </w:rPr>
      </w:pPr>
      <w:r w:rsidRPr="00E64932">
        <w:rPr>
          <w:rFonts w:ascii="Times New Roman" w:hAnsi="Times New Roman"/>
          <w:sz w:val="24"/>
          <w:szCs w:val="24"/>
        </w:rPr>
        <w:t>Finalizarea introducerii în Registrul General de Inventar a obiectelor de patrimoniu donate sau aflate în comodat, sau lipsite de număr de inventar, conform procedurilor elaborate și aprobate de CSCM a MMB în ultimii patru ani. Proiect pe patru ani, în coroborare cu organizarea procesului de inventariere a întregului patrimoniu al MMB.</w:t>
      </w:r>
    </w:p>
    <w:p w:rsidR="006B07BE" w:rsidRPr="00E64932" w:rsidRDefault="006B07BE" w:rsidP="00980D72">
      <w:pPr>
        <w:pStyle w:val="Listparagraf1"/>
        <w:numPr>
          <w:ilvl w:val="0"/>
          <w:numId w:val="33"/>
        </w:numPr>
        <w:spacing w:after="0" w:line="240" w:lineRule="auto"/>
        <w:jc w:val="both"/>
        <w:rPr>
          <w:rFonts w:ascii="Times New Roman" w:hAnsi="Times New Roman"/>
          <w:sz w:val="24"/>
          <w:szCs w:val="24"/>
        </w:rPr>
      </w:pPr>
      <w:r w:rsidRPr="00E64932">
        <w:rPr>
          <w:rFonts w:ascii="Times New Roman" w:hAnsi="Times New Roman"/>
          <w:sz w:val="24"/>
          <w:szCs w:val="24"/>
        </w:rPr>
        <w:t>Continuarea organizării bazei de date a MMB cu vizualizare pe website de către publicul specializat. Finalizare în 2021.</w:t>
      </w:r>
    </w:p>
    <w:p w:rsidR="006B07BE" w:rsidRPr="00E64932" w:rsidRDefault="006B07BE" w:rsidP="00980D72">
      <w:pPr>
        <w:pStyle w:val="Listparagraf1"/>
        <w:numPr>
          <w:ilvl w:val="0"/>
          <w:numId w:val="33"/>
        </w:numPr>
        <w:spacing w:after="0" w:line="240" w:lineRule="auto"/>
        <w:jc w:val="both"/>
        <w:rPr>
          <w:rFonts w:ascii="Times New Roman" w:hAnsi="Times New Roman"/>
          <w:sz w:val="24"/>
          <w:szCs w:val="24"/>
        </w:rPr>
      </w:pPr>
      <w:r w:rsidRPr="00E64932">
        <w:rPr>
          <w:rFonts w:ascii="Times New Roman" w:hAnsi="Times New Roman"/>
          <w:sz w:val="24"/>
          <w:szCs w:val="24"/>
        </w:rPr>
        <w:t>Îmbunătățirea evidenței obiectelor de patrimoniu în coroborare cu organizarea inventarierii întregului patrimoniu al MMB. Proiect pilot pe patru ani 2018-2021.</w:t>
      </w:r>
    </w:p>
    <w:p w:rsidR="006B07BE" w:rsidRPr="00E64932" w:rsidRDefault="006B07BE" w:rsidP="00980D72">
      <w:pPr>
        <w:pStyle w:val="Listparagraf1"/>
        <w:numPr>
          <w:ilvl w:val="0"/>
          <w:numId w:val="33"/>
        </w:numPr>
        <w:spacing w:after="0" w:line="240" w:lineRule="auto"/>
        <w:jc w:val="both"/>
        <w:rPr>
          <w:rFonts w:ascii="Times New Roman" w:hAnsi="Times New Roman"/>
          <w:sz w:val="24"/>
          <w:szCs w:val="24"/>
        </w:rPr>
      </w:pPr>
      <w:r w:rsidRPr="00E64932">
        <w:rPr>
          <w:rFonts w:ascii="Times New Roman" w:hAnsi="Times New Roman"/>
          <w:sz w:val="24"/>
          <w:szCs w:val="24"/>
        </w:rPr>
        <w:lastRenderedPageBreak/>
        <w:t>Demararea și organizarea procesului de inventariere a patrimoniului MMB la nivelul întregii instituții (proiect multianual, 2018-2020).</w:t>
      </w:r>
    </w:p>
    <w:p w:rsidR="006B07BE" w:rsidRPr="00E64932" w:rsidRDefault="006B07BE" w:rsidP="00980D72">
      <w:pPr>
        <w:pStyle w:val="Listparagraf1"/>
        <w:numPr>
          <w:ilvl w:val="0"/>
          <w:numId w:val="33"/>
        </w:numPr>
        <w:spacing w:after="0" w:line="240" w:lineRule="auto"/>
        <w:jc w:val="both"/>
        <w:rPr>
          <w:rFonts w:ascii="Times New Roman" w:hAnsi="Times New Roman"/>
          <w:sz w:val="24"/>
          <w:szCs w:val="24"/>
        </w:rPr>
      </w:pPr>
      <w:r w:rsidRPr="00E64932">
        <w:rPr>
          <w:rFonts w:ascii="Times New Roman" w:hAnsi="Times New Roman"/>
          <w:sz w:val="24"/>
          <w:szCs w:val="24"/>
        </w:rPr>
        <w:t>Realizarea unei evidențe digitale a buletinelor de investigații fizico-chimice.</w:t>
      </w:r>
    </w:p>
    <w:p w:rsidR="006B07BE" w:rsidRPr="00E64932" w:rsidRDefault="006B07BE" w:rsidP="00980D72">
      <w:pPr>
        <w:pStyle w:val="Listparagraf1"/>
        <w:numPr>
          <w:ilvl w:val="0"/>
          <w:numId w:val="33"/>
        </w:numPr>
        <w:spacing w:after="0" w:line="240" w:lineRule="auto"/>
        <w:jc w:val="both"/>
        <w:rPr>
          <w:rFonts w:ascii="Times New Roman" w:hAnsi="Times New Roman"/>
          <w:sz w:val="24"/>
          <w:szCs w:val="24"/>
        </w:rPr>
      </w:pPr>
      <w:r w:rsidRPr="00E64932">
        <w:rPr>
          <w:rFonts w:ascii="Times New Roman" w:hAnsi="Times New Roman"/>
          <w:sz w:val="24"/>
          <w:szCs w:val="24"/>
        </w:rPr>
        <w:t>Realizarea unei evidențe digitale a fișelor de restaurare la nivelul întregii secții de Restaurare-Conservare. Proiect pilot pentru patru ani 2018-2021.</w:t>
      </w:r>
    </w:p>
    <w:p w:rsidR="006B07BE" w:rsidRPr="00E64932" w:rsidRDefault="006B07BE" w:rsidP="00980D72">
      <w:pPr>
        <w:pStyle w:val="Listparagraf1"/>
        <w:numPr>
          <w:ilvl w:val="0"/>
          <w:numId w:val="33"/>
        </w:numPr>
        <w:spacing w:after="0" w:line="240" w:lineRule="auto"/>
        <w:jc w:val="both"/>
        <w:rPr>
          <w:rFonts w:ascii="Times New Roman" w:hAnsi="Times New Roman"/>
          <w:sz w:val="24"/>
          <w:szCs w:val="24"/>
        </w:rPr>
      </w:pPr>
      <w:r w:rsidRPr="00E64932">
        <w:rPr>
          <w:rFonts w:ascii="Times New Roman" w:hAnsi="Times New Roman"/>
          <w:sz w:val="24"/>
          <w:szCs w:val="24"/>
        </w:rPr>
        <w:t>Evidența financiar contabilă-analitică a patrimoniului MMB (proiect pilot pe patru ani 2018-2021, cu finalizare în 2021).</w:t>
      </w:r>
    </w:p>
    <w:p w:rsidR="006B07BE" w:rsidRPr="00E64932" w:rsidRDefault="006B07BE" w:rsidP="00980D72">
      <w:pPr>
        <w:pStyle w:val="Listparagraf1"/>
        <w:numPr>
          <w:ilvl w:val="0"/>
          <w:numId w:val="33"/>
        </w:numPr>
        <w:spacing w:after="0" w:line="240" w:lineRule="auto"/>
        <w:jc w:val="both"/>
        <w:rPr>
          <w:rFonts w:ascii="Times New Roman" w:hAnsi="Times New Roman"/>
          <w:sz w:val="24"/>
          <w:szCs w:val="24"/>
        </w:rPr>
      </w:pPr>
      <w:r w:rsidRPr="00E64932">
        <w:rPr>
          <w:rFonts w:ascii="Times New Roman" w:hAnsi="Times New Roman"/>
          <w:sz w:val="24"/>
          <w:szCs w:val="24"/>
        </w:rPr>
        <w:t>Continuarea organizării bazei de date a MMB cu vizualizare pe website de către publicul specializat. Finalizare în 2021.</w:t>
      </w:r>
    </w:p>
    <w:p w:rsidR="006B07BE" w:rsidRPr="00E64932" w:rsidRDefault="006B07BE" w:rsidP="006B07BE">
      <w:pPr>
        <w:pStyle w:val="Listparagraf1"/>
        <w:spacing w:after="0" w:line="240" w:lineRule="auto"/>
        <w:ind w:left="0" w:firstLine="360"/>
        <w:jc w:val="both"/>
        <w:rPr>
          <w:rFonts w:ascii="Times New Roman" w:hAnsi="Times New Roman"/>
          <w:color w:val="000000"/>
          <w:sz w:val="24"/>
          <w:szCs w:val="24"/>
        </w:rPr>
      </w:pPr>
      <w:r w:rsidRPr="00E64932">
        <w:rPr>
          <w:rFonts w:ascii="Times New Roman" w:hAnsi="Times New Roman"/>
          <w:color w:val="000000"/>
          <w:sz w:val="24"/>
          <w:szCs w:val="24"/>
        </w:rPr>
        <w:t>-</w:t>
      </w:r>
      <w:r w:rsidRPr="00E64932">
        <w:rPr>
          <w:rFonts w:ascii="Times New Roman" w:hAnsi="Times New Roman"/>
          <w:color w:val="000000"/>
          <w:sz w:val="24"/>
          <w:szCs w:val="24"/>
        </w:rPr>
        <w:tab/>
        <w:t>Dezvoltarea digitizării patrimoniului mobil (proiect pilot pe patru ani 2018-2021);</w:t>
      </w:r>
    </w:p>
    <w:p w:rsidR="006B07BE" w:rsidRPr="00E64932" w:rsidRDefault="006B07BE" w:rsidP="006B07BE">
      <w:pPr>
        <w:pStyle w:val="Listparagraf1"/>
        <w:spacing w:after="0" w:line="240" w:lineRule="auto"/>
        <w:ind w:left="0" w:firstLine="360"/>
        <w:jc w:val="both"/>
        <w:rPr>
          <w:rFonts w:ascii="Times New Roman" w:hAnsi="Times New Roman"/>
          <w:color w:val="000000"/>
          <w:sz w:val="24"/>
          <w:szCs w:val="24"/>
        </w:rPr>
      </w:pPr>
      <w:r w:rsidRPr="00E64932">
        <w:rPr>
          <w:rFonts w:ascii="Times New Roman" w:hAnsi="Times New Roman"/>
          <w:color w:val="000000"/>
          <w:sz w:val="24"/>
          <w:szCs w:val="24"/>
        </w:rPr>
        <w:t>-</w:t>
      </w:r>
      <w:r w:rsidRPr="00E64932">
        <w:rPr>
          <w:rFonts w:ascii="Times New Roman" w:hAnsi="Times New Roman"/>
          <w:color w:val="000000"/>
          <w:sz w:val="24"/>
          <w:szCs w:val="24"/>
        </w:rPr>
        <w:tab/>
        <w:t>Digitizarea Registrului General de Inventar al MMB.</w:t>
      </w:r>
    </w:p>
    <w:p w:rsidR="006B07BE" w:rsidRPr="00E64932" w:rsidRDefault="006B07BE" w:rsidP="006B07BE">
      <w:pPr>
        <w:pStyle w:val="Listparagraf1"/>
        <w:spacing w:after="0" w:line="240" w:lineRule="auto"/>
        <w:ind w:left="0"/>
        <w:jc w:val="both"/>
        <w:rPr>
          <w:rFonts w:ascii="Times New Roman" w:hAnsi="Times New Roman"/>
          <w:color w:val="000000"/>
          <w:sz w:val="24"/>
          <w:szCs w:val="24"/>
        </w:rPr>
      </w:pPr>
    </w:p>
    <w:p w:rsidR="006B07BE" w:rsidRPr="00E64932" w:rsidRDefault="006B07BE" w:rsidP="006B07BE">
      <w:pPr>
        <w:pStyle w:val="Listparagraf1"/>
        <w:spacing w:after="0" w:line="240" w:lineRule="auto"/>
        <w:ind w:left="0"/>
        <w:jc w:val="both"/>
        <w:rPr>
          <w:rFonts w:ascii="Times New Roman" w:hAnsi="Times New Roman"/>
          <w:b/>
          <w:color w:val="000000"/>
          <w:sz w:val="24"/>
          <w:szCs w:val="24"/>
        </w:rPr>
      </w:pPr>
      <w:r w:rsidRPr="00E64932">
        <w:rPr>
          <w:rFonts w:ascii="Times New Roman" w:hAnsi="Times New Roman"/>
          <w:b/>
          <w:color w:val="000000"/>
          <w:sz w:val="24"/>
          <w:szCs w:val="24"/>
        </w:rPr>
        <w:t>► Programul de cercetare, restaurare</w:t>
      </w:r>
    </w:p>
    <w:p w:rsidR="006B07BE" w:rsidRPr="00E64932" w:rsidRDefault="006B07BE" w:rsidP="006B07BE">
      <w:pPr>
        <w:pStyle w:val="Listparagraf1"/>
        <w:spacing w:after="0" w:line="240" w:lineRule="auto"/>
        <w:ind w:left="0"/>
        <w:jc w:val="both"/>
        <w:rPr>
          <w:rFonts w:ascii="Times New Roman" w:hAnsi="Times New Roman"/>
          <w:b/>
          <w:color w:val="000000"/>
          <w:sz w:val="24"/>
          <w:szCs w:val="24"/>
        </w:rPr>
      </w:pPr>
      <w:r w:rsidRPr="00E64932">
        <w:rPr>
          <w:rFonts w:ascii="Times New Roman" w:hAnsi="Times New Roman"/>
          <w:b/>
          <w:color w:val="000000"/>
          <w:sz w:val="24"/>
          <w:szCs w:val="24"/>
        </w:rPr>
        <w:t xml:space="preserve">   ● Proiecte de restaurare a patrimoniului MMB</w:t>
      </w:r>
    </w:p>
    <w:p w:rsidR="006B07BE" w:rsidRPr="00E64932" w:rsidRDefault="006B07BE" w:rsidP="006B07BE">
      <w:pPr>
        <w:pStyle w:val="Listparagraf1"/>
        <w:spacing w:after="0" w:line="240" w:lineRule="auto"/>
        <w:ind w:left="0" w:firstLine="720"/>
        <w:jc w:val="both"/>
        <w:rPr>
          <w:rFonts w:ascii="Times New Roman" w:hAnsi="Times New Roman"/>
          <w:color w:val="000000"/>
          <w:sz w:val="24"/>
          <w:szCs w:val="24"/>
        </w:rPr>
      </w:pPr>
      <w:r w:rsidRPr="00E64932">
        <w:rPr>
          <w:rFonts w:ascii="Times New Roman" w:hAnsi="Times New Roman"/>
          <w:color w:val="000000"/>
          <w:sz w:val="24"/>
          <w:szCs w:val="24"/>
        </w:rPr>
        <w:t>Colecția dr. Nicolae Minovici și colecția Victor Babeș</w:t>
      </w:r>
    </w:p>
    <w:p w:rsidR="006B07BE" w:rsidRPr="00E64932" w:rsidRDefault="006B07BE" w:rsidP="006B07BE">
      <w:pPr>
        <w:pStyle w:val="Listparagraf1"/>
        <w:spacing w:after="0" w:line="240" w:lineRule="auto"/>
        <w:ind w:left="0"/>
        <w:jc w:val="both"/>
        <w:rPr>
          <w:rFonts w:ascii="Times New Roman" w:hAnsi="Times New Roman"/>
          <w:b/>
          <w:color w:val="000000"/>
          <w:sz w:val="24"/>
          <w:szCs w:val="24"/>
        </w:rPr>
      </w:pPr>
      <w:r w:rsidRPr="00E64932">
        <w:rPr>
          <w:rFonts w:ascii="Times New Roman" w:hAnsi="Times New Roman"/>
          <w:b/>
          <w:color w:val="000000"/>
          <w:sz w:val="24"/>
          <w:szCs w:val="24"/>
        </w:rPr>
        <w:t xml:space="preserve">   ● Proiectul de restaurare fresce</w:t>
      </w:r>
    </w:p>
    <w:p w:rsidR="006B07BE" w:rsidRPr="00E64932" w:rsidRDefault="006B07BE" w:rsidP="006B07BE">
      <w:pPr>
        <w:pStyle w:val="Listparagraf1"/>
        <w:spacing w:after="0" w:line="240" w:lineRule="auto"/>
        <w:ind w:left="0" w:firstLine="720"/>
        <w:jc w:val="both"/>
        <w:rPr>
          <w:rFonts w:ascii="Times New Roman" w:hAnsi="Times New Roman"/>
          <w:color w:val="000000"/>
          <w:sz w:val="24"/>
          <w:szCs w:val="24"/>
        </w:rPr>
      </w:pPr>
      <w:r w:rsidRPr="00E64932">
        <w:rPr>
          <w:rFonts w:ascii="Times New Roman" w:hAnsi="Times New Roman"/>
          <w:color w:val="000000"/>
          <w:sz w:val="24"/>
          <w:szCs w:val="24"/>
        </w:rPr>
        <w:t>Restaurare a cinci fresce ale mănăstirii Văcărești cu specialiști experți restaurare murală de la UNARTE.</w:t>
      </w:r>
    </w:p>
    <w:p w:rsidR="006B07BE" w:rsidRPr="00E64932" w:rsidRDefault="006B07BE" w:rsidP="006B07BE">
      <w:pPr>
        <w:pStyle w:val="Listparagraf1"/>
        <w:spacing w:after="0" w:line="240" w:lineRule="auto"/>
        <w:ind w:left="0"/>
        <w:jc w:val="both"/>
        <w:rPr>
          <w:rFonts w:ascii="Times New Roman" w:hAnsi="Times New Roman"/>
          <w:b/>
          <w:color w:val="000000"/>
          <w:sz w:val="24"/>
          <w:szCs w:val="24"/>
        </w:rPr>
      </w:pPr>
      <w:r w:rsidRPr="00E64932">
        <w:rPr>
          <w:rFonts w:ascii="Times New Roman" w:hAnsi="Times New Roman"/>
          <w:b/>
          <w:color w:val="000000"/>
          <w:sz w:val="24"/>
          <w:szCs w:val="24"/>
        </w:rPr>
        <w:t xml:space="preserve">   ● Demararea unor proiecte de cercetare în parteneriat extern.</w:t>
      </w:r>
    </w:p>
    <w:p w:rsidR="006B07BE" w:rsidRPr="00E64932" w:rsidRDefault="006B07BE" w:rsidP="006B07BE">
      <w:pPr>
        <w:pStyle w:val="Listparagraf1"/>
        <w:spacing w:after="0" w:line="240" w:lineRule="auto"/>
        <w:ind w:left="0" w:firstLine="720"/>
        <w:jc w:val="both"/>
        <w:rPr>
          <w:rFonts w:ascii="Times New Roman" w:hAnsi="Times New Roman"/>
          <w:color w:val="000000"/>
          <w:sz w:val="24"/>
          <w:szCs w:val="24"/>
        </w:rPr>
      </w:pPr>
      <w:r w:rsidRPr="00E64932">
        <w:rPr>
          <w:rFonts w:ascii="Times New Roman" w:hAnsi="Times New Roman"/>
          <w:color w:val="000000"/>
          <w:sz w:val="24"/>
          <w:szCs w:val="24"/>
        </w:rPr>
        <w:t>A fost prevazută în lista de investiții pentru anul 2018 sumele necesare pentru proiectele mai sus menționate, iar acestea au fost finalizate în decursul anului 2018.</w:t>
      </w:r>
    </w:p>
    <w:p w:rsidR="006B07BE" w:rsidRPr="00E64932" w:rsidRDefault="006B07BE" w:rsidP="006B07BE">
      <w:pPr>
        <w:pStyle w:val="Listparagraf1"/>
        <w:spacing w:after="0" w:line="240" w:lineRule="auto"/>
        <w:ind w:left="0"/>
        <w:jc w:val="both"/>
        <w:rPr>
          <w:rFonts w:ascii="Times New Roman" w:hAnsi="Times New Roman"/>
          <w:b/>
          <w:color w:val="000000"/>
          <w:sz w:val="24"/>
          <w:szCs w:val="24"/>
        </w:rPr>
      </w:pPr>
      <w:r w:rsidRPr="00E64932">
        <w:rPr>
          <w:rFonts w:ascii="Times New Roman" w:hAnsi="Times New Roman"/>
          <w:b/>
          <w:color w:val="000000"/>
          <w:sz w:val="24"/>
          <w:szCs w:val="24"/>
        </w:rPr>
        <w:t xml:space="preserve">   ● Proiect de cercetare arheologică sistematică</w:t>
      </w:r>
    </w:p>
    <w:p w:rsidR="006B07BE" w:rsidRPr="00E64932" w:rsidRDefault="006B07BE" w:rsidP="006B07BE">
      <w:pPr>
        <w:pStyle w:val="Listparagraf1"/>
        <w:spacing w:after="0" w:line="240" w:lineRule="auto"/>
        <w:ind w:left="0" w:firstLine="720"/>
        <w:jc w:val="both"/>
        <w:rPr>
          <w:rFonts w:ascii="Times New Roman" w:hAnsi="Times New Roman"/>
          <w:color w:val="000000"/>
          <w:sz w:val="24"/>
          <w:szCs w:val="24"/>
        </w:rPr>
      </w:pPr>
      <w:r w:rsidRPr="00E64932">
        <w:rPr>
          <w:rFonts w:ascii="Times New Roman" w:hAnsi="Times New Roman"/>
          <w:color w:val="000000"/>
          <w:sz w:val="24"/>
          <w:szCs w:val="24"/>
        </w:rPr>
        <w:t>- în situl arheologic preistoric Sultana-Malul Roșu.</w:t>
      </w:r>
    </w:p>
    <w:p w:rsidR="006B07BE" w:rsidRPr="00E64932" w:rsidRDefault="006B07BE" w:rsidP="006B07BE">
      <w:pPr>
        <w:pStyle w:val="Listparagraf1"/>
        <w:spacing w:after="0" w:line="240" w:lineRule="auto"/>
        <w:ind w:left="0"/>
        <w:jc w:val="both"/>
        <w:rPr>
          <w:rFonts w:ascii="Times New Roman" w:hAnsi="Times New Roman"/>
          <w:color w:val="000000"/>
          <w:sz w:val="24"/>
          <w:szCs w:val="24"/>
        </w:rPr>
      </w:pPr>
      <w:r w:rsidRPr="00E64932">
        <w:rPr>
          <w:rFonts w:ascii="Times New Roman" w:hAnsi="Times New Roman"/>
          <w:color w:val="000000"/>
          <w:sz w:val="24"/>
          <w:szCs w:val="24"/>
        </w:rPr>
        <w:t xml:space="preserve">   </w:t>
      </w:r>
      <w:r w:rsidRPr="00E64932">
        <w:rPr>
          <w:rFonts w:ascii="Times New Roman" w:hAnsi="Times New Roman"/>
          <w:color w:val="000000"/>
          <w:sz w:val="24"/>
          <w:szCs w:val="24"/>
        </w:rPr>
        <w:tab/>
        <w:t>- în situl arheologic neolitic Gumelnița.</w:t>
      </w:r>
    </w:p>
    <w:p w:rsidR="006B07BE" w:rsidRPr="00E64932" w:rsidRDefault="006B07BE" w:rsidP="006B07BE">
      <w:pPr>
        <w:pStyle w:val="Listparagraf1"/>
        <w:spacing w:after="0" w:line="240" w:lineRule="auto"/>
        <w:ind w:left="0"/>
        <w:jc w:val="both"/>
        <w:rPr>
          <w:rFonts w:ascii="Times New Roman" w:hAnsi="Times New Roman"/>
          <w:color w:val="000000"/>
          <w:sz w:val="24"/>
          <w:szCs w:val="24"/>
        </w:rPr>
      </w:pPr>
      <w:r w:rsidRPr="00E64932">
        <w:rPr>
          <w:rFonts w:ascii="Times New Roman" w:hAnsi="Times New Roman"/>
          <w:color w:val="000000"/>
          <w:sz w:val="24"/>
          <w:szCs w:val="24"/>
        </w:rPr>
        <w:t xml:space="preserve">   </w:t>
      </w:r>
      <w:r w:rsidRPr="00E64932">
        <w:rPr>
          <w:rFonts w:ascii="Times New Roman" w:hAnsi="Times New Roman"/>
          <w:color w:val="000000"/>
          <w:sz w:val="24"/>
          <w:szCs w:val="24"/>
        </w:rPr>
        <w:tab/>
        <w:t>- în situl arheologic Capidava.</w:t>
      </w:r>
    </w:p>
    <w:p w:rsidR="006B07BE" w:rsidRPr="00E64932" w:rsidRDefault="006B07BE" w:rsidP="006B07BE">
      <w:pPr>
        <w:pStyle w:val="Listparagraf1"/>
        <w:spacing w:after="0" w:line="240" w:lineRule="auto"/>
        <w:ind w:left="0" w:firstLine="720"/>
        <w:jc w:val="both"/>
        <w:rPr>
          <w:rFonts w:ascii="Times New Roman" w:hAnsi="Times New Roman"/>
          <w:color w:val="000000"/>
          <w:sz w:val="24"/>
          <w:szCs w:val="24"/>
        </w:rPr>
      </w:pPr>
      <w:r w:rsidRPr="00E64932">
        <w:rPr>
          <w:rFonts w:ascii="Times New Roman" w:hAnsi="Times New Roman"/>
          <w:color w:val="000000"/>
          <w:sz w:val="24"/>
          <w:szCs w:val="24"/>
        </w:rPr>
        <w:t>Proiectele de cercetare arheologică sistematică în siturile arheologice Sultana-Malul Roșu, Gumelnița și Capidava au fost finalizate în 2018.</w:t>
      </w:r>
    </w:p>
    <w:p w:rsidR="006B07BE" w:rsidRPr="00E64932" w:rsidRDefault="006B07BE" w:rsidP="006B07BE">
      <w:pPr>
        <w:pStyle w:val="Listparagraf1"/>
        <w:spacing w:after="0" w:line="240" w:lineRule="auto"/>
        <w:ind w:left="0"/>
        <w:jc w:val="both"/>
        <w:rPr>
          <w:rFonts w:ascii="Times New Roman" w:hAnsi="Times New Roman"/>
          <w:color w:val="000000"/>
          <w:sz w:val="24"/>
          <w:szCs w:val="24"/>
        </w:rPr>
      </w:pPr>
    </w:p>
    <w:p w:rsidR="006B07BE" w:rsidRPr="00E64932" w:rsidRDefault="006B07BE" w:rsidP="006B07BE">
      <w:pPr>
        <w:pStyle w:val="Listparagraf1"/>
        <w:spacing w:after="0" w:line="240" w:lineRule="auto"/>
        <w:ind w:left="0"/>
        <w:jc w:val="both"/>
        <w:rPr>
          <w:rFonts w:ascii="Times New Roman" w:hAnsi="Times New Roman"/>
          <w:b/>
          <w:sz w:val="24"/>
          <w:szCs w:val="24"/>
        </w:rPr>
      </w:pPr>
      <w:r w:rsidRPr="00E64932">
        <w:rPr>
          <w:rFonts w:ascii="Times New Roman" w:hAnsi="Times New Roman"/>
          <w:b/>
          <w:color w:val="000000"/>
          <w:sz w:val="24"/>
          <w:szCs w:val="24"/>
        </w:rPr>
        <w:t xml:space="preserve">► </w:t>
      </w:r>
      <w:r w:rsidRPr="00E64932">
        <w:rPr>
          <w:rFonts w:ascii="Times New Roman" w:hAnsi="Times New Roman"/>
          <w:b/>
          <w:sz w:val="24"/>
          <w:szCs w:val="24"/>
        </w:rPr>
        <w:t>Programe privind pregătirea Centenarului Marii Uniri</w:t>
      </w:r>
    </w:p>
    <w:p w:rsidR="006B07BE" w:rsidRPr="00E64932" w:rsidRDefault="006B07BE" w:rsidP="006B07BE">
      <w:pPr>
        <w:pStyle w:val="Listparagraf1"/>
        <w:spacing w:after="0" w:line="240" w:lineRule="auto"/>
        <w:ind w:left="0"/>
        <w:jc w:val="both"/>
        <w:rPr>
          <w:rFonts w:ascii="Times New Roman" w:hAnsi="Times New Roman"/>
          <w:b/>
          <w:sz w:val="24"/>
          <w:szCs w:val="24"/>
        </w:rPr>
      </w:pPr>
      <w:r w:rsidRPr="00E64932">
        <w:rPr>
          <w:rFonts w:ascii="Times New Roman" w:hAnsi="Times New Roman"/>
          <w:b/>
          <w:sz w:val="24"/>
          <w:szCs w:val="24"/>
        </w:rPr>
        <w:t xml:space="preserve">   </w:t>
      </w:r>
      <w:r w:rsidRPr="00E64932">
        <w:rPr>
          <w:rFonts w:ascii="Times New Roman" w:hAnsi="Times New Roman"/>
          <w:b/>
          <w:color w:val="000000"/>
          <w:sz w:val="24"/>
          <w:szCs w:val="24"/>
        </w:rPr>
        <w:t xml:space="preserve">● </w:t>
      </w:r>
      <w:r w:rsidRPr="00E64932">
        <w:rPr>
          <w:rFonts w:ascii="Times New Roman" w:hAnsi="Times New Roman"/>
          <w:b/>
          <w:sz w:val="24"/>
          <w:szCs w:val="24"/>
        </w:rPr>
        <w:t>9 Proiecte/Programe</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w:t>
      </w:r>
      <w:r w:rsidRPr="00E64932">
        <w:rPr>
          <w:rFonts w:ascii="Times New Roman" w:hAnsi="Times New Roman"/>
          <w:b/>
          <w:sz w:val="24"/>
          <w:szCs w:val="24"/>
        </w:rPr>
        <w:t xml:space="preserve"> </w:t>
      </w:r>
      <w:r w:rsidRPr="00E64932">
        <w:rPr>
          <w:rFonts w:ascii="Times New Roman" w:hAnsi="Times New Roman"/>
          <w:sz w:val="24"/>
          <w:szCs w:val="24"/>
        </w:rPr>
        <w:t xml:space="preserve">Proiect Leipzig-București-Lipscani </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w:t>
      </w:r>
      <w:r w:rsidRPr="00E64932">
        <w:rPr>
          <w:rFonts w:ascii="Times New Roman" w:hAnsi="Times New Roman"/>
          <w:b/>
          <w:sz w:val="24"/>
          <w:szCs w:val="24"/>
        </w:rPr>
        <w:t xml:space="preserve"> </w:t>
      </w:r>
      <w:r w:rsidRPr="00E64932">
        <w:rPr>
          <w:rFonts w:ascii="Times New Roman" w:hAnsi="Times New Roman"/>
          <w:sz w:val="24"/>
          <w:szCs w:val="24"/>
        </w:rPr>
        <w:t>Proiect editorial Bucureștii în Primele Decenii ale României Marie</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 Proiect editorial Toți în Unu – Povestea unui Proiect de Țară </w:t>
      </w:r>
    </w:p>
    <w:p w:rsidR="006B07BE" w:rsidRPr="00E64932" w:rsidRDefault="006B07BE" w:rsidP="006B07BE">
      <w:pPr>
        <w:pStyle w:val="Listparagraf1"/>
        <w:spacing w:after="0" w:line="240" w:lineRule="auto"/>
        <w:jc w:val="both"/>
        <w:rPr>
          <w:rFonts w:ascii="Times New Roman" w:hAnsi="Times New Roman"/>
          <w:sz w:val="24"/>
          <w:szCs w:val="24"/>
        </w:rPr>
      </w:pPr>
      <w:r w:rsidRPr="00E64932">
        <w:rPr>
          <w:rFonts w:ascii="Times New Roman" w:hAnsi="Times New Roman"/>
          <w:sz w:val="24"/>
          <w:szCs w:val="24"/>
        </w:rPr>
        <w:t>- Proiect Reconstituire facială Mihai Viteazul – parte din proiectul expozițional Fizionomii Unificatoare</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Proiect editorial filatelic – Renașterea României în Pictură</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Proiect editorial filatelic – Făuritori ai Marii Uniri</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Proiectul Istorii despre Marea Unire</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 Proiect film documentar Femeile în război și pace în deceniul Marii Uniri </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Proiect film documentar Memoria cinematografică a Marelui Razboi și a Marii Uniri</w:t>
      </w:r>
    </w:p>
    <w:p w:rsidR="006B07BE" w:rsidRPr="00E64932" w:rsidRDefault="006B07BE" w:rsidP="006B07BE">
      <w:pPr>
        <w:pStyle w:val="Listparagraf1"/>
        <w:spacing w:after="0" w:line="240" w:lineRule="auto"/>
        <w:ind w:left="0"/>
        <w:jc w:val="both"/>
        <w:rPr>
          <w:rFonts w:ascii="Times New Roman" w:hAnsi="Times New Roman"/>
          <w:sz w:val="24"/>
          <w:szCs w:val="24"/>
        </w:rPr>
      </w:pPr>
    </w:p>
    <w:p w:rsidR="006B07BE" w:rsidRPr="00E64932" w:rsidRDefault="006B07BE" w:rsidP="006B07BE">
      <w:pPr>
        <w:pStyle w:val="Listparagraf1"/>
        <w:spacing w:after="0" w:line="240" w:lineRule="auto"/>
        <w:ind w:left="0"/>
        <w:rPr>
          <w:rFonts w:ascii="Times New Roman" w:hAnsi="Times New Roman"/>
          <w:sz w:val="24"/>
          <w:szCs w:val="24"/>
        </w:rPr>
      </w:pPr>
    </w:p>
    <w:p w:rsidR="006B07BE" w:rsidRPr="00E64932" w:rsidRDefault="006B07BE" w:rsidP="006B07BE">
      <w:pPr>
        <w:pStyle w:val="Listparagraf1"/>
        <w:spacing w:after="0" w:line="240" w:lineRule="auto"/>
        <w:ind w:left="0"/>
        <w:rPr>
          <w:rFonts w:ascii="Times New Roman" w:hAnsi="Times New Roman"/>
          <w:b/>
          <w:color w:val="000000"/>
          <w:sz w:val="24"/>
          <w:szCs w:val="24"/>
        </w:rPr>
      </w:pPr>
      <w:r w:rsidRPr="00E64932">
        <w:rPr>
          <w:rFonts w:ascii="Times New Roman" w:hAnsi="Times New Roman"/>
          <w:b/>
          <w:color w:val="000000"/>
          <w:sz w:val="24"/>
          <w:szCs w:val="24"/>
        </w:rPr>
        <w:t>Centrul de Cultură Palatele Brâncovenești de la Porțile Bucureștiului</w:t>
      </w:r>
    </w:p>
    <w:p w:rsidR="006B07BE" w:rsidRPr="00E64932" w:rsidRDefault="006B07BE" w:rsidP="006B07BE">
      <w:pPr>
        <w:pStyle w:val="ListParagraph"/>
        <w:ind w:left="0"/>
        <w:jc w:val="both"/>
        <w:rPr>
          <w:color w:val="000000"/>
        </w:rPr>
      </w:pPr>
      <w:r w:rsidRPr="00E64932">
        <w:rPr>
          <w:color w:val="FF0000"/>
        </w:rPr>
        <w:tab/>
      </w:r>
      <w:r w:rsidRPr="00E64932">
        <w:rPr>
          <w:color w:val="000000"/>
        </w:rPr>
        <w:t xml:space="preserve">Centrul de Cultură ”Palatele Brâncovenești” și-a consolidat și dezvoltat principalele direcții de acțiune punând un accent deosebit pe calitatea actului cultural. </w:t>
      </w:r>
    </w:p>
    <w:p w:rsidR="006B07BE" w:rsidRPr="00E64932" w:rsidRDefault="006B07BE" w:rsidP="006B07BE">
      <w:pPr>
        <w:pStyle w:val="ListParagraph"/>
        <w:ind w:left="0"/>
        <w:jc w:val="both"/>
        <w:rPr>
          <w:color w:val="000000"/>
        </w:rPr>
      </w:pPr>
      <w:r w:rsidRPr="00E64932">
        <w:rPr>
          <w:color w:val="000000"/>
        </w:rPr>
        <w:tab/>
        <w:t>Instituția desfășoară proiecte și programe culturale, punând un accent deosebit pe următoarele aspecte:</w:t>
      </w:r>
    </w:p>
    <w:p w:rsidR="006B07BE" w:rsidRPr="00E64932" w:rsidRDefault="006B07BE" w:rsidP="006B07BE">
      <w:pPr>
        <w:pStyle w:val="ListParagraph"/>
        <w:ind w:left="0"/>
        <w:jc w:val="both"/>
        <w:rPr>
          <w:color w:val="000000"/>
        </w:rPr>
      </w:pPr>
      <w:r w:rsidRPr="00E64932">
        <w:rPr>
          <w:color w:val="000000"/>
        </w:rPr>
        <w:tab/>
        <w:t>-elaborarea unor proiecte atractive, reprezentative, de educație permanentă</w:t>
      </w:r>
    </w:p>
    <w:p w:rsidR="006B07BE" w:rsidRPr="00E64932" w:rsidRDefault="006B07BE" w:rsidP="006B07BE">
      <w:pPr>
        <w:pStyle w:val="ListParagraph"/>
        <w:ind w:left="0"/>
        <w:jc w:val="both"/>
        <w:rPr>
          <w:color w:val="000000"/>
        </w:rPr>
      </w:pPr>
      <w:r w:rsidRPr="00E64932">
        <w:rPr>
          <w:color w:val="000000"/>
        </w:rPr>
        <w:lastRenderedPageBreak/>
        <w:tab/>
        <w:t>-conservarea patrimoniului cultural și transmiterea valorilor culturale, artistice, precum și diversificarea serviciilor culturale, prin armonizarea acestora cu nevoile identificate, în timp, de specialiștii instituției.</w:t>
      </w:r>
    </w:p>
    <w:p w:rsidR="006B07BE" w:rsidRPr="00E64932" w:rsidRDefault="006B07BE" w:rsidP="006B07BE">
      <w:pPr>
        <w:pStyle w:val="ListParagraph"/>
        <w:ind w:left="0"/>
        <w:jc w:val="both"/>
        <w:rPr>
          <w:b/>
        </w:rPr>
      </w:pPr>
    </w:p>
    <w:p w:rsidR="006B07BE" w:rsidRPr="00E64932" w:rsidRDefault="006B07BE" w:rsidP="006B07BE">
      <w:pPr>
        <w:pStyle w:val="ListParagraph"/>
        <w:ind w:left="0"/>
        <w:jc w:val="both"/>
        <w:rPr>
          <w:b/>
        </w:rPr>
      </w:pPr>
      <w:r w:rsidRPr="00E64932">
        <w:rPr>
          <w:b/>
        </w:rPr>
        <w:t>► Programe privind Centenarului Marii Uniri</w:t>
      </w:r>
    </w:p>
    <w:p w:rsidR="006B07BE" w:rsidRPr="00E64932" w:rsidRDefault="006B07BE" w:rsidP="006B07BE">
      <w:pPr>
        <w:pStyle w:val="ListParagraph"/>
        <w:ind w:left="0"/>
        <w:jc w:val="both"/>
        <w:rPr>
          <w:b/>
        </w:rPr>
      </w:pPr>
      <w:r w:rsidRPr="00E64932">
        <w:rPr>
          <w:b/>
        </w:rPr>
        <w:t xml:space="preserve">   ● Evenimente/Acțiuni</w:t>
      </w:r>
    </w:p>
    <w:p w:rsidR="006B07BE" w:rsidRPr="00E64932" w:rsidRDefault="006B07BE" w:rsidP="006B07BE">
      <w:pPr>
        <w:pStyle w:val="ListParagraph"/>
        <w:ind w:left="0"/>
        <w:jc w:val="both"/>
        <w:outlineLvl w:val="4"/>
        <w:rPr>
          <w:bCs/>
        </w:rPr>
      </w:pPr>
      <w:r w:rsidRPr="00E64932">
        <w:t xml:space="preserve">     - Cultură și creație în anul marii uniri: </w:t>
      </w:r>
      <w:r w:rsidRPr="00E64932">
        <w:rPr>
          <w:bCs/>
        </w:rPr>
        <w:t>inițiative culturale bucureștene</w:t>
      </w:r>
    </w:p>
    <w:p w:rsidR="006B07BE" w:rsidRPr="00E64932" w:rsidRDefault="006B07BE" w:rsidP="006B07BE">
      <w:pPr>
        <w:pStyle w:val="ListParagraph"/>
        <w:ind w:left="0"/>
        <w:jc w:val="both"/>
      </w:pPr>
      <w:r w:rsidRPr="00E64932">
        <w:t xml:space="preserve">     - Figurativul contemporan –  lansare album desene inedite din primul război mondial</w:t>
      </w:r>
    </w:p>
    <w:p w:rsidR="006B07BE" w:rsidRPr="00E64932" w:rsidRDefault="006B07BE" w:rsidP="006B07BE">
      <w:pPr>
        <w:pStyle w:val="ListParagraph"/>
        <w:ind w:left="0"/>
        <w:jc w:val="both"/>
      </w:pPr>
      <w:r w:rsidRPr="00E64932">
        <w:t xml:space="preserve">     - Construcție și culoare – expoziție</w:t>
      </w:r>
    </w:p>
    <w:p w:rsidR="006B07BE" w:rsidRPr="00E64932" w:rsidRDefault="006B07BE" w:rsidP="006B07BE">
      <w:pPr>
        <w:pStyle w:val="ListParagraph"/>
        <w:ind w:left="0"/>
        <w:jc w:val="both"/>
      </w:pPr>
      <w:r w:rsidRPr="00E64932">
        <w:t xml:space="preserve">     - Manifest – expoziție</w:t>
      </w:r>
    </w:p>
    <w:p w:rsidR="006B07BE" w:rsidRPr="00E64932" w:rsidRDefault="006B07BE" w:rsidP="006B07BE">
      <w:pPr>
        <w:pStyle w:val="ListParagraph"/>
        <w:ind w:left="0"/>
        <w:jc w:val="both"/>
      </w:pPr>
      <w:r w:rsidRPr="00E64932">
        <w:t xml:space="preserve">     - Noaptea muzeelor 2018: covor de flori cu stema româniei reîntregite</w:t>
      </w:r>
    </w:p>
    <w:p w:rsidR="006B07BE" w:rsidRPr="00E64932" w:rsidRDefault="006B07BE" w:rsidP="006B07BE">
      <w:pPr>
        <w:pStyle w:val="ListParagraph"/>
        <w:ind w:left="0"/>
        <w:jc w:val="both"/>
      </w:pPr>
      <w:r w:rsidRPr="00E64932">
        <w:t xml:space="preserve">     - Rusaliile, hramul neamului românesc – conferință</w:t>
      </w:r>
    </w:p>
    <w:p w:rsidR="006B07BE" w:rsidRPr="00E64932" w:rsidRDefault="006B07BE" w:rsidP="006B07BE">
      <w:pPr>
        <w:pStyle w:val="ListParagraph"/>
        <w:ind w:left="0"/>
        <w:jc w:val="both"/>
      </w:pPr>
      <w:r w:rsidRPr="00E64932">
        <w:t xml:space="preserve">     - Personalități culturale: Ion I.C. Brătianu și Eliza Brătianu – conferință</w:t>
      </w:r>
    </w:p>
    <w:p w:rsidR="006B07BE" w:rsidRPr="00E64932" w:rsidRDefault="006B07BE" w:rsidP="006B07BE">
      <w:pPr>
        <w:pStyle w:val="ListParagraph"/>
        <w:ind w:left="0"/>
        <w:jc w:val="both"/>
      </w:pPr>
      <w:r w:rsidRPr="00E64932">
        <w:t xml:space="preserve">     - Barbu Știrbey și rolul său istorico – politic – conferință</w:t>
      </w:r>
    </w:p>
    <w:p w:rsidR="006B07BE" w:rsidRPr="00E64932" w:rsidRDefault="006B07BE" w:rsidP="006B07BE">
      <w:pPr>
        <w:pStyle w:val="ListParagraph"/>
        <w:ind w:left="0"/>
        <w:jc w:val="both"/>
      </w:pPr>
      <w:r w:rsidRPr="00E64932">
        <w:t xml:space="preserve">     - Monumente personale – expoziție</w:t>
      </w:r>
    </w:p>
    <w:p w:rsidR="006B07BE" w:rsidRPr="00E64932" w:rsidRDefault="006B07BE" w:rsidP="006B07BE">
      <w:pPr>
        <w:pStyle w:val="ListParagraph"/>
        <w:ind w:left="0"/>
        <w:jc w:val="both"/>
      </w:pPr>
      <w:r w:rsidRPr="00E64932">
        <w:t xml:space="preserve">     - Eroi ready made – expoziție</w:t>
      </w:r>
    </w:p>
    <w:p w:rsidR="006B07BE" w:rsidRPr="00E64932" w:rsidRDefault="006B07BE" w:rsidP="006B07BE">
      <w:pPr>
        <w:pStyle w:val="ListParagraph"/>
        <w:ind w:left="0"/>
        <w:jc w:val="both"/>
      </w:pPr>
      <w:r w:rsidRPr="00E64932">
        <w:t xml:space="preserve">     - Monumente comemorative și creatorii lor – conferință</w:t>
      </w:r>
    </w:p>
    <w:p w:rsidR="006B07BE" w:rsidRPr="00E64932" w:rsidRDefault="006B07BE" w:rsidP="006B07BE">
      <w:pPr>
        <w:pStyle w:val="ListParagraph"/>
        <w:ind w:left="0"/>
        <w:jc w:val="both"/>
      </w:pPr>
      <w:r w:rsidRPr="00E64932">
        <w:t xml:space="preserve">     - Cântările reîntregirii – concert </w:t>
      </w:r>
    </w:p>
    <w:p w:rsidR="006B07BE" w:rsidRPr="00E64932" w:rsidRDefault="006B07BE" w:rsidP="006B07BE">
      <w:pPr>
        <w:pStyle w:val="ListParagraph"/>
        <w:ind w:left="0"/>
        <w:jc w:val="both"/>
      </w:pPr>
      <w:r w:rsidRPr="00E64932">
        <w:t xml:space="preserve">     - 100 de ani de arhitectură neoromâneacă – conferință</w:t>
      </w:r>
    </w:p>
    <w:p w:rsidR="006B07BE" w:rsidRPr="00E64932" w:rsidRDefault="006B07BE" w:rsidP="006B07BE">
      <w:pPr>
        <w:pStyle w:val="ListParagraph"/>
        <w:ind w:left="0"/>
        <w:jc w:val="both"/>
      </w:pPr>
      <w:r w:rsidRPr="00E64932">
        <w:t xml:space="preserve">     - O</w:t>
      </w:r>
      <w:r w:rsidRPr="00E64932">
        <w:rPr>
          <w:rStyle w:val="Strong"/>
          <w:b w:val="0"/>
          <w:iCs/>
          <w:bdr w:val="none" w:sz="0" w:space="0" w:color="auto" w:frame="1"/>
          <w:shd w:val="clear" w:color="auto" w:fill="FFFFFF"/>
        </w:rPr>
        <w:t xml:space="preserve">magiu eroilor neamului – vestale și jertfe </w:t>
      </w:r>
      <w:r w:rsidRPr="00E64932">
        <w:t>– expoziție</w:t>
      </w:r>
    </w:p>
    <w:p w:rsidR="006B07BE" w:rsidRPr="00E64932" w:rsidRDefault="006B07BE" w:rsidP="006B07BE">
      <w:pPr>
        <w:pStyle w:val="ListParagraph"/>
        <w:ind w:left="0"/>
        <w:jc w:val="both"/>
      </w:pPr>
      <w:r w:rsidRPr="00E64932">
        <w:t xml:space="preserve">     - Debutul Istoriei Moderne a României Întregite</w:t>
      </w:r>
    </w:p>
    <w:p w:rsidR="006B07BE" w:rsidRPr="00E64932" w:rsidRDefault="006B07BE" w:rsidP="006B07BE">
      <w:pPr>
        <w:pStyle w:val="ListParagraph"/>
        <w:ind w:left="0"/>
        <w:jc w:val="both"/>
      </w:pPr>
      <w:r w:rsidRPr="00E64932">
        <w:t xml:space="preserve">     - Tezaur - expoziție de artă sacră</w:t>
      </w:r>
    </w:p>
    <w:p w:rsidR="006B07BE" w:rsidRPr="00E64932" w:rsidRDefault="006B07BE" w:rsidP="006B07BE">
      <w:pPr>
        <w:pStyle w:val="ListParagraph"/>
        <w:ind w:left="0"/>
        <w:jc w:val="both"/>
      </w:pPr>
      <w:r w:rsidRPr="00E64932">
        <w:t xml:space="preserve">     - Theatrum Mundi – expoziție</w:t>
      </w:r>
    </w:p>
    <w:p w:rsidR="006B07BE" w:rsidRPr="00E64932" w:rsidRDefault="006B07BE" w:rsidP="006B07BE">
      <w:pPr>
        <w:pStyle w:val="ListParagraph"/>
        <w:ind w:left="0" w:firstLine="720"/>
        <w:jc w:val="both"/>
      </w:pPr>
    </w:p>
    <w:p w:rsidR="006B07BE" w:rsidRPr="00E64932" w:rsidRDefault="006B07BE" w:rsidP="006B07BE">
      <w:pPr>
        <w:pStyle w:val="ListParagraph"/>
        <w:ind w:left="0" w:firstLine="720"/>
        <w:jc w:val="both"/>
      </w:pPr>
    </w:p>
    <w:p w:rsidR="006B07BE" w:rsidRPr="00E64932" w:rsidRDefault="006B07BE" w:rsidP="006B07BE">
      <w:pPr>
        <w:pStyle w:val="ListParagraph"/>
        <w:ind w:left="0"/>
        <w:jc w:val="both"/>
        <w:rPr>
          <w:b/>
        </w:rPr>
      </w:pPr>
      <w:r w:rsidRPr="00E64932">
        <w:rPr>
          <w:b/>
        </w:rPr>
        <w:t>CREART - Centrul de Creație, Artă și Tradiție al Municipiului București</w:t>
      </w:r>
    </w:p>
    <w:p w:rsidR="006B07BE" w:rsidRPr="00E64932" w:rsidRDefault="006B07BE" w:rsidP="006B07BE">
      <w:pPr>
        <w:pStyle w:val="ListParagraph"/>
        <w:ind w:left="0" w:firstLine="720"/>
        <w:jc w:val="both"/>
        <w:rPr>
          <w:b/>
        </w:rPr>
      </w:pPr>
    </w:p>
    <w:p w:rsidR="006B07BE" w:rsidRPr="00E64932" w:rsidRDefault="006B07BE" w:rsidP="006B07BE">
      <w:pPr>
        <w:pStyle w:val="ListParagraph"/>
        <w:ind w:left="0"/>
        <w:jc w:val="both"/>
        <w:rPr>
          <w:b/>
        </w:rPr>
      </w:pPr>
      <w:r w:rsidRPr="00E64932">
        <w:rPr>
          <w:b/>
        </w:rPr>
        <w:t>► Programe privind Centenarului Marii Uniri</w:t>
      </w:r>
    </w:p>
    <w:p w:rsidR="006B07BE" w:rsidRPr="00E64932" w:rsidRDefault="006B07BE" w:rsidP="006B07BE">
      <w:pPr>
        <w:pStyle w:val="ListParagraph"/>
        <w:ind w:left="0"/>
        <w:jc w:val="both"/>
        <w:rPr>
          <w:b/>
        </w:rPr>
      </w:pPr>
      <w:r w:rsidRPr="00E64932">
        <w:rPr>
          <w:b/>
        </w:rPr>
        <w:t xml:space="preserve">   ● Evenimente/Acțiuni</w:t>
      </w:r>
    </w:p>
    <w:p w:rsidR="006B07BE" w:rsidRPr="00E64932" w:rsidRDefault="006B07BE" w:rsidP="006B07BE">
      <w:pPr>
        <w:pStyle w:val="ListParagraph"/>
        <w:ind w:left="0"/>
        <w:jc w:val="both"/>
      </w:pPr>
      <w:r w:rsidRPr="00E64932">
        <w:t xml:space="preserve">     - Concurs de design de obiect "Centenar Creativ" - o competiție dedicată aniversării a 100 de ani de la Marea Unire.</w:t>
      </w:r>
    </w:p>
    <w:p w:rsidR="006B07BE" w:rsidRPr="00E64932" w:rsidRDefault="006B07BE" w:rsidP="006B07BE">
      <w:pPr>
        <w:pStyle w:val="ListParagraph"/>
        <w:ind w:left="0"/>
        <w:jc w:val="both"/>
      </w:pPr>
      <w:r w:rsidRPr="00E64932">
        <w:t xml:space="preserve">     - Expozitia "Arhitectura Centenarului"</w:t>
      </w:r>
    </w:p>
    <w:p w:rsidR="006B07BE" w:rsidRPr="00E64932" w:rsidRDefault="006B07BE" w:rsidP="006B07BE">
      <w:pPr>
        <w:pStyle w:val="ListParagraph"/>
        <w:jc w:val="both"/>
      </w:pPr>
      <w:r w:rsidRPr="00E64932">
        <w:t>A fost prezentată la Bucureşti, în Pasajul Universităţii, Muzeul Mitropolitan Iaşi, ICR Viena, sediul Consiliului Județean și al Prefecturii Bacău, Biblioteca Națională a Algeriei.</w:t>
      </w:r>
    </w:p>
    <w:p w:rsidR="006B07BE" w:rsidRPr="00E64932" w:rsidRDefault="006B07BE" w:rsidP="006B07BE">
      <w:pPr>
        <w:pStyle w:val="ListParagraph"/>
        <w:ind w:left="0"/>
        <w:jc w:val="both"/>
      </w:pPr>
      <w:r w:rsidRPr="00E64932">
        <w:t xml:space="preserve">     - Concertul dedicat Centenarului Marii Uniri “International Greeting Card EV100”</w:t>
      </w:r>
    </w:p>
    <w:p w:rsidR="006B07BE" w:rsidRPr="00E64932" w:rsidRDefault="006B07BE" w:rsidP="006B07BE">
      <w:pPr>
        <w:pStyle w:val="ListParagraph"/>
        <w:jc w:val="both"/>
      </w:pPr>
      <w:r w:rsidRPr="00E64932">
        <w:t>A fost organizat la Tallin in parteneriat cu Ambasada României în Republica Estonia.</w:t>
      </w:r>
    </w:p>
    <w:p w:rsidR="006B07BE" w:rsidRPr="00E64932" w:rsidRDefault="006B07BE" w:rsidP="006B07BE">
      <w:pPr>
        <w:pStyle w:val="ListParagraph"/>
        <w:ind w:left="0"/>
        <w:jc w:val="both"/>
      </w:pPr>
      <w:r w:rsidRPr="00E64932">
        <w:t xml:space="preserve">     - Ziua Națională a României, Centenarul Marii Uniri, a fost sărbătorită în data de 29 noiembrie 2018, la House of Blackheads din Tallinn, evenimentul fiind organizat in parteneriat cu Ambasada României în Republica Estonia.</w:t>
      </w:r>
    </w:p>
    <w:p w:rsidR="006B07BE" w:rsidRPr="00E64932" w:rsidRDefault="006B07BE" w:rsidP="006B07BE">
      <w:pPr>
        <w:pStyle w:val="ListParagraph"/>
        <w:ind w:left="0"/>
        <w:jc w:val="both"/>
      </w:pPr>
      <w:r w:rsidRPr="00E64932">
        <w:t xml:space="preserve">     - Primăria Capitalei, prin creart, a organizat in parteneriat cu Reprezentanța Permanentă a Romaniei pe langa UE, în data de 1 decembrie 2018, un show de 3D videomapping pe Arcul de Triumf din Parcul Cinquantenaire din Bruxelles pentru a marca Centenarul Marii Uniri, precum și preluarea Președinției Consiliului UE de către România la data de 1 ianuarie 2019. </w:t>
      </w:r>
    </w:p>
    <w:p w:rsidR="00D55356" w:rsidRDefault="00D55356" w:rsidP="006B07BE">
      <w:pPr>
        <w:jc w:val="both"/>
      </w:pPr>
    </w:p>
    <w:p w:rsidR="006B07BE" w:rsidRPr="00E64932" w:rsidRDefault="006B07BE" w:rsidP="006B07BE">
      <w:pPr>
        <w:pStyle w:val="Listparagraf1"/>
        <w:spacing w:after="0" w:line="240" w:lineRule="auto"/>
        <w:ind w:left="0"/>
        <w:jc w:val="both"/>
        <w:rPr>
          <w:rFonts w:ascii="Times New Roman" w:hAnsi="Times New Roman"/>
          <w:b/>
          <w:sz w:val="24"/>
          <w:szCs w:val="24"/>
        </w:rPr>
      </w:pPr>
      <w:r w:rsidRPr="00E64932">
        <w:rPr>
          <w:rFonts w:ascii="Times New Roman" w:hAnsi="Times New Roman"/>
          <w:b/>
          <w:sz w:val="24"/>
          <w:szCs w:val="24"/>
        </w:rPr>
        <w:t>P.M.B. – Direcţia Generală Investiţii</w:t>
      </w:r>
    </w:p>
    <w:p w:rsidR="006B07BE" w:rsidRPr="00E64932" w:rsidRDefault="006B07BE" w:rsidP="006B07BE">
      <w:pPr>
        <w:pStyle w:val="Listparagraf1"/>
        <w:spacing w:after="0" w:line="240" w:lineRule="auto"/>
        <w:ind w:left="0"/>
        <w:jc w:val="both"/>
        <w:rPr>
          <w:rFonts w:ascii="Times New Roman" w:hAnsi="Times New Roman"/>
          <w:b/>
          <w:sz w:val="24"/>
          <w:szCs w:val="24"/>
        </w:rPr>
      </w:pPr>
    </w:p>
    <w:p w:rsidR="006B07BE" w:rsidRPr="00E64932" w:rsidRDefault="006B07BE" w:rsidP="006B07BE">
      <w:pPr>
        <w:pStyle w:val="Listparagraf1"/>
        <w:spacing w:after="0" w:line="240" w:lineRule="auto"/>
        <w:ind w:left="0"/>
        <w:jc w:val="both"/>
        <w:rPr>
          <w:rFonts w:ascii="Times New Roman" w:hAnsi="Times New Roman"/>
          <w:sz w:val="24"/>
          <w:szCs w:val="24"/>
        </w:rPr>
      </w:pPr>
      <w:r w:rsidRPr="00E64932">
        <w:rPr>
          <w:rFonts w:ascii="Times New Roman" w:hAnsi="Times New Roman"/>
          <w:b/>
          <w:color w:val="000000"/>
          <w:sz w:val="24"/>
          <w:szCs w:val="24"/>
        </w:rPr>
        <w:t>►  Infrastructură sportivă</w:t>
      </w:r>
    </w:p>
    <w:p w:rsidR="006B07BE" w:rsidRPr="00E64932" w:rsidRDefault="006B07BE" w:rsidP="006B07BE">
      <w:pPr>
        <w:pStyle w:val="Listparagraf1"/>
        <w:spacing w:after="0" w:line="240" w:lineRule="auto"/>
        <w:ind w:left="0"/>
        <w:jc w:val="both"/>
        <w:rPr>
          <w:rFonts w:ascii="Times New Roman" w:hAnsi="Times New Roman"/>
          <w:b/>
          <w:sz w:val="24"/>
          <w:szCs w:val="24"/>
        </w:rPr>
      </w:pPr>
      <w:r w:rsidRPr="00E64932">
        <w:rPr>
          <w:rFonts w:ascii="Times New Roman" w:hAnsi="Times New Roman"/>
          <w:b/>
          <w:sz w:val="24"/>
          <w:szCs w:val="24"/>
        </w:rPr>
        <w:t xml:space="preserve">     </w:t>
      </w:r>
      <w:r w:rsidRPr="00E64932">
        <w:rPr>
          <w:rFonts w:ascii="Times New Roman" w:hAnsi="Times New Roman"/>
          <w:b/>
          <w:color w:val="000000"/>
          <w:sz w:val="24"/>
          <w:szCs w:val="24"/>
        </w:rPr>
        <w:t xml:space="preserve">● </w:t>
      </w:r>
      <w:r w:rsidRPr="00E64932">
        <w:rPr>
          <w:rFonts w:ascii="Times New Roman" w:hAnsi="Times New Roman"/>
          <w:b/>
          <w:sz w:val="24"/>
          <w:szCs w:val="24"/>
        </w:rPr>
        <w:t>Refacere şi modernizare patinoar artificial Mihai Flamaropol situat în B.bul Basarabia nr. 35, sector 2.</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lang w:val="fr-FR"/>
        </w:rPr>
        <w:lastRenderedPageBreak/>
        <w:t>Vechiul Patinoar 23 August va fi transformat într-un centru sportiv multifuncţional, destinat, nu doar competiţiei, cât mai ales utilizării permanente de către public, pentru activităţi sportive, recreative şi de agrement. V</w:t>
      </w:r>
      <w:r w:rsidRPr="00E64932">
        <w:rPr>
          <w:rFonts w:ascii="Times New Roman" w:hAnsi="Times New Roman"/>
          <w:bCs/>
          <w:sz w:val="24"/>
          <w:szCs w:val="24"/>
        </w:rPr>
        <w:t xml:space="preserve">a avea o suprafaţă desfăşurată de aproximativ 9500 mp, cu o capacitate de </w:t>
      </w:r>
      <w:r w:rsidRPr="00E64932">
        <w:rPr>
          <w:rFonts w:ascii="Times New Roman" w:hAnsi="Times New Roman"/>
          <w:sz w:val="24"/>
          <w:szCs w:val="24"/>
        </w:rPr>
        <w:t xml:space="preserve">3100 locuri, inclusiv VIP. De asemenea, acoperişul viitorului patinoar va fi pietonal, sub formă de relief artificial orientat spre lacul din imediata vecinătate. </w:t>
      </w:r>
    </w:p>
    <w:p w:rsidR="006B07BE" w:rsidRPr="00E64932" w:rsidRDefault="006B07BE" w:rsidP="006B07BE">
      <w:pPr>
        <w:pStyle w:val="Listparagraf1"/>
        <w:spacing w:after="0" w:line="240" w:lineRule="auto"/>
        <w:ind w:left="0" w:firstLine="720"/>
        <w:jc w:val="both"/>
        <w:rPr>
          <w:rFonts w:ascii="Times New Roman" w:hAnsi="Times New Roman"/>
          <w:sz w:val="24"/>
          <w:szCs w:val="24"/>
          <w:lang w:val="it-IT"/>
        </w:rPr>
      </w:pPr>
      <w:r w:rsidRPr="00E64932">
        <w:rPr>
          <w:rFonts w:ascii="Times New Roman" w:hAnsi="Times New Roman"/>
          <w:sz w:val="24"/>
          <w:szCs w:val="24"/>
          <w:lang w:val="it-IT"/>
        </w:rPr>
        <w:t xml:space="preserve">Pentru acest obiectiv, s-a încheiat Contractul de prestări servicii de consultanţă pentru execuţia obiectivului nr.156/27.04.2015, consultant fiind </w:t>
      </w:r>
      <w:r w:rsidRPr="00E64932">
        <w:rPr>
          <w:rFonts w:ascii="Times New Roman" w:hAnsi="Times New Roman"/>
          <w:caps/>
          <w:sz w:val="24"/>
          <w:szCs w:val="24"/>
          <w:lang w:val="it-IT"/>
        </w:rPr>
        <w:t>Louis Berger</w:t>
      </w:r>
      <w:r w:rsidRPr="00E64932">
        <w:rPr>
          <w:rFonts w:ascii="Times New Roman" w:hAnsi="Times New Roman"/>
          <w:sz w:val="24"/>
          <w:szCs w:val="24"/>
          <w:lang w:val="it-IT"/>
        </w:rPr>
        <w:t xml:space="preserve"> SAS şi Contract de lucrări nr.277/17.06.2015, executant şi proiectant, Asocierea SC UTI GRUP S.A.- Astaldi Spa (lider de asociere S.C. UTI GRUP S.A.). Valoarea contractului de execuţie este de </w:t>
      </w:r>
      <w:r w:rsidRPr="00E64932">
        <w:rPr>
          <w:rFonts w:ascii="Times New Roman" w:hAnsi="Times New Roman"/>
          <w:sz w:val="24"/>
          <w:szCs w:val="24"/>
        </w:rPr>
        <w:t>99.935.947,53</w:t>
      </w:r>
      <w:r w:rsidRPr="00E64932">
        <w:rPr>
          <w:rFonts w:ascii="Times New Roman" w:hAnsi="Times New Roman"/>
          <w:sz w:val="24"/>
          <w:szCs w:val="24"/>
          <w:lang w:val="it-IT"/>
        </w:rPr>
        <w:t xml:space="preserve"> lei</w:t>
      </w:r>
      <w:r w:rsidRPr="00E64932">
        <w:rPr>
          <w:rFonts w:ascii="Times New Roman" w:hAnsi="Times New Roman"/>
          <w:sz w:val="24"/>
          <w:szCs w:val="24"/>
        </w:rPr>
        <w:t>, fără TVA</w:t>
      </w:r>
      <w:r w:rsidRPr="00E64932">
        <w:rPr>
          <w:rFonts w:ascii="Times New Roman" w:hAnsi="Times New Roman"/>
          <w:sz w:val="24"/>
          <w:szCs w:val="24"/>
          <w:lang w:val="it-IT"/>
        </w:rPr>
        <w:t xml:space="preserve">. </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În anul 2018 a fost perfectat Actul adițional nr.2 la</w:t>
      </w:r>
      <w:r w:rsidRPr="00E64932">
        <w:rPr>
          <w:rFonts w:ascii="Times New Roman" w:hAnsi="Times New Roman"/>
          <w:color w:val="FF0000"/>
          <w:sz w:val="24"/>
          <w:szCs w:val="24"/>
        </w:rPr>
        <w:t xml:space="preserve"> </w:t>
      </w:r>
      <w:r w:rsidRPr="00E64932">
        <w:rPr>
          <w:rFonts w:ascii="Times New Roman" w:hAnsi="Times New Roman"/>
          <w:sz w:val="24"/>
          <w:szCs w:val="24"/>
          <w:lang w:val="it-IT"/>
        </w:rPr>
        <w:t>Contractul de lucrări nr.277/17.06.2015,</w:t>
      </w:r>
      <w:r w:rsidRPr="00E64932">
        <w:rPr>
          <w:rFonts w:ascii="Times New Roman" w:hAnsi="Times New Roman"/>
          <w:sz w:val="24"/>
          <w:szCs w:val="24"/>
        </w:rPr>
        <w:t xml:space="preserve"> pentru decalare de termen și eșalonare plăți, ca urmare a neclarificării în timp util a situației juridice aferente amplasamentului. Termenul de finalizare a lucrărilor de execuție aferente obiectivului devine luna iunie 2019, iar perioada de operare și mentenanță se încheie la data de 24.06.2020.</w:t>
      </w:r>
    </w:p>
    <w:p w:rsidR="006B07BE" w:rsidRPr="00E64932" w:rsidRDefault="006B07BE" w:rsidP="006B07BE">
      <w:pPr>
        <w:pStyle w:val="Listparagraf1"/>
        <w:spacing w:after="0" w:line="240" w:lineRule="auto"/>
        <w:ind w:left="0" w:firstLine="720"/>
        <w:jc w:val="both"/>
        <w:rPr>
          <w:rFonts w:ascii="Times New Roman" w:hAnsi="Times New Roman"/>
          <w:noProof/>
          <w:sz w:val="24"/>
          <w:szCs w:val="24"/>
        </w:rPr>
      </w:pPr>
      <w:r w:rsidRPr="00E64932">
        <w:rPr>
          <w:rFonts w:ascii="Times New Roman" w:hAnsi="Times New Roman"/>
          <w:noProof/>
          <w:sz w:val="24"/>
          <w:szCs w:val="24"/>
        </w:rPr>
        <w:t>La sfărșitul lunii decembrie 2018, cumulat, s-a executat aproximativ 25.5% din întreaga lucrare.</w:t>
      </w:r>
    </w:p>
    <w:p w:rsidR="006B07BE" w:rsidRPr="00E64932" w:rsidRDefault="006B07BE" w:rsidP="006B07BE">
      <w:pPr>
        <w:pStyle w:val="Listparagraf1"/>
        <w:spacing w:after="0" w:line="240" w:lineRule="auto"/>
        <w:ind w:left="0" w:firstLine="720"/>
        <w:jc w:val="both"/>
        <w:rPr>
          <w:rFonts w:ascii="Times New Roman" w:hAnsi="Times New Roman"/>
          <w:sz w:val="24"/>
          <w:szCs w:val="24"/>
          <w:lang w:val="it-IT"/>
        </w:rPr>
      </w:pPr>
      <w:r w:rsidRPr="00E64932">
        <w:rPr>
          <w:rFonts w:ascii="Times New Roman" w:hAnsi="Times New Roman"/>
          <w:sz w:val="24"/>
          <w:szCs w:val="24"/>
          <w:lang w:val="it-IT"/>
        </w:rPr>
        <w:t>În prezent, lucrările sunt sistate, avand în vedere condițiile meteorologice nefavorabile.</w:t>
      </w:r>
    </w:p>
    <w:p w:rsidR="006B07BE" w:rsidRPr="00E64932" w:rsidRDefault="006B07BE" w:rsidP="006B07BE">
      <w:pPr>
        <w:pStyle w:val="Listparagraf1"/>
        <w:spacing w:after="0" w:line="240" w:lineRule="auto"/>
        <w:ind w:left="0" w:firstLine="720"/>
        <w:jc w:val="both"/>
        <w:rPr>
          <w:rFonts w:ascii="Times New Roman" w:hAnsi="Times New Roman"/>
          <w:sz w:val="24"/>
          <w:szCs w:val="24"/>
          <w:lang w:val="it-IT"/>
        </w:rPr>
      </w:pPr>
      <w:r w:rsidRPr="00E64932">
        <w:rPr>
          <w:rFonts w:ascii="Times New Roman" w:hAnsi="Times New Roman"/>
          <w:sz w:val="24"/>
          <w:szCs w:val="24"/>
          <w:lang w:val="it-IT"/>
        </w:rPr>
        <w:t>Pentru contractarea lucrărilor la bransamentul electric au fost elaborate și transmise Direcției Generale Achiziții Publice, în data de 12.12.2018, documentațiile necesare demarării procedurii de achiziție publică – procedură simplificată.</w:t>
      </w:r>
    </w:p>
    <w:p w:rsidR="006B07BE" w:rsidRPr="00E64932" w:rsidRDefault="006B07BE" w:rsidP="006B07BE">
      <w:pPr>
        <w:pStyle w:val="Listparagraf1"/>
        <w:spacing w:after="0" w:line="240" w:lineRule="auto"/>
        <w:ind w:left="0"/>
        <w:jc w:val="both"/>
        <w:rPr>
          <w:rFonts w:ascii="Times New Roman" w:hAnsi="Times New Roman"/>
          <w:b/>
          <w:sz w:val="24"/>
          <w:szCs w:val="24"/>
        </w:rPr>
      </w:pPr>
      <w:r w:rsidRPr="00E64932">
        <w:rPr>
          <w:rFonts w:ascii="Times New Roman" w:hAnsi="Times New Roman"/>
          <w:b/>
          <w:color w:val="FF0000"/>
          <w:sz w:val="24"/>
          <w:szCs w:val="24"/>
        </w:rPr>
        <w:t xml:space="preserve">   </w:t>
      </w:r>
      <w:r w:rsidRPr="00E64932">
        <w:rPr>
          <w:rFonts w:ascii="Times New Roman" w:hAnsi="Times New Roman"/>
          <w:b/>
          <w:color w:val="000000"/>
          <w:sz w:val="24"/>
          <w:szCs w:val="24"/>
        </w:rPr>
        <w:t xml:space="preserve">● </w:t>
      </w:r>
      <w:r w:rsidRPr="00E64932">
        <w:rPr>
          <w:rFonts w:ascii="Times New Roman" w:hAnsi="Times New Roman"/>
          <w:b/>
          <w:sz w:val="24"/>
          <w:szCs w:val="24"/>
        </w:rPr>
        <w:t>Sală Multifuncţională Complex Sportiv „Lia Manoliu”</w:t>
      </w:r>
      <w:r w:rsidRPr="00E64932">
        <w:rPr>
          <w:rFonts w:ascii="Times New Roman" w:hAnsi="Times New Roman"/>
          <w:b/>
          <w:sz w:val="24"/>
          <w:szCs w:val="24"/>
          <w:lang w:val="it-IT"/>
        </w:rPr>
        <w:t xml:space="preserve"> - B.dul Basarabia nr.37-39, sector 2.</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Sala Multifuncțională va fi amplasată în incinta Complexului sportiv „Lia Manoliu”, în imediata apropiere a Arenei Naționale. </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Prin realizarea unei Săli multifuncționale noi și moderne, atractivitatea Bucureștiului va cunoaște o dezvoltare permanentă, din punct de vedere turistic, economic, sportiv și cultural. Prin intermediul noii arene polivalente, imaginea Bucureștiului va cunoaște o consacrare și dezvoltare pe termen lung.</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Având în vedere complexitatea și multitudinea evenimentelor ce vor fi organizate în cadrul sălii multifuncționale, s-a solicitat Companiei Municipale Trustul de Clădiri Metropolitane București S.A., o estimare a suprafeței construit desfășurate pentru acest obiectiv.</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Astfel, aria construită la sol a sălii multifuncționale va avea ~ 20.700 mp, aria construit desfășurată totală va fi de ~ 64.400 mp (Ds+HP+E1+ET2+Parcaj subteran pe 2 niveluri), iar înălțimea maximă ~ 36,00 m. </w:t>
      </w:r>
    </w:p>
    <w:p w:rsidR="006B07BE" w:rsidRPr="00E64932" w:rsidRDefault="006B07BE" w:rsidP="006B07BE">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Au fost obținute: Certificatul de urbanism nr. 1247/78”B” din 31.08.2018, extrasul de carte funciară pentru informare nr. 48555/27.07.2018 și Certificatul de urbanism nr.1229/77”B” din 29.08.2018 eliberat în scopul desființării construcțiilor existente pe teren.</w:t>
      </w:r>
    </w:p>
    <w:p w:rsidR="006B07BE" w:rsidRPr="00E64932" w:rsidRDefault="006B07BE" w:rsidP="006B07BE">
      <w:pPr>
        <w:pStyle w:val="Listparagraf1"/>
        <w:spacing w:after="0" w:line="240" w:lineRule="auto"/>
        <w:ind w:left="0" w:firstLine="720"/>
        <w:jc w:val="both"/>
        <w:rPr>
          <w:rFonts w:ascii="Times New Roman" w:hAnsi="Times New Roman"/>
          <w:sz w:val="24"/>
          <w:szCs w:val="24"/>
          <w:lang w:val="pt-BR"/>
        </w:rPr>
      </w:pPr>
      <w:r w:rsidRPr="00E64932">
        <w:rPr>
          <w:rFonts w:ascii="Times New Roman" w:hAnsi="Times New Roman"/>
          <w:sz w:val="24"/>
          <w:szCs w:val="24"/>
          <w:lang w:val="pt-BR"/>
        </w:rPr>
        <w:t xml:space="preserve">A fost atribuit </w:t>
      </w:r>
      <w:r w:rsidRPr="00E64932">
        <w:rPr>
          <w:rFonts w:ascii="Times New Roman" w:hAnsi="Times New Roman"/>
          <w:sz w:val="24"/>
          <w:szCs w:val="24"/>
        </w:rPr>
        <w:t xml:space="preserve">Companiei Municipale Dezvoltare Durabilă București S.A., </w:t>
      </w:r>
      <w:r w:rsidRPr="00E64932">
        <w:rPr>
          <w:rFonts w:ascii="Times New Roman" w:hAnsi="Times New Roman"/>
          <w:sz w:val="24"/>
          <w:szCs w:val="24"/>
          <w:lang w:val="pt-BR"/>
        </w:rPr>
        <w:t>Contractul nr.1423/13.12.2018, avand ca obiect Servicii de elaborare Studiu de fezabilitate aferent obiectivului Sala Multifuncțională - Complex Sportiv “Lia Manoliu”. Valoarea contractului este de 792.394,72 lei, cu termen de realizare de 3 luni de la emiterea ordinului de începere a lucrărilor. Ordinul de începere a lucrărilor a fost dat, începand cu data de 19.12.2018.</w:t>
      </w:r>
    </w:p>
    <w:p w:rsidR="00552412" w:rsidRDefault="00552412" w:rsidP="00A77970">
      <w:pPr>
        <w:ind w:firstLine="709"/>
        <w:jc w:val="both"/>
      </w:pPr>
    </w:p>
    <w:p w:rsidR="00FE31A2" w:rsidRDefault="00FE31A2" w:rsidP="00A77970">
      <w:pPr>
        <w:ind w:firstLine="709"/>
        <w:jc w:val="both"/>
      </w:pPr>
    </w:p>
    <w:p w:rsidR="005C57E2" w:rsidRDefault="005C57E2" w:rsidP="00A77970">
      <w:pPr>
        <w:tabs>
          <w:tab w:val="left" w:pos="709"/>
        </w:tabs>
        <w:jc w:val="both"/>
        <w:rPr>
          <w:b/>
        </w:rPr>
      </w:pPr>
      <w:r w:rsidRPr="006622BD">
        <w:rPr>
          <w:b/>
        </w:rPr>
        <w:t>1.</w:t>
      </w:r>
      <w:r w:rsidR="00AE7C41">
        <w:rPr>
          <w:b/>
        </w:rPr>
        <w:t>4</w:t>
      </w:r>
      <w:r w:rsidRPr="006622BD">
        <w:rPr>
          <w:b/>
        </w:rPr>
        <w:t>.</w:t>
      </w:r>
      <w:r w:rsidRPr="006622BD">
        <w:rPr>
          <w:b/>
        </w:rPr>
        <w:tab/>
        <w:t>Comerț și protecția consumatorului</w:t>
      </w:r>
    </w:p>
    <w:p w:rsidR="007E3897" w:rsidRDefault="007E3897" w:rsidP="00A77970">
      <w:pPr>
        <w:tabs>
          <w:tab w:val="left" w:pos="709"/>
        </w:tabs>
        <w:jc w:val="both"/>
        <w:rPr>
          <w:b/>
        </w:rPr>
      </w:pPr>
    </w:p>
    <w:p w:rsidR="007E3897" w:rsidRPr="007E3897" w:rsidRDefault="00825379" w:rsidP="00A77970">
      <w:pPr>
        <w:jc w:val="both"/>
        <w:outlineLvl w:val="1"/>
        <w:rPr>
          <w:kern w:val="28"/>
          <w:lang w:val="en-US" w:eastAsia="en-US"/>
        </w:rPr>
      </w:pPr>
      <w:r w:rsidRPr="00825379">
        <w:rPr>
          <w:b/>
          <w:kern w:val="28"/>
          <w:lang w:eastAsia="en-US"/>
        </w:rPr>
        <w:tab/>
      </w:r>
      <w:r w:rsidR="007E3897" w:rsidRPr="00825379">
        <w:rPr>
          <w:b/>
          <w:kern w:val="28"/>
          <w:lang w:eastAsia="en-US"/>
        </w:rPr>
        <w:t xml:space="preserve">Comerţul internaţional cu bunuri </w:t>
      </w:r>
      <w:r w:rsidR="00FB0379">
        <w:rPr>
          <w:b/>
          <w:kern w:val="28"/>
          <w:lang w:eastAsia="en-US"/>
        </w:rPr>
        <w:t xml:space="preserve">cuprinde </w:t>
      </w:r>
      <w:r w:rsidR="007E3897" w:rsidRPr="007E3897">
        <w:rPr>
          <w:kern w:val="28"/>
          <w:lang w:val="en-US" w:eastAsia="en-US"/>
        </w:rPr>
        <w:t xml:space="preserve">toate schimburile de bunuri între România şi alte ţări, având ca obiect: importul de mărfuri direct pentru consum, mărfurile importate scoase din antrepozitele vamale sau zonele libere, pentru a fi scoase la consum, exportul de produse naţionale,  precum şi exportul de mărfuri importate declarate pentru consumul intern. De asemenea, se cuprind: importurile temporare de bunuri străine pentru prelucrarea în interiorul ţării (prelucrare activă) şi exporturile de produse compensatoare după prelucrarea în ţară; exporturile temporare de bunuri pentru prelucrare din alte ţări (prelucrare pasivă) şi importurile de produse compensatoare după prelucrarea în </w:t>
      </w:r>
      <w:r w:rsidR="007E3897" w:rsidRPr="007E3897">
        <w:rPr>
          <w:kern w:val="28"/>
          <w:lang w:val="en-US" w:eastAsia="en-US"/>
        </w:rPr>
        <w:lastRenderedPageBreak/>
        <w:t>afara ţării şi bunurile importate sau exportate în sistemul de leasing financiar (la valoarea integrală a bunurilor).</w:t>
      </w:r>
    </w:p>
    <w:p w:rsidR="007E3897" w:rsidRDefault="00E12B6B" w:rsidP="00A77970">
      <w:pPr>
        <w:jc w:val="both"/>
        <w:rPr>
          <w:kern w:val="28"/>
          <w:lang w:val="en-US" w:eastAsia="en-US"/>
        </w:rPr>
      </w:pPr>
      <w:r>
        <w:rPr>
          <w:kern w:val="28"/>
          <w:lang w:val="en-US" w:eastAsia="en-US"/>
        </w:rPr>
        <w:tab/>
      </w:r>
      <w:r w:rsidR="00FB0379">
        <w:rPr>
          <w:kern w:val="28"/>
          <w:lang w:val="en-US" w:eastAsia="en-US"/>
        </w:rPr>
        <w:t xml:space="preserve">La nivelul municipiului București, </w:t>
      </w:r>
      <w:r w:rsidR="00A93AA6">
        <w:rPr>
          <w:kern w:val="28"/>
          <w:lang w:val="en-US" w:eastAsia="en-US"/>
        </w:rPr>
        <w:t>în anul 201</w:t>
      </w:r>
      <w:r w:rsidR="007218B3">
        <w:rPr>
          <w:kern w:val="28"/>
          <w:lang w:val="en-US" w:eastAsia="en-US"/>
        </w:rPr>
        <w:t>8</w:t>
      </w:r>
      <w:r w:rsidR="00A93AA6">
        <w:rPr>
          <w:kern w:val="28"/>
          <w:lang w:val="en-US" w:eastAsia="en-US"/>
        </w:rPr>
        <w:t>, se înregistrază un sold negative al balanței comerciale, potrivit tabelului următor (d</w:t>
      </w:r>
      <w:r w:rsidR="007E3897" w:rsidRPr="007E3897">
        <w:rPr>
          <w:kern w:val="28"/>
          <w:lang w:val="en-US" w:eastAsia="en-US"/>
        </w:rPr>
        <w:t xml:space="preserve">atele sunt exprimate valoric în preţuri externe efective FOB </w:t>
      </w:r>
      <w:r w:rsidR="00A93AA6">
        <w:rPr>
          <w:kern w:val="28"/>
          <w:lang w:val="en-US" w:eastAsia="en-US"/>
        </w:rPr>
        <w:t xml:space="preserve">- </w:t>
      </w:r>
      <w:r w:rsidR="007E3897" w:rsidRPr="007E3897">
        <w:rPr>
          <w:kern w:val="28"/>
          <w:lang w:val="en-US" w:eastAsia="en-US"/>
        </w:rPr>
        <w:t>preţuri la frontiera ţării exportatoare</w:t>
      </w:r>
      <w:r w:rsidR="00A93AA6">
        <w:rPr>
          <w:kern w:val="28"/>
          <w:lang w:val="en-US" w:eastAsia="en-US"/>
        </w:rPr>
        <w:t xml:space="preserve"> -</w:t>
      </w:r>
      <w:r w:rsidR="007E3897" w:rsidRPr="007E3897">
        <w:rPr>
          <w:kern w:val="28"/>
          <w:lang w:val="en-US" w:eastAsia="en-US"/>
        </w:rPr>
        <w:t xml:space="preserve"> pentru exporturi şi CIF </w:t>
      </w:r>
      <w:r w:rsidR="00A93AA6">
        <w:rPr>
          <w:kern w:val="28"/>
          <w:lang w:val="en-US" w:eastAsia="en-US"/>
        </w:rPr>
        <w:t xml:space="preserve">- </w:t>
      </w:r>
      <w:r w:rsidR="007E3897" w:rsidRPr="007E3897">
        <w:rPr>
          <w:kern w:val="28"/>
          <w:lang w:val="en-US" w:eastAsia="en-US"/>
        </w:rPr>
        <w:t>preţuri la frontiera ţării importatoare</w:t>
      </w:r>
      <w:r w:rsidR="00A93AA6">
        <w:rPr>
          <w:kern w:val="28"/>
          <w:lang w:val="en-US" w:eastAsia="en-US"/>
        </w:rPr>
        <w:t xml:space="preserve"> -</w:t>
      </w:r>
      <w:r w:rsidR="007E3897" w:rsidRPr="007E3897">
        <w:rPr>
          <w:kern w:val="28"/>
          <w:lang w:val="en-US" w:eastAsia="en-US"/>
        </w:rPr>
        <w:t xml:space="preserve"> pentru importuri</w:t>
      </w:r>
      <w:r w:rsidR="00A93AA6">
        <w:rPr>
          <w:kern w:val="28"/>
          <w:lang w:val="en-US" w:eastAsia="en-US"/>
        </w:rPr>
        <w:t>):</w:t>
      </w:r>
    </w:p>
    <w:p w:rsidR="007E3897" w:rsidRPr="007E3897" w:rsidRDefault="007E3897" w:rsidP="00A77970">
      <w:pPr>
        <w:jc w:val="right"/>
        <w:rPr>
          <w:kern w:val="28"/>
          <w:sz w:val="18"/>
          <w:szCs w:val="18"/>
          <w:lang w:eastAsia="en-US"/>
        </w:rPr>
      </w:pPr>
      <w:r w:rsidRPr="007E3897">
        <w:rPr>
          <w:kern w:val="28"/>
          <w:sz w:val="18"/>
          <w:szCs w:val="18"/>
          <w:lang w:eastAsia="en-US"/>
        </w:rPr>
        <w:t>- mii euro -</w:t>
      </w:r>
    </w:p>
    <w:tbl>
      <w:tblPr>
        <w:tblW w:w="10363"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774"/>
        <w:gridCol w:w="772"/>
        <w:gridCol w:w="772"/>
        <w:gridCol w:w="773"/>
        <w:gridCol w:w="772"/>
        <w:gridCol w:w="773"/>
        <w:gridCol w:w="772"/>
        <w:gridCol w:w="772"/>
        <w:gridCol w:w="773"/>
        <w:gridCol w:w="772"/>
        <w:gridCol w:w="773"/>
        <w:gridCol w:w="865"/>
      </w:tblGrid>
      <w:tr w:rsidR="007E3897" w:rsidRPr="00552412" w:rsidTr="00F13A9B">
        <w:trPr>
          <w:cantSplit/>
          <w:trHeight w:val="272"/>
          <w:jc w:val="center"/>
        </w:trPr>
        <w:tc>
          <w:tcPr>
            <w:tcW w:w="1774" w:type="dxa"/>
            <w:vMerge w:val="restart"/>
            <w:shd w:val="clear" w:color="auto" w:fill="auto"/>
            <w:vAlign w:val="center"/>
          </w:tcPr>
          <w:p w:rsidR="007E3897" w:rsidRPr="00552412" w:rsidRDefault="007E3897" w:rsidP="00A77970">
            <w:pPr>
              <w:jc w:val="center"/>
              <w:rPr>
                <w:rFonts w:eastAsia="Arial Unicode MS"/>
                <w:b/>
                <w:kern w:val="28"/>
                <w:sz w:val="20"/>
                <w:szCs w:val="20"/>
                <w:lang w:val="en-US" w:eastAsia="en-US"/>
              </w:rPr>
            </w:pPr>
          </w:p>
        </w:tc>
        <w:tc>
          <w:tcPr>
            <w:tcW w:w="8589" w:type="dxa"/>
            <w:gridSpan w:val="11"/>
            <w:shd w:val="clear" w:color="auto" w:fill="auto"/>
            <w:vAlign w:val="center"/>
          </w:tcPr>
          <w:p w:rsidR="007E3897" w:rsidRPr="00552412" w:rsidRDefault="007E3897" w:rsidP="00AD0167">
            <w:pPr>
              <w:jc w:val="center"/>
              <w:rPr>
                <w:rFonts w:eastAsia="Arial Unicode MS"/>
                <w:b/>
                <w:kern w:val="28"/>
                <w:sz w:val="20"/>
                <w:szCs w:val="20"/>
                <w:lang w:val="en-US" w:eastAsia="en-US"/>
              </w:rPr>
            </w:pPr>
            <w:r w:rsidRPr="00552412">
              <w:rPr>
                <w:rFonts w:eastAsia="Arial Unicode MS"/>
                <w:b/>
                <w:kern w:val="28"/>
                <w:sz w:val="20"/>
                <w:szCs w:val="20"/>
                <w:lang w:val="en-US" w:eastAsia="en-US"/>
              </w:rPr>
              <w:t>Anul 201</w:t>
            </w:r>
            <w:r w:rsidR="00AD0167">
              <w:rPr>
                <w:rFonts w:eastAsia="Arial Unicode MS"/>
                <w:b/>
                <w:kern w:val="28"/>
                <w:sz w:val="20"/>
                <w:szCs w:val="20"/>
                <w:lang w:val="en-US" w:eastAsia="en-US"/>
              </w:rPr>
              <w:t>8</w:t>
            </w:r>
          </w:p>
        </w:tc>
      </w:tr>
      <w:tr w:rsidR="007E3897" w:rsidRPr="007E3897" w:rsidTr="00F13A9B">
        <w:trPr>
          <w:cantSplit/>
          <w:trHeight w:val="301"/>
          <w:jc w:val="center"/>
        </w:trPr>
        <w:tc>
          <w:tcPr>
            <w:tcW w:w="1774" w:type="dxa"/>
            <w:vMerge/>
            <w:shd w:val="clear" w:color="auto" w:fill="auto"/>
            <w:vAlign w:val="center"/>
          </w:tcPr>
          <w:p w:rsidR="007E3897" w:rsidRPr="007E3897" w:rsidRDefault="007E3897" w:rsidP="00A77970">
            <w:pPr>
              <w:jc w:val="center"/>
              <w:rPr>
                <w:rFonts w:eastAsia="Arial Unicode MS"/>
                <w:b/>
                <w:kern w:val="28"/>
                <w:sz w:val="18"/>
                <w:szCs w:val="18"/>
                <w:lang w:val="en-US" w:eastAsia="en-US"/>
              </w:rPr>
            </w:pPr>
          </w:p>
        </w:tc>
        <w:tc>
          <w:tcPr>
            <w:tcW w:w="772" w:type="dxa"/>
            <w:shd w:val="clear" w:color="auto" w:fill="auto"/>
            <w:vAlign w:val="center"/>
          </w:tcPr>
          <w:p w:rsidR="007E3897" w:rsidRPr="007E3897" w:rsidRDefault="007E3897" w:rsidP="00A77970">
            <w:pPr>
              <w:jc w:val="center"/>
              <w:rPr>
                <w:rFonts w:eastAsia="Arial Unicode MS"/>
                <w:b/>
                <w:kern w:val="28"/>
                <w:sz w:val="18"/>
                <w:szCs w:val="18"/>
                <w:vertAlign w:val="superscript"/>
                <w:lang w:val="en-US" w:eastAsia="en-US"/>
              </w:rPr>
            </w:pPr>
            <w:r w:rsidRPr="007E3897">
              <w:rPr>
                <w:rFonts w:eastAsia="Arial Unicode MS"/>
                <w:b/>
                <w:kern w:val="28"/>
                <w:sz w:val="18"/>
                <w:szCs w:val="18"/>
                <w:lang w:val="en-US" w:eastAsia="en-US"/>
              </w:rPr>
              <w:t>ian.</w:t>
            </w:r>
            <w:r w:rsidRPr="007E3897">
              <w:rPr>
                <w:rFonts w:eastAsia="Arial Unicode MS"/>
                <w:b/>
                <w:kern w:val="28"/>
                <w:sz w:val="18"/>
                <w:szCs w:val="18"/>
                <w:vertAlign w:val="superscript"/>
                <w:lang w:val="en-US" w:eastAsia="en-US"/>
              </w:rPr>
              <w:t>1)</w:t>
            </w:r>
          </w:p>
        </w:tc>
        <w:tc>
          <w:tcPr>
            <w:tcW w:w="772" w:type="dxa"/>
            <w:shd w:val="clear" w:color="auto" w:fill="auto"/>
            <w:vAlign w:val="center"/>
          </w:tcPr>
          <w:p w:rsidR="007E3897" w:rsidRPr="007E3897" w:rsidRDefault="007E3897" w:rsidP="00A77970">
            <w:pPr>
              <w:jc w:val="center"/>
              <w:rPr>
                <w:rFonts w:eastAsia="Arial Unicode MS"/>
                <w:b/>
                <w:kern w:val="28"/>
                <w:sz w:val="18"/>
                <w:szCs w:val="18"/>
                <w:vertAlign w:val="superscript"/>
                <w:lang w:val="en-US" w:eastAsia="en-US"/>
              </w:rPr>
            </w:pPr>
            <w:r w:rsidRPr="007E3897">
              <w:rPr>
                <w:rFonts w:eastAsia="Arial Unicode MS"/>
                <w:b/>
                <w:kern w:val="28"/>
                <w:sz w:val="18"/>
                <w:szCs w:val="18"/>
                <w:lang w:val="en-US" w:eastAsia="en-US"/>
              </w:rPr>
              <w:t>feb.</w:t>
            </w:r>
            <w:r w:rsidRPr="007E3897">
              <w:rPr>
                <w:rFonts w:eastAsia="Arial Unicode MS"/>
                <w:b/>
                <w:kern w:val="28"/>
                <w:sz w:val="18"/>
                <w:szCs w:val="18"/>
                <w:vertAlign w:val="superscript"/>
                <w:lang w:val="en-US" w:eastAsia="en-US"/>
              </w:rPr>
              <w:t xml:space="preserve"> 1)</w:t>
            </w:r>
          </w:p>
        </w:tc>
        <w:tc>
          <w:tcPr>
            <w:tcW w:w="773" w:type="dxa"/>
            <w:shd w:val="clear" w:color="auto" w:fill="auto"/>
            <w:vAlign w:val="center"/>
          </w:tcPr>
          <w:p w:rsidR="007E3897" w:rsidRPr="007E3897" w:rsidRDefault="007E3897" w:rsidP="00A77970">
            <w:pPr>
              <w:jc w:val="center"/>
              <w:rPr>
                <w:rFonts w:eastAsia="Arial Unicode MS"/>
                <w:b/>
                <w:kern w:val="28"/>
                <w:sz w:val="18"/>
                <w:szCs w:val="18"/>
                <w:vertAlign w:val="superscript"/>
                <w:lang w:val="en-US" w:eastAsia="en-US"/>
              </w:rPr>
            </w:pPr>
            <w:r w:rsidRPr="007E3897">
              <w:rPr>
                <w:rFonts w:eastAsia="Arial Unicode MS"/>
                <w:b/>
                <w:kern w:val="28"/>
                <w:sz w:val="18"/>
                <w:szCs w:val="18"/>
                <w:lang w:val="en-US" w:eastAsia="en-US"/>
              </w:rPr>
              <w:t>mar.</w:t>
            </w:r>
            <w:r w:rsidRPr="007E3897">
              <w:rPr>
                <w:rFonts w:eastAsia="Arial Unicode MS"/>
                <w:b/>
                <w:kern w:val="28"/>
                <w:sz w:val="18"/>
                <w:szCs w:val="18"/>
                <w:vertAlign w:val="superscript"/>
                <w:lang w:val="en-US" w:eastAsia="en-US"/>
              </w:rPr>
              <w:t xml:space="preserve"> 1)</w:t>
            </w:r>
          </w:p>
        </w:tc>
        <w:tc>
          <w:tcPr>
            <w:tcW w:w="772" w:type="dxa"/>
            <w:shd w:val="clear" w:color="auto" w:fill="auto"/>
            <w:vAlign w:val="center"/>
          </w:tcPr>
          <w:p w:rsidR="007E3897" w:rsidRPr="007E3897" w:rsidRDefault="007E3897" w:rsidP="00A77970">
            <w:pPr>
              <w:jc w:val="center"/>
              <w:rPr>
                <w:rFonts w:eastAsia="Arial Unicode MS"/>
                <w:b/>
                <w:kern w:val="28"/>
                <w:sz w:val="18"/>
                <w:szCs w:val="18"/>
                <w:vertAlign w:val="superscript"/>
                <w:lang w:val="en-US" w:eastAsia="en-US"/>
              </w:rPr>
            </w:pPr>
            <w:r w:rsidRPr="007E3897">
              <w:rPr>
                <w:rFonts w:eastAsia="Arial Unicode MS"/>
                <w:b/>
                <w:kern w:val="28"/>
                <w:sz w:val="18"/>
                <w:szCs w:val="18"/>
                <w:lang w:val="en-US" w:eastAsia="en-US"/>
              </w:rPr>
              <w:t>apr.</w:t>
            </w:r>
            <w:r w:rsidRPr="007E3897">
              <w:rPr>
                <w:rFonts w:eastAsia="Arial Unicode MS"/>
                <w:b/>
                <w:kern w:val="28"/>
                <w:sz w:val="18"/>
                <w:szCs w:val="18"/>
                <w:vertAlign w:val="superscript"/>
                <w:lang w:val="en-US" w:eastAsia="en-US"/>
              </w:rPr>
              <w:t xml:space="preserve"> 1)</w:t>
            </w:r>
          </w:p>
        </w:tc>
        <w:tc>
          <w:tcPr>
            <w:tcW w:w="773" w:type="dxa"/>
            <w:shd w:val="clear" w:color="auto" w:fill="auto"/>
            <w:vAlign w:val="center"/>
          </w:tcPr>
          <w:p w:rsidR="007E3897" w:rsidRPr="007E3897" w:rsidRDefault="007E3897" w:rsidP="00A77970">
            <w:pPr>
              <w:jc w:val="center"/>
              <w:rPr>
                <w:rFonts w:eastAsia="Arial Unicode MS"/>
                <w:b/>
                <w:kern w:val="28"/>
                <w:sz w:val="18"/>
                <w:szCs w:val="18"/>
                <w:vertAlign w:val="superscript"/>
                <w:lang w:val="en-US" w:eastAsia="en-US"/>
              </w:rPr>
            </w:pPr>
            <w:r w:rsidRPr="007E3897">
              <w:rPr>
                <w:rFonts w:eastAsia="Arial Unicode MS"/>
                <w:b/>
                <w:kern w:val="28"/>
                <w:sz w:val="18"/>
                <w:szCs w:val="18"/>
                <w:lang w:val="en-US" w:eastAsia="en-US"/>
              </w:rPr>
              <w:t>mai</w:t>
            </w:r>
            <w:r w:rsidRPr="007E3897">
              <w:rPr>
                <w:rFonts w:eastAsia="Arial Unicode MS"/>
                <w:b/>
                <w:kern w:val="28"/>
                <w:sz w:val="18"/>
                <w:szCs w:val="18"/>
                <w:vertAlign w:val="superscript"/>
                <w:lang w:val="en-US" w:eastAsia="en-US"/>
              </w:rPr>
              <w:t>1)</w:t>
            </w:r>
          </w:p>
        </w:tc>
        <w:tc>
          <w:tcPr>
            <w:tcW w:w="772" w:type="dxa"/>
            <w:shd w:val="clear" w:color="auto" w:fill="auto"/>
            <w:vAlign w:val="center"/>
          </w:tcPr>
          <w:p w:rsidR="007E3897" w:rsidRPr="007E3897" w:rsidRDefault="007E3897" w:rsidP="00A77970">
            <w:pPr>
              <w:jc w:val="center"/>
              <w:rPr>
                <w:rFonts w:eastAsia="Arial Unicode MS"/>
                <w:b/>
                <w:kern w:val="28"/>
                <w:sz w:val="18"/>
                <w:szCs w:val="18"/>
                <w:vertAlign w:val="superscript"/>
                <w:lang w:val="en-US" w:eastAsia="en-US"/>
              </w:rPr>
            </w:pPr>
            <w:r w:rsidRPr="007E3897">
              <w:rPr>
                <w:rFonts w:eastAsia="Arial Unicode MS"/>
                <w:b/>
                <w:kern w:val="28"/>
                <w:sz w:val="18"/>
                <w:szCs w:val="18"/>
                <w:lang w:val="en-US" w:eastAsia="en-US"/>
              </w:rPr>
              <w:t>iun.</w:t>
            </w:r>
            <w:r w:rsidRPr="007E3897">
              <w:rPr>
                <w:rFonts w:eastAsia="Arial Unicode MS"/>
                <w:b/>
                <w:kern w:val="28"/>
                <w:sz w:val="18"/>
                <w:szCs w:val="18"/>
                <w:vertAlign w:val="superscript"/>
                <w:lang w:val="en-US" w:eastAsia="en-US"/>
              </w:rPr>
              <w:t xml:space="preserve"> 1)</w:t>
            </w:r>
          </w:p>
        </w:tc>
        <w:tc>
          <w:tcPr>
            <w:tcW w:w="772" w:type="dxa"/>
            <w:shd w:val="clear" w:color="auto" w:fill="auto"/>
            <w:vAlign w:val="center"/>
          </w:tcPr>
          <w:p w:rsidR="007E3897" w:rsidRPr="007E3897" w:rsidRDefault="007E3897" w:rsidP="00A77970">
            <w:pPr>
              <w:jc w:val="center"/>
              <w:rPr>
                <w:rFonts w:eastAsia="Arial Unicode MS"/>
                <w:b/>
                <w:kern w:val="28"/>
                <w:sz w:val="18"/>
                <w:szCs w:val="18"/>
                <w:vertAlign w:val="superscript"/>
                <w:lang w:val="en-US" w:eastAsia="en-US"/>
              </w:rPr>
            </w:pPr>
            <w:r w:rsidRPr="007E3897">
              <w:rPr>
                <w:rFonts w:eastAsia="Arial Unicode MS"/>
                <w:b/>
                <w:kern w:val="28"/>
                <w:sz w:val="18"/>
                <w:szCs w:val="18"/>
                <w:lang w:val="en-US" w:eastAsia="en-US"/>
              </w:rPr>
              <w:t>iul.</w:t>
            </w:r>
            <w:r w:rsidRPr="007E3897">
              <w:rPr>
                <w:rFonts w:eastAsia="Arial Unicode MS"/>
                <w:b/>
                <w:kern w:val="28"/>
                <w:sz w:val="18"/>
                <w:szCs w:val="18"/>
                <w:vertAlign w:val="superscript"/>
                <w:lang w:val="en-US" w:eastAsia="en-US"/>
              </w:rPr>
              <w:t xml:space="preserve"> 1)</w:t>
            </w:r>
          </w:p>
        </w:tc>
        <w:tc>
          <w:tcPr>
            <w:tcW w:w="773" w:type="dxa"/>
            <w:shd w:val="clear" w:color="auto" w:fill="auto"/>
            <w:vAlign w:val="center"/>
          </w:tcPr>
          <w:p w:rsidR="007E3897" w:rsidRPr="007E3897" w:rsidRDefault="007E3897" w:rsidP="00A77970">
            <w:pPr>
              <w:jc w:val="center"/>
              <w:rPr>
                <w:rFonts w:eastAsia="Arial Unicode MS"/>
                <w:b/>
                <w:kern w:val="28"/>
                <w:sz w:val="18"/>
                <w:szCs w:val="18"/>
                <w:vertAlign w:val="superscript"/>
                <w:lang w:val="en-US" w:eastAsia="en-US"/>
              </w:rPr>
            </w:pPr>
            <w:r w:rsidRPr="007E3897">
              <w:rPr>
                <w:rFonts w:eastAsia="Arial Unicode MS"/>
                <w:b/>
                <w:kern w:val="28"/>
                <w:sz w:val="18"/>
                <w:szCs w:val="18"/>
                <w:lang w:val="en-US" w:eastAsia="en-US"/>
              </w:rPr>
              <w:t>aug.</w:t>
            </w:r>
            <w:r w:rsidRPr="007E3897">
              <w:rPr>
                <w:rFonts w:eastAsia="Arial Unicode MS"/>
                <w:b/>
                <w:kern w:val="28"/>
                <w:sz w:val="18"/>
                <w:szCs w:val="18"/>
                <w:vertAlign w:val="superscript"/>
                <w:lang w:val="en-US" w:eastAsia="en-US"/>
              </w:rPr>
              <w:t xml:space="preserve"> 1)</w:t>
            </w:r>
          </w:p>
        </w:tc>
        <w:tc>
          <w:tcPr>
            <w:tcW w:w="772" w:type="dxa"/>
            <w:shd w:val="clear" w:color="auto" w:fill="auto"/>
            <w:vAlign w:val="center"/>
          </w:tcPr>
          <w:p w:rsidR="007E3897" w:rsidRPr="007E3897" w:rsidRDefault="007E3897" w:rsidP="00A77970">
            <w:pPr>
              <w:jc w:val="center"/>
              <w:rPr>
                <w:rFonts w:eastAsia="Arial Unicode MS"/>
                <w:b/>
                <w:kern w:val="28"/>
                <w:sz w:val="18"/>
                <w:szCs w:val="18"/>
                <w:vertAlign w:val="superscript"/>
                <w:lang w:val="en-US" w:eastAsia="en-US"/>
              </w:rPr>
            </w:pPr>
            <w:r w:rsidRPr="007E3897">
              <w:rPr>
                <w:rFonts w:eastAsia="Arial Unicode MS"/>
                <w:b/>
                <w:kern w:val="28"/>
                <w:sz w:val="18"/>
                <w:szCs w:val="18"/>
                <w:lang w:val="en-US" w:eastAsia="en-US"/>
              </w:rPr>
              <w:t>sep.</w:t>
            </w:r>
            <w:r w:rsidRPr="007E3897">
              <w:rPr>
                <w:rFonts w:eastAsia="Arial Unicode MS"/>
                <w:b/>
                <w:kern w:val="28"/>
                <w:sz w:val="18"/>
                <w:szCs w:val="18"/>
                <w:vertAlign w:val="superscript"/>
                <w:lang w:val="en-US" w:eastAsia="en-US"/>
              </w:rPr>
              <w:t xml:space="preserve"> 1)</w:t>
            </w:r>
          </w:p>
        </w:tc>
        <w:tc>
          <w:tcPr>
            <w:tcW w:w="773" w:type="dxa"/>
            <w:shd w:val="clear" w:color="auto" w:fill="auto"/>
            <w:vAlign w:val="center"/>
          </w:tcPr>
          <w:p w:rsidR="007E3897" w:rsidRPr="007E3897" w:rsidRDefault="007E3897" w:rsidP="00A77970">
            <w:pPr>
              <w:jc w:val="center"/>
              <w:rPr>
                <w:rFonts w:eastAsia="Arial Unicode MS"/>
                <w:b/>
                <w:kern w:val="28"/>
                <w:sz w:val="18"/>
                <w:szCs w:val="18"/>
                <w:vertAlign w:val="superscript"/>
                <w:lang w:val="en-US" w:eastAsia="en-US"/>
              </w:rPr>
            </w:pPr>
            <w:r w:rsidRPr="007E3897">
              <w:rPr>
                <w:rFonts w:eastAsia="Arial Unicode MS"/>
                <w:b/>
                <w:kern w:val="28"/>
                <w:sz w:val="18"/>
                <w:szCs w:val="18"/>
                <w:lang w:val="en-US" w:eastAsia="en-US"/>
              </w:rPr>
              <w:t>oct.</w:t>
            </w:r>
            <w:r w:rsidRPr="007E3897">
              <w:rPr>
                <w:rFonts w:eastAsia="Arial Unicode MS"/>
                <w:b/>
                <w:kern w:val="28"/>
                <w:sz w:val="18"/>
                <w:szCs w:val="18"/>
                <w:vertAlign w:val="superscript"/>
                <w:lang w:val="en-US" w:eastAsia="en-US"/>
              </w:rPr>
              <w:t>2)</w:t>
            </w:r>
          </w:p>
        </w:tc>
        <w:tc>
          <w:tcPr>
            <w:tcW w:w="865" w:type="dxa"/>
            <w:shd w:val="clear" w:color="auto" w:fill="auto"/>
            <w:vAlign w:val="center"/>
          </w:tcPr>
          <w:p w:rsidR="007E3897" w:rsidRPr="007E3897" w:rsidRDefault="007E3897" w:rsidP="00A77970">
            <w:pPr>
              <w:jc w:val="center"/>
              <w:rPr>
                <w:rFonts w:eastAsia="Arial Unicode MS"/>
                <w:b/>
                <w:kern w:val="28"/>
                <w:sz w:val="18"/>
                <w:szCs w:val="18"/>
                <w:vertAlign w:val="superscript"/>
                <w:lang w:val="en-US" w:eastAsia="en-US"/>
              </w:rPr>
            </w:pPr>
            <w:r w:rsidRPr="007E3897">
              <w:rPr>
                <w:rFonts w:eastAsia="Arial Unicode MS"/>
                <w:b/>
                <w:kern w:val="28"/>
                <w:sz w:val="18"/>
                <w:szCs w:val="18"/>
                <w:lang w:val="en-US" w:eastAsia="en-US"/>
              </w:rPr>
              <w:t>1.I-31.X</w:t>
            </w:r>
            <w:r w:rsidRPr="007E3897">
              <w:rPr>
                <w:rFonts w:eastAsia="Arial Unicode MS"/>
                <w:b/>
                <w:kern w:val="28"/>
                <w:sz w:val="18"/>
                <w:szCs w:val="18"/>
                <w:vertAlign w:val="superscript"/>
                <w:lang w:val="en-US" w:eastAsia="en-US"/>
              </w:rPr>
              <w:t>2)</w:t>
            </w:r>
          </w:p>
        </w:tc>
      </w:tr>
      <w:tr w:rsidR="00AD0167" w:rsidRPr="007E3897" w:rsidTr="00AD0167">
        <w:trPr>
          <w:cantSplit/>
          <w:trHeight w:val="272"/>
          <w:jc w:val="center"/>
        </w:trPr>
        <w:tc>
          <w:tcPr>
            <w:tcW w:w="1774" w:type="dxa"/>
            <w:vAlign w:val="bottom"/>
          </w:tcPr>
          <w:p w:rsidR="00AD0167" w:rsidRPr="00552412" w:rsidRDefault="00AD0167" w:rsidP="00A77970">
            <w:pPr>
              <w:keepNext/>
              <w:ind w:left="57"/>
              <w:outlineLvl w:val="4"/>
              <w:rPr>
                <w:rFonts w:eastAsia="Arial Unicode MS"/>
                <w:b/>
                <w:sz w:val="20"/>
                <w:szCs w:val="20"/>
                <w:lang w:val="en-GB" w:eastAsia="en-US"/>
              </w:rPr>
            </w:pPr>
            <w:r w:rsidRPr="00552412">
              <w:rPr>
                <w:b/>
                <w:sz w:val="20"/>
                <w:szCs w:val="20"/>
                <w:lang w:val="en-GB" w:eastAsia="en-US"/>
              </w:rPr>
              <w:t>Total exporturi FOB</w:t>
            </w:r>
          </w:p>
        </w:tc>
        <w:tc>
          <w:tcPr>
            <w:tcW w:w="772"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844872</w:t>
            </w:r>
          </w:p>
        </w:tc>
        <w:tc>
          <w:tcPr>
            <w:tcW w:w="772"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870926</w:t>
            </w:r>
          </w:p>
        </w:tc>
        <w:tc>
          <w:tcPr>
            <w:tcW w:w="773"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943756</w:t>
            </w:r>
          </w:p>
        </w:tc>
        <w:tc>
          <w:tcPr>
            <w:tcW w:w="772"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907504</w:t>
            </w:r>
          </w:p>
        </w:tc>
        <w:tc>
          <w:tcPr>
            <w:tcW w:w="773"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884540</w:t>
            </w:r>
          </w:p>
        </w:tc>
        <w:tc>
          <w:tcPr>
            <w:tcW w:w="772"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947852</w:t>
            </w:r>
          </w:p>
        </w:tc>
        <w:tc>
          <w:tcPr>
            <w:tcW w:w="772"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1029341</w:t>
            </w:r>
          </w:p>
        </w:tc>
        <w:tc>
          <w:tcPr>
            <w:tcW w:w="773"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997096</w:t>
            </w:r>
          </w:p>
        </w:tc>
        <w:tc>
          <w:tcPr>
            <w:tcW w:w="772"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1039483</w:t>
            </w:r>
          </w:p>
        </w:tc>
        <w:tc>
          <w:tcPr>
            <w:tcW w:w="773"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1066092</w:t>
            </w:r>
          </w:p>
        </w:tc>
        <w:tc>
          <w:tcPr>
            <w:tcW w:w="865"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9531463</w:t>
            </w:r>
          </w:p>
        </w:tc>
      </w:tr>
      <w:tr w:rsidR="00AD0167" w:rsidRPr="007E3897" w:rsidTr="00AD0167">
        <w:trPr>
          <w:cantSplit/>
          <w:trHeight w:val="272"/>
          <w:jc w:val="center"/>
        </w:trPr>
        <w:tc>
          <w:tcPr>
            <w:tcW w:w="1774" w:type="dxa"/>
            <w:vAlign w:val="bottom"/>
          </w:tcPr>
          <w:p w:rsidR="00AD0167" w:rsidRPr="00552412" w:rsidRDefault="00AD0167" w:rsidP="00A77970">
            <w:pPr>
              <w:keepNext/>
              <w:ind w:left="57"/>
              <w:outlineLvl w:val="4"/>
              <w:rPr>
                <w:b/>
                <w:sz w:val="20"/>
                <w:szCs w:val="20"/>
                <w:lang w:val="en-GB" w:eastAsia="en-US"/>
              </w:rPr>
            </w:pPr>
            <w:r w:rsidRPr="00552412">
              <w:rPr>
                <w:b/>
                <w:sz w:val="20"/>
                <w:szCs w:val="20"/>
                <w:lang w:val="en-GB" w:eastAsia="en-US"/>
              </w:rPr>
              <w:t>Total importuri CIF</w:t>
            </w:r>
          </w:p>
        </w:tc>
        <w:tc>
          <w:tcPr>
            <w:tcW w:w="772"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1783553</w:t>
            </w:r>
          </w:p>
        </w:tc>
        <w:tc>
          <w:tcPr>
            <w:tcW w:w="772"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1861881</w:t>
            </w:r>
          </w:p>
        </w:tc>
        <w:tc>
          <w:tcPr>
            <w:tcW w:w="773"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2128546</w:t>
            </w:r>
          </w:p>
        </w:tc>
        <w:tc>
          <w:tcPr>
            <w:tcW w:w="772"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1772105</w:t>
            </w:r>
          </w:p>
        </w:tc>
        <w:tc>
          <w:tcPr>
            <w:tcW w:w="773"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2035407</w:t>
            </w:r>
          </w:p>
        </w:tc>
        <w:tc>
          <w:tcPr>
            <w:tcW w:w="772"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2027467</w:t>
            </w:r>
          </w:p>
        </w:tc>
        <w:tc>
          <w:tcPr>
            <w:tcW w:w="772"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2073063</w:t>
            </w:r>
          </w:p>
        </w:tc>
        <w:tc>
          <w:tcPr>
            <w:tcW w:w="773"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1970416</w:t>
            </w:r>
          </w:p>
        </w:tc>
        <w:tc>
          <w:tcPr>
            <w:tcW w:w="772"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1996694</w:t>
            </w:r>
          </w:p>
        </w:tc>
        <w:tc>
          <w:tcPr>
            <w:tcW w:w="773"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2510064</w:t>
            </w:r>
          </w:p>
        </w:tc>
        <w:tc>
          <w:tcPr>
            <w:tcW w:w="865"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20159197</w:t>
            </w:r>
          </w:p>
        </w:tc>
      </w:tr>
      <w:tr w:rsidR="00AD0167" w:rsidRPr="007E3897" w:rsidTr="00AD0167">
        <w:trPr>
          <w:cantSplit/>
          <w:trHeight w:val="272"/>
          <w:jc w:val="center"/>
        </w:trPr>
        <w:tc>
          <w:tcPr>
            <w:tcW w:w="1774" w:type="dxa"/>
            <w:vAlign w:val="bottom"/>
          </w:tcPr>
          <w:p w:rsidR="00AD0167" w:rsidRPr="00552412" w:rsidRDefault="00AD0167" w:rsidP="00A77970">
            <w:pPr>
              <w:keepNext/>
              <w:ind w:left="57"/>
              <w:outlineLvl w:val="4"/>
              <w:rPr>
                <w:rFonts w:eastAsia="Arial Unicode MS"/>
                <w:b/>
                <w:sz w:val="20"/>
                <w:szCs w:val="20"/>
                <w:lang w:val="en-GB" w:eastAsia="en-US"/>
              </w:rPr>
            </w:pPr>
            <w:r w:rsidRPr="00552412">
              <w:rPr>
                <w:rFonts w:eastAsia="Arial Unicode MS"/>
                <w:b/>
                <w:sz w:val="20"/>
                <w:szCs w:val="20"/>
                <w:lang w:val="en-GB" w:eastAsia="en-US"/>
              </w:rPr>
              <w:t>Sold FOB/CIF</w:t>
            </w:r>
          </w:p>
        </w:tc>
        <w:tc>
          <w:tcPr>
            <w:tcW w:w="772"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-938681</w:t>
            </w:r>
          </w:p>
        </w:tc>
        <w:tc>
          <w:tcPr>
            <w:tcW w:w="772"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-990955</w:t>
            </w:r>
          </w:p>
        </w:tc>
        <w:tc>
          <w:tcPr>
            <w:tcW w:w="773"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-1184790</w:t>
            </w:r>
          </w:p>
        </w:tc>
        <w:tc>
          <w:tcPr>
            <w:tcW w:w="772"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-864601</w:t>
            </w:r>
          </w:p>
        </w:tc>
        <w:tc>
          <w:tcPr>
            <w:tcW w:w="773"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-1150867</w:t>
            </w:r>
          </w:p>
        </w:tc>
        <w:tc>
          <w:tcPr>
            <w:tcW w:w="772"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-1079615</w:t>
            </w:r>
          </w:p>
        </w:tc>
        <w:tc>
          <w:tcPr>
            <w:tcW w:w="772"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-1043722</w:t>
            </w:r>
          </w:p>
        </w:tc>
        <w:tc>
          <w:tcPr>
            <w:tcW w:w="773"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-973320</w:t>
            </w:r>
          </w:p>
        </w:tc>
        <w:tc>
          <w:tcPr>
            <w:tcW w:w="772"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-957211</w:t>
            </w:r>
          </w:p>
        </w:tc>
        <w:tc>
          <w:tcPr>
            <w:tcW w:w="773"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-1443972</w:t>
            </w:r>
          </w:p>
        </w:tc>
        <w:tc>
          <w:tcPr>
            <w:tcW w:w="865" w:type="dxa"/>
            <w:shd w:val="clear" w:color="auto" w:fill="auto"/>
            <w:tcMar>
              <w:right w:w="57" w:type="dxa"/>
            </w:tcMar>
            <w:vAlign w:val="center"/>
          </w:tcPr>
          <w:p w:rsidR="00AD0167" w:rsidRPr="00212998" w:rsidRDefault="00AD0167" w:rsidP="00AD0167">
            <w:pPr>
              <w:jc w:val="center"/>
              <w:rPr>
                <w:sz w:val="18"/>
                <w:szCs w:val="18"/>
              </w:rPr>
            </w:pPr>
            <w:r w:rsidRPr="00212998">
              <w:rPr>
                <w:sz w:val="18"/>
                <w:szCs w:val="18"/>
              </w:rPr>
              <w:t>-10627734</w:t>
            </w:r>
          </w:p>
        </w:tc>
      </w:tr>
    </w:tbl>
    <w:p w:rsidR="007E3897" w:rsidRPr="007E3897" w:rsidRDefault="00A95A2C" w:rsidP="00A77970">
      <w:pPr>
        <w:rPr>
          <w:rFonts w:eastAsia="Arial Unicode MS"/>
          <w:kern w:val="28"/>
          <w:lang w:eastAsia="en-US"/>
        </w:rPr>
      </w:pPr>
      <w:r>
        <w:rPr>
          <w:b/>
          <w:kern w:val="28"/>
          <w:lang w:val="en-US" w:eastAsia="en-US"/>
        </w:rPr>
        <w:tab/>
      </w:r>
    </w:p>
    <w:p w:rsidR="00A9063F" w:rsidRPr="007E3897" w:rsidRDefault="00825379" w:rsidP="00A77970">
      <w:pPr>
        <w:jc w:val="both"/>
        <w:rPr>
          <w:rFonts w:eastAsia="Arial Unicode MS"/>
          <w:kern w:val="28"/>
          <w:lang w:eastAsia="en-US"/>
        </w:rPr>
      </w:pPr>
      <w:r>
        <w:rPr>
          <w:rFonts w:eastAsia="Arial Unicode MS"/>
          <w:kern w:val="28"/>
          <w:lang w:eastAsia="en-US"/>
        </w:rPr>
        <w:tab/>
      </w:r>
      <w:r w:rsidR="007E3897" w:rsidRPr="007E3897">
        <w:rPr>
          <w:rFonts w:eastAsia="Arial Unicode MS"/>
          <w:kern w:val="28"/>
          <w:lang w:eastAsia="en-US"/>
        </w:rPr>
        <w:t>În luna octombrie 201</w:t>
      </w:r>
      <w:r w:rsidR="00AD0167">
        <w:rPr>
          <w:rFonts w:eastAsia="Arial Unicode MS"/>
          <w:kern w:val="28"/>
          <w:lang w:eastAsia="en-US"/>
        </w:rPr>
        <w:t>8</w:t>
      </w:r>
      <w:r w:rsidR="007E3897" w:rsidRPr="007E3897">
        <w:rPr>
          <w:rFonts w:eastAsia="Arial Unicode MS"/>
          <w:kern w:val="28"/>
          <w:lang w:eastAsia="en-US"/>
        </w:rPr>
        <w:t>, principalele ţări partenere cu operatorii economici cu sediul în Municipiul București, din punct de vedere al comerţului internațional cu bunuri, au fost: Germania, Italia, Olanda și Regatul Unit al Marii Britanii</w:t>
      </w:r>
      <w:r w:rsidR="00AD0167">
        <w:rPr>
          <w:rFonts w:eastAsia="Arial Unicode MS"/>
          <w:kern w:val="28"/>
          <w:lang w:eastAsia="en-US"/>
        </w:rPr>
        <w:t>.</w:t>
      </w:r>
    </w:p>
    <w:tbl>
      <w:tblPr>
        <w:tblW w:w="10206" w:type="dxa"/>
        <w:jc w:val="center"/>
        <w:tblInd w:w="-5" w:type="dxa"/>
        <w:tblLook w:val="04A0"/>
      </w:tblPr>
      <w:tblGrid>
        <w:gridCol w:w="2878"/>
        <w:gridCol w:w="1056"/>
        <w:gridCol w:w="1516"/>
        <w:gridCol w:w="1901"/>
        <w:gridCol w:w="1056"/>
        <w:gridCol w:w="1799"/>
      </w:tblGrid>
      <w:tr w:rsidR="007E3897" w:rsidRPr="00552412" w:rsidTr="00AD0167">
        <w:trPr>
          <w:trHeight w:val="288"/>
          <w:jc w:val="center"/>
        </w:trPr>
        <w:tc>
          <w:tcPr>
            <w:tcW w:w="28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897" w:rsidRPr="00552412" w:rsidRDefault="007E3897" w:rsidP="00A77970">
            <w:pPr>
              <w:jc w:val="center"/>
              <w:rPr>
                <w:b/>
                <w:bCs/>
              </w:rPr>
            </w:pPr>
            <w:r w:rsidRPr="00552412">
              <w:rPr>
                <w:b/>
                <w:bCs/>
                <w:lang w:val="en-US"/>
              </w:rPr>
              <w:t>EXPORT</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7E3897" w:rsidRPr="00552412" w:rsidRDefault="007E3897" w:rsidP="00A77970">
            <w:pPr>
              <w:jc w:val="center"/>
              <w:rPr>
                <w:b/>
                <w:bCs/>
              </w:rPr>
            </w:pPr>
            <w:r w:rsidRPr="00552412">
              <w:rPr>
                <w:b/>
                <w:bCs/>
                <w:lang w:val="en-US"/>
              </w:rPr>
              <w:t>mii euro</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7E3897" w:rsidRPr="00552412" w:rsidRDefault="007E3897" w:rsidP="00A77970">
            <w:pPr>
              <w:jc w:val="center"/>
              <w:rPr>
                <w:b/>
                <w:bCs/>
              </w:rPr>
            </w:pPr>
            <w:r w:rsidRPr="00552412">
              <w:rPr>
                <w:b/>
                <w:bCs/>
              </w:rPr>
              <w:t xml:space="preserve">% </w:t>
            </w:r>
          </w:p>
          <w:p w:rsidR="007E3897" w:rsidRPr="00552412" w:rsidRDefault="007E3897" w:rsidP="00A77970">
            <w:pPr>
              <w:jc w:val="center"/>
              <w:rPr>
                <w:b/>
                <w:bCs/>
              </w:rPr>
            </w:pPr>
            <w:r w:rsidRPr="00552412">
              <w:rPr>
                <w:b/>
                <w:bCs/>
              </w:rPr>
              <w:t>din total export</w:t>
            </w:r>
          </w:p>
        </w:tc>
        <w:tc>
          <w:tcPr>
            <w:tcW w:w="1901" w:type="dxa"/>
            <w:tcBorders>
              <w:top w:val="single" w:sz="4" w:space="0" w:color="auto"/>
              <w:left w:val="nil"/>
              <w:bottom w:val="single" w:sz="4" w:space="0" w:color="auto"/>
              <w:right w:val="single" w:sz="4" w:space="0" w:color="auto"/>
            </w:tcBorders>
            <w:shd w:val="clear" w:color="auto" w:fill="auto"/>
            <w:vAlign w:val="center"/>
            <w:hideMark/>
          </w:tcPr>
          <w:p w:rsidR="007E3897" w:rsidRPr="00552412" w:rsidRDefault="007E3897" w:rsidP="00A77970">
            <w:pPr>
              <w:jc w:val="center"/>
              <w:rPr>
                <w:b/>
                <w:bCs/>
              </w:rPr>
            </w:pPr>
            <w:r w:rsidRPr="00552412">
              <w:rPr>
                <w:b/>
                <w:bCs/>
                <w:lang w:val="en-US"/>
              </w:rPr>
              <w:t>IMPORT</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7E3897" w:rsidRPr="00552412" w:rsidRDefault="007E3897" w:rsidP="00A77970">
            <w:pPr>
              <w:jc w:val="center"/>
              <w:rPr>
                <w:b/>
                <w:bCs/>
              </w:rPr>
            </w:pPr>
            <w:r w:rsidRPr="00552412">
              <w:rPr>
                <w:b/>
                <w:bCs/>
                <w:lang w:val="en-US"/>
              </w:rPr>
              <w:t>mii euro</w:t>
            </w:r>
          </w:p>
        </w:tc>
        <w:tc>
          <w:tcPr>
            <w:tcW w:w="1799" w:type="dxa"/>
            <w:tcBorders>
              <w:top w:val="single" w:sz="4" w:space="0" w:color="auto"/>
              <w:left w:val="nil"/>
              <w:bottom w:val="single" w:sz="4" w:space="0" w:color="auto"/>
              <w:right w:val="single" w:sz="4" w:space="0" w:color="auto"/>
            </w:tcBorders>
            <w:shd w:val="clear" w:color="auto" w:fill="auto"/>
            <w:noWrap/>
            <w:vAlign w:val="center"/>
            <w:hideMark/>
          </w:tcPr>
          <w:p w:rsidR="007E3897" w:rsidRPr="00552412" w:rsidRDefault="007E3897" w:rsidP="00A77970">
            <w:pPr>
              <w:jc w:val="center"/>
              <w:rPr>
                <w:b/>
                <w:bCs/>
              </w:rPr>
            </w:pPr>
            <w:r w:rsidRPr="00552412">
              <w:rPr>
                <w:b/>
                <w:bCs/>
              </w:rPr>
              <w:t xml:space="preserve">% </w:t>
            </w:r>
          </w:p>
          <w:p w:rsidR="007E3897" w:rsidRPr="00552412" w:rsidRDefault="007E3897" w:rsidP="00A77970">
            <w:pPr>
              <w:jc w:val="center"/>
              <w:rPr>
                <w:b/>
                <w:bCs/>
              </w:rPr>
            </w:pPr>
            <w:r w:rsidRPr="00552412">
              <w:rPr>
                <w:b/>
                <w:bCs/>
              </w:rPr>
              <w:t>din total import</w:t>
            </w:r>
          </w:p>
        </w:tc>
      </w:tr>
      <w:tr w:rsidR="00AD0167" w:rsidRPr="00552412" w:rsidTr="00AD0167">
        <w:trPr>
          <w:trHeight w:val="288"/>
          <w:jc w:val="center"/>
        </w:trPr>
        <w:tc>
          <w:tcPr>
            <w:tcW w:w="2878" w:type="dxa"/>
            <w:tcBorders>
              <w:top w:val="nil"/>
              <w:left w:val="single" w:sz="4" w:space="0" w:color="auto"/>
              <w:bottom w:val="single" w:sz="4" w:space="0" w:color="auto"/>
              <w:right w:val="single" w:sz="4" w:space="0" w:color="auto"/>
            </w:tcBorders>
            <w:shd w:val="clear" w:color="auto" w:fill="auto"/>
            <w:noWrap/>
            <w:vAlign w:val="bottom"/>
            <w:hideMark/>
          </w:tcPr>
          <w:p w:rsidR="00AD0167" w:rsidRPr="00AD0167" w:rsidRDefault="00AD0167" w:rsidP="00E3440B">
            <w:pPr>
              <w:rPr>
                <w:i/>
              </w:rPr>
            </w:pPr>
            <w:r w:rsidRPr="00AD0167">
              <w:rPr>
                <w:i/>
              </w:rPr>
              <w:t>GERMANIA</w:t>
            </w:r>
          </w:p>
        </w:tc>
        <w:tc>
          <w:tcPr>
            <w:tcW w:w="1056" w:type="dxa"/>
            <w:tcBorders>
              <w:top w:val="nil"/>
              <w:left w:val="nil"/>
              <w:bottom w:val="single" w:sz="4" w:space="0" w:color="auto"/>
              <w:right w:val="single" w:sz="4" w:space="0" w:color="auto"/>
            </w:tcBorders>
            <w:shd w:val="clear" w:color="auto" w:fill="auto"/>
            <w:noWrap/>
            <w:vAlign w:val="center"/>
            <w:hideMark/>
          </w:tcPr>
          <w:p w:rsidR="00AD0167" w:rsidRPr="00AD0167" w:rsidRDefault="00AD0167" w:rsidP="00AD0167">
            <w:pPr>
              <w:jc w:val="center"/>
              <w:rPr>
                <w:i/>
              </w:rPr>
            </w:pPr>
            <w:r w:rsidRPr="00AD0167">
              <w:rPr>
                <w:i/>
              </w:rPr>
              <w:t>1821104</w:t>
            </w:r>
          </w:p>
        </w:tc>
        <w:tc>
          <w:tcPr>
            <w:tcW w:w="1516" w:type="dxa"/>
            <w:tcBorders>
              <w:top w:val="nil"/>
              <w:left w:val="nil"/>
              <w:bottom w:val="single" w:sz="4" w:space="0" w:color="auto"/>
              <w:right w:val="single" w:sz="4" w:space="0" w:color="auto"/>
            </w:tcBorders>
            <w:shd w:val="clear" w:color="auto" w:fill="auto"/>
            <w:noWrap/>
            <w:vAlign w:val="center"/>
            <w:hideMark/>
          </w:tcPr>
          <w:p w:rsidR="00AD0167" w:rsidRPr="00AD0167" w:rsidRDefault="00AD0167" w:rsidP="00AD0167">
            <w:pPr>
              <w:jc w:val="center"/>
              <w:rPr>
                <w:i/>
              </w:rPr>
            </w:pPr>
            <w:r w:rsidRPr="00AD0167">
              <w:rPr>
                <w:i/>
              </w:rPr>
              <w:t>19,11</w:t>
            </w:r>
          </w:p>
        </w:tc>
        <w:tc>
          <w:tcPr>
            <w:tcW w:w="1901" w:type="dxa"/>
            <w:tcBorders>
              <w:top w:val="nil"/>
              <w:left w:val="nil"/>
              <w:bottom w:val="single" w:sz="4" w:space="0" w:color="auto"/>
              <w:right w:val="single" w:sz="4" w:space="0" w:color="auto"/>
            </w:tcBorders>
            <w:shd w:val="clear" w:color="auto" w:fill="auto"/>
            <w:vAlign w:val="bottom"/>
            <w:hideMark/>
          </w:tcPr>
          <w:p w:rsidR="00AD0167" w:rsidRPr="00AD0167" w:rsidRDefault="00AD0167" w:rsidP="00E3440B">
            <w:pPr>
              <w:rPr>
                <w:i/>
              </w:rPr>
            </w:pPr>
            <w:r w:rsidRPr="00AD0167">
              <w:rPr>
                <w:i/>
              </w:rPr>
              <w:t>GERMANIA</w:t>
            </w:r>
          </w:p>
        </w:tc>
        <w:tc>
          <w:tcPr>
            <w:tcW w:w="1056" w:type="dxa"/>
            <w:tcBorders>
              <w:top w:val="nil"/>
              <w:left w:val="nil"/>
              <w:bottom w:val="single" w:sz="4" w:space="0" w:color="auto"/>
              <w:right w:val="single" w:sz="4" w:space="0" w:color="auto"/>
            </w:tcBorders>
            <w:shd w:val="clear" w:color="auto" w:fill="auto"/>
            <w:vAlign w:val="bottom"/>
            <w:hideMark/>
          </w:tcPr>
          <w:p w:rsidR="00AD0167" w:rsidRPr="00AD0167" w:rsidRDefault="00AD0167" w:rsidP="00E3440B">
            <w:pPr>
              <w:jc w:val="right"/>
              <w:rPr>
                <w:i/>
              </w:rPr>
            </w:pPr>
            <w:r w:rsidRPr="00AD0167">
              <w:rPr>
                <w:i/>
              </w:rPr>
              <w:t>3459613</w:t>
            </w:r>
          </w:p>
        </w:tc>
        <w:tc>
          <w:tcPr>
            <w:tcW w:w="1799" w:type="dxa"/>
            <w:tcBorders>
              <w:top w:val="nil"/>
              <w:left w:val="nil"/>
              <w:bottom w:val="single" w:sz="4" w:space="0" w:color="auto"/>
              <w:right w:val="single" w:sz="4" w:space="0" w:color="auto"/>
            </w:tcBorders>
            <w:shd w:val="clear" w:color="auto" w:fill="auto"/>
            <w:noWrap/>
            <w:vAlign w:val="center"/>
            <w:hideMark/>
          </w:tcPr>
          <w:p w:rsidR="00AD0167" w:rsidRPr="00AD0167" w:rsidRDefault="00AD0167" w:rsidP="00AD0167">
            <w:pPr>
              <w:jc w:val="center"/>
              <w:rPr>
                <w:i/>
              </w:rPr>
            </w:pPr>
            <w:r w:rsidRPr="00AD0167">
              <w:rPr>
                <w:i/>
              </w:rPr>
              <w:t>17,16</w:t>
            </w:r>
          </w:p>
        </w:tc>
      </w:tr>
      <w:tr w:rsidR="00AD0167" w:rsidRPr="00552412" w:rsidTr="00AD0167">
        <w:trPr>
          <w:trHeight w:val="288"/>
          <w:jc w:val="center"/>
        </w:trPr>
        <w:tc>
          <w:tcPr>
            <w:tcW w:w="2878" w:type="dxa"/>
            <w:tcBorders>
              <w:top w:val="nil"/>
              <w:left w:val="single" w:sz="4" w:space="0" w:color="auto"/>
              <w:bottom w:val="single" w:sz="4" w:space="0" w:color="auto"/>
              <w:right w:val="single" w:sz="4" w:space="0" w:color="auto"/>
            </w:tcBorders>
            <w:shd w:val="clear" w:color="auto" w:fill="auto"/>
            <w:noWrap/>
            <w:vAlign w:val="bottom"/>
            <w:hideMark/>
          </w:tcPr>
          <w:p w:rsidR="00AD0167" w:rsidRPr="00AD0167" w:rsidRDefault="00AD0167" w:rsidP="00E3440B">
            <w:pPr>
              <w:rPr>
                <w:i/>
              </w:rPr>
            </w:pPr>
            <w:r w:rsidRPr="00AD0167">
              <w:rPr>
                <w:i/>
              </w:rPr>
              <w:t>BULGARIA</w:t>
            </w:r>
          </w:p>
        </w:tc>
        <w:tc>
          <w:tcPr>
            <w:tcW w:w="1056" w:type="dxa"/>
            <w:tcBorders>
              <w:top w:val="nil"/>
              <w:left w:val="nil"/>
              <w:bottom w:val="single" w:sz="4" w:space="0" w:color="auto"/>
              <w:right w:val="single" w:sz="4" w:space="0" w:color="auto"/>
            </w:tcBorders>
            <w:shd w:val="clear" w:color="auto" w:fill="auto"/>
            <w:noWrap/>
            <w:vAlign w:val="center"/>
            <w:hideMark/>
          </w:tcPr>
          <w:p w:rsidR="00AD0167" w:rsidRPr="00AD0167" w:rsidRDefault="00AD0167" w:rsidP="00AD0167">
            <w:pPr>
              <w:jc w:val="center"/>
              <w:rPr>
                <w:i/>
              </w:rPr>
            </w:pPr>
            <w:r w:rsidRPr="00AD0167">
              <w:rPr>
                <w:i/>
              </w:rPr>
              <w:t>831952</w:t>
            </w:r>
          </w:p>
        </w:tc>
        <w:tc>
          <w:tcPr>
            <w:tcW w:w="1516" w:type="dxa"/>
            <w:tcBorders>
              <w:top w:val="nil"/>
              <w:left w:val="nil"/>
              <w:bottom w:val="single" w:sz="4" w:space="0" w:color="auto"/>
              <w:right w:val="single" w:sz="4" w:space="0" w:color="auto"/>
            </w:tcBorders>
            <w:shd w:val="clear" w:color="auto" w:fill="auto"/>
            <w:noWrap/>
            <w:vAlign w:val="center"/>
            <w:hideMark/>
          </w:tcPr>
          <w:p w:rsidR="00AD0167" w:rsidRPr="00AD0167" w:rsidRDefault="00AD0167" w:rsidP="00AD0167">
            <w:pPr>
              <w:jc w:val="center"/>
              <w:rPr>
                <w:i/>
              </w:rPr>
            </w:pPr>
            <w:r w:rsidRPr="00AD0167">
              <w:rPr>
                <w:i/>
              </w:rPr>
              <w:t>8,73</w:t>
            </w:r>
          </w:p>
        </w:tc>
        <w:tc>
          <w:tcPr>
            <w:tcW w:w="1901" w:type="dxa"/>
            <w:tcBorders>
              <w:top w:val="nil"/>
              <w:left w:val="nil"/>
              <w:bottom w:val="single" w:sz="4" w:space="0" w:color="auto"/>
              <w:right w:val="single" w:sz="4" w:space="0" w:color="auto"/>
            </w:tcBorders>
            <w:shd w:val="clear" w:color="auto" w:fill="auto"/>
            <w:vAlign w:val="bottom"/>
            <w:hideMark/>
          </w:tcPr>
          <w:p w:rsidR="00AD0167" w:rsidRPr="00AD0167" w:rsidRDefault="00AD0167" w:rsidP="00E3440B">
            <w:pPr>
              <w:rPr>
                <w:i/>
              </w:rPr>
            </w:pPr>
            <w:r w:rsidRPr="00AD0167">
              <w:rPr>
                <w:i/>
              </w:rPr>
              <w:t>POLONIA</w:t>
            </w:r>
          </w:p>
        </w:tc>
        <w:tc>
          <w:tcPr>
            <w:tcW w:w="1056" w:type="dxa"/>
            <w:tcBorders>
              <w:top w:val="nil"/>
              <w:left w:val="nil"/>
              <w:bottom w:val="single" w:sz="4" w:space="0" w:color="auto"/>
              <w:right w:val="single" w:sz="4" w:space="0" w:color="auto"/>
            </w:tcBorders>
            <w:shd w:val="clear" w:color="auto" w:fill="auto"/>
            <w:vAlign w:val="bottom"/>
            <w:hideMark/>
          </w:tcPr>
          <w:p w:rsidR="00AD0167" w:rsidRPr="00AD0167" w:rsidRDefault="00AD0167" w:rsidP="00E3440B">
            <w:pPr>
              <w:jc w:val="right"/>
              <w:rPr>
                <w:i/>
              </w:rPr>
            </w:pPr>
            <w:r w:rsidRPr="00AD0167">
              <w:rPr>
                <w:i/>
              </w:rPr>
              <w:t>1471742</w:t>
            </w:r>
          </w:p>
        </w:tc>
        <w:tc>
          <w:tcPr>
            <w:tcW w:w="1799" w:type="dxa"/>
            <w:tcBorders>
              <w:top w:val="nil"/>
              <w:left w:val="nil"/>
              <w:bottom w:val="single" w:sz="4" w:space="0" w:color="auto"/>
              <w:right w:val="single" w:sz="4" w:space="0" w:color="auto"/>
            </w:tcBorders>
            <w:shd w:val="clear" w:color="auto" w:fill="auto"/>
            <w:noWrap/>
            <w:vAlign w:val="center"/>
            <w:hideMark/>
          </w:tcPr>
          <w:p w:rsidR="00AD0167" w:rsidRPr="00AD0167" w:rsidRDefault="00AD0167" w:rsidP="00AD0167">
            <w:pPr>
              <w:jc w:val="center"/>
              <w:rPr>
                <w:i/>
              </w:rPr>
            </w:pPr>
            <w:r w:rsidRPr="00AD0167">
              <w:rPr>
                <w:i/>
              </w:rPr>
              <w:t>7,30</w:t>
            </w:r>
          </w:p>
        </w:tc>
      </w:tr>
      <w:tr w:rsidR="00AD0167" w:rsidRPr="00552412" w:rsidTr="00AD0167">
        <w:trPr>
          <w:trHeight w:val="288"/>
          <w:jc w:val="center"/>
        </w:trPr>
        <w:tc>
          <w:tcPr>
            <w:tcW w:w="2878" w:type="dxa"/>
            <w:tcBorders>
              <w:top w:val="nil"/>
              <w:left w:val="single" w:sz="4" w:space="0" w:color="auto"/>
              <w:bottom w:val="single" w:sz="4" w:space="0" w:color="auto"/>
              <w:right w:val="single" w:sz="4" w:space="0" w:color="auto"/>
            </w:tcBorders>
            <w:shd w:val="clear" w:color="auto" w:fill="auto"/>
            <w:noWrap/>
            <w:vAlign w:val="bottom"/>
            <w:hideMark/>
          </w:tcPr>
          <w:p w:rsidR="00AD0167" w:rsidRPr="00AD0167" w:rsidRDefault="00AD0167" w:rsidP="00E3440B">
            <w:pPr>
              <w:rPr>
                <w:i/>
              </w:rPr>
            </w:pPr>
            <w:r w:rsidRPr="00AD0167">
              <w:rPr>
                <w:i/>
              </w:rPr>
              <w:t>UNGARIA</w:t>
            </w:r>
          </w:p>
        </w:tc>
        <w:tc>
          <w:tcPr>
            <w:tcW w:w="1056" w:type="dxa"/>
            <w:tcBorders>
              <w:top w:val="nil"/>
              <w:left w:val="nil"/>
              <w:bottom w:val="single" w:sz="4" w:space="0" w:color="auto"/>
              <w:right w:val="single" w:sz="4" w:space="0" w:color="auto"/>
            </w:tcBorders>
            <w:shd w:val="clear" w:color="auto" w:fill="auto"/>
            <w:noWrap/>
            <w:vAlign w:val="center"/>
            <w:hideMark/>
          </w:tcPr>
          <w:p w:rsidR="00AD0167" w:rsidRPr="00AD0167" w:rsidRDefault="00AD0167" w:rsidP="00AD0167">
            <w:pPr>
              <w:jc w:val="center"/>
              <w:rPr>
                <w:i/>
              </w:rPr>
            </w:pPr>
            <w:r w:rsidRPr="00AD0167">
              <w:rPr>
                <w:i/>
              </w:rPr>
              <w:t>577377</w:t>
            </w:r>
          </w:p>
        </w:tc>
        <w:tc>
          <w:tcPr>
            <w:tcW w:w="1516" w:type="dxa"/>
            <w:tcBorders>
              <w:top w:val="nil"/>
              <w:left w:val="nil"/>
              <w:bottom w:val="single" w:sz="4" w:space="0" w:color="auto"/>
              <w:right w:val="single" w:sz="4" w:space="0" w:color="auto"/>
            </w:tcBorders>
            <w:shd w:val="clear" w:color="auto" w:fill="auto"/>
            <w:noWrap/>
            <w:vAlign w:val="center"/>
            <w:hideMark/>
          </w:tcPr>
          <w:p w:rsidR="00AD0167" w:rsidRPr="00AD0167" w:rsidRDefault="00AD0167" w:rsidP="00AD0167">
            <w:pPr>
              <w:jc w:val="center"/>
              <w:rPr>
                <w:i/>
              </w:rPr>
            </w:pPr>
            <w:r w:rsidRPr="00AD0167">
              <w:rPr>
                <w:i/>
              </w:rPr>
              <w:t>6,06</w:t>
            </w:r>
          </w:p>
        </w:tc>
        <w:tc>
          <w:tcPr>
            <w:tcW w:w="1901" w:type="dxa"/>
            <w:tcBorders>
              <w:top w:val="nil"/>
              <w:left w:val="nil"/>
              <w:bottom w:val="single" w:sz="4" w:space="0" w:color="auto"/>
              <w:right w:val="single" w:sz="4" w:space="0" w:color="auto"/>
            </w:tcBorders>
            <w:shd w:val="clear" w:color="auto" w:fill="auto"/>
            <w:vAlign w:val="bottom"/>
            <w:hideMark/>
          </w:tcPr>
          <w:p w:rsidR="00AD0167" w:rsidRPr="00AD0167" w:rsidRDefault="00AD0167" w:rsidP="00E3440B">
            <w:pPr>
              <w:rPr>
                <w:i/>
              </w:rPr>
            </w:pPr>
            <w:r w:rsidRPr="00AD0167">
              <w:rPr>
                <w:i/>
              </w:rPr>
              <w:t>ITALIA</w:t>
            </w:r>
          </w:p>
        </w:tc>
        <w:tc>
          <w:tcPr>
            <w:tcW w:w="1056" w:type="dxa"/>
            <w:tcBorders>
              <w:top w:val="nil"/>
              <w:left w:val="nil"/>
              <w:bottom w:val="single" w:sz="4" w:space="0" w:color="auto"/>
              <w:right w:val="single" w:sz="4" w:space="0" w:color="auto"/>
            </w:tcBorders>
            <w:shd w:val="clear" w:color="auto" w:fill="auto"/>
            <w:vAlign w:val="bottom"/>
            <w:hideMark/>
          </w:tcPr>
          <w:p w:rsidR="00AD0167" w:rsidRPr="00AD0167" w:rsidRDefault="00AD0167" w:rsidP="00E3440B">
            <w:pPr>
              <w:jc w:val="right"/>
              <w:rPr>
                <w:i/>
              </w:rPr>
            </w:pPr>
            <w:r w:rsidRPr="00AD0167">
              <w:rPr>
                <w:i/>
              </w:rPr>
              <w:t>1466210</w:t>
            </w:r>
          </w:p>
        </w:tc>
        <w:tc>
          <w:tcPr>
            <w:tcW w:w="1799" w:type="dxa"/>
            <w:tcBorders>
              <w:top w:val="nil"/>
              <w:left w:val="nil"/>
              <w:bottom w:val="single" w:sz="4" w:space="0" w:color="auto"/>
              <w:right w:val="single" w:sz="4" w:space="0" w:color="auto"/>
            </w:tcBorders>
            <w:shd w:val="clear" w:color="auto" w:fill="auto"/>
            <w:noWrap/>
            <w:vAlign w:val="center"/>
            <w:hideMark/>
          </w:tcPr>
          <w:p w:rsidR="00AD0167" w:rsidRPr="00AD0167" w:rsidRDefault="00AD0167" w:rsidP="00AD0167">
            <w:pPr>
              <w:jc w:val="center"/>
              <w:rPr>
                <w:i/>
              </w:rPr>
            </w:pPr>
            <w:r w:rsidRPr="00AD0167">
              <w:rPr>
                <w:i/>
              </w:rPr>
              <w:t>7,27</w:t>
            </w:r>
          </w:p>
        </w:tc>
      </w:tr>
      <w:tr w:rsidR="00AD0167" w:rsidRPr="00552412" w:rsidTr="00AD0167">
        <w:trPr>
          <w:trHeight w:val="288"/>
          <w:jc w:val="center"/>
        </w:trPr>
        <w:tc>
          <w:tcPr>
            <w:tcW w:w="2878" w:type="dxa"/>
            <w:tcBorders>
              <w:top w:val="nil"/>
              <w:left w:val="single" w:sz="4" w:space="0" w:color="auto"/>
              <w:bottom w:val="single" w:sz="4" w:space="0" w:color="auto"/>
              <w:right w:val="single" w:sz="4" w:space="0" w:color="auto"/>
            </w:tcBorders>
            <w:shd w:val="clear" w:color="auto" w:fill="auto"/>
            <w:noWrap/>
            <w:vAlign w:val="bottom"/>
            <w:hideMark/>
          </w:tcPr>
          <w:p w:rsidR="00AD0167" w:rsidRPr="00AD0167" w:rsidRDefault="00AD0167" w:rsidP="00E3440B">
            <w:pPr>
              <w:rPr>
                <w:i/>
              </w:rPr>
            </w:pPr>
            <w:r w:rsidRPr="00AD0167">
              <w:rPr>
                <w:i/>
              </w:rPr>
              <w:t>ITALIA</w:t>
            </w:r>
          </w:p>
        </w:tc>
        <w:tc>
          <w:tcPr>
            <w:tcW w:w="1056" w:type="dxa"/>
            <w:tcBorders>
              <w:top w:val="nil"/>
              <w:left w:val="nil"/>
              <w:bottom w:val="single" w:sz="4" w:space="0" w:color="auto"/>
              <w:right w:val="single" w:sz="4" w:space="0" w:color="auto"/>
            </w:tcBorders>
            <w:shd w:val="clear" w:color="auto" w:fill="auto"/>
            <w:noWrap/>
            <w:vAlign w:val="center"/>
            <w:hideMark/>
          </w:tcPr>
          <w:p w:rsidR="00AD0167" w:rsidRPr="00AD0167" w:rsidRDefault="00AD0167" w:rsidP="00AD0167">
            <w:pPr>
              <w:jc w:val="center"/>
              <w:rPr>
                <w:i/>
              </w:rPr>
            </w:pPr>
            <w:r w:rsidRPr="00AD0167">
              <w:rPr>
                <w:i/>
              </w:rPr>
              <w:t>531149</w:t>
            </w:r>
          </w:p>
        </w:tc>
        <w:tc>
          <w:tcPr>
            <w:tcW w:w="1516" w:type="dxa"/>
            <w:tcBorders>
              <w:top w:val="nil"/>
              <w:left w:val="nil"/>
              <w:bottom w:val="single" w:sz="4" w:space="0" w:color="auto"/>
              <w:right w:val="single" w:sz="4" w:space="0" w:color="auto"/>
            </w:tcBorders>
            <w:shd w:val="clear" w:color="auto" w:fill="auto"/>
            <w:noWrap/>
            <w:vAlign w:val="center"/>
            <w:hideMark/>
          </w:tcPr>
          <w:p w:rsidR="00AD0167" w:rsidRPr="00AD0167" w:rsidRDefault="00AD0167" w:rsidP="00AD0167">
            <w:pPr>
              <w:jc w:val="center"/>
              <w:rPr>
                <w:i/>
              </w:rPr>
            </w:pPr>
            <w:r w:rsidRPr="00AD0167">
              <w:rPr>
                <w:i/>
              </w:rPr>
              <w:t>5,57</w:t>
            </w:r>
          </w:p>
        </w:tc>
        <w:tc>
          <w:tcPr>
            <w:tcW w:w="1901" w:type="dxa"/>
            <w:tcBorders>
              <w:top w:val="nil"/>
              <w:left w:val="nil"/>
              <w:bottom w:val="single" w:sz="4" w:space="0" w:color="auto"/>
              <w:right w:val="single" w:sz="4" w:space="0" w:color="auto"/>
            </w:tcBorders>
            <w:shd w:val="clear" w:color="auto" w:fill="auto"/>
            <w:vAlign w:val="bottom"/>
            <w:hideMark/>
          </w:tcPr>
          <w:p w:rsidR="00AD0167" w:rsidRPr="00AD0167" w:rsidRDefault="00AD0167" w:rsidP="00E3440B">
            <w:pPr>
              <w:rPr>
                <w:i/>
              </w:rPr>
            </w:pPr>
            <w:r w:rsidRPr="00AD0167">
              <w:rPr>
                <w:i/>
              </w:rPr>
              <w:t>UNGARIA</w:t>
            </w:r>
          </w:p>
        </w:tc>
        <w:tc>
          <w:tcPr>
            <w:tcW w:w="1056" w:type="dxa"/>
            <w:tcBorders>
              <w:top w:val="nil"/>
              <w:left w:val="nil"/>
              <w:bottom w:val="single" w:sz="4" w:space="0" w:color="auto"/>
              <w:right w:val="single" w:sz="4" w:space="0" w:color="auto"/>
            </w:tcBorders>
            <w:shd w:val="clear" w:color="auto" w:fill="auto"/>
            <w:vAlign w:val="bottom"/>
            <w:hideMark/>
          </w:tcPr>
          <w:p w:rsidR="00AD0167" w:rsidRPr="00AD0167" w:rsidRDefault="00AD0167" w:rsidP="00E3440B">
            <w:pPr>
              <w:jc w:val="right"/>
              <w:rPr>
                <w:i/>
              </w:rPr>
            </w:pPr>
            <w:r w:rsidRPr="00AD0167">
              <w:rPr>
                <w:i/>
              </w:rPr>
              <w:t>1321409</w:t>
            </w:r>
          </w:p>
        </w:tc>
        <w:tc>
          <w:tcPr>
            <w:tcW w:w="1799" w:type="dxa"/>
            <w:tcBorders>
              <w:top w:val="nil"/>
              <w:left w:val="nil"/>
              <w:bottom w:val="single" w:sz="4" w:space="0" w:color="auto"/>
              <w:right w:val="single" w:sz="4" w:space="0" w:color="auto"/>
            </w:tcBorders>
            <w:shd w:val="clear" w:color="auto" w:fill="auto"/>
            <w:noWrap/>
            <w:vAlign w:val="center"/>
            <w:hideMark/>
          </w:tcPr>
          <w:p w:rsidR="00AD0167" w:rsidRPr="00AD0167" w:rsidRDefault="00AD0167" w:rsidP="00AD0167">
            <w:pPr>
              <w:jc w:val="center"/>
              <w:rPr>
                <w:i/>
              </w:rPr>
            </w:pPr>
            <w:r w:rsidRPr="00AD0167">
              <w:rPr>
                <w:i/>
              </w:rPr>
              <w:t>6,55</w:t>
            </w:r>
          </w:p>
        </w:tc>
      </w:tr>
      <w:tr w:rsidR="00AD0167" w:rsidRPr="00552412" w:rsidTr="00AD0167">
        <w:trPr>
          <w:trHeight w:val="288"/>
          <w:jc w:val="center"/>
        </w:trPr>
        <w:tc>
          <w:tcPr>
            <w:tcW w:w="2878" w:type="dxa"/>
            <w:tcBorders>
              <w:top w:val="nil"/>
              <w:left w:val="single" w:sz="4" w:space="0" w:color="auto"/>
              <w:bottom w:val="single" w:sz="4" w:space="0" w:color="auto"/>
              <w:right w:val="single" w:sz="4" w:space="0" w:color="auto"/>
            </w:tcBorders>
            <w:shd w:val="clear" w:color="auto" w:fill="auto"/>
            <w:noWrap/>
            <w:vAlign w:val="bottom"/>
            <w:hideMark/>
          </w:tcPr>
          <w:p w:rsidR="00AD0167" w:rsidRPr="00AD0167" w:rsidRDefault="00AD0167" w:rsidP="00E3440B">
            <w:pPr>
              <w:rPr>
                <w:i/>
              </w:rPr>
            </w:pPr>
            <w:r w:rsidRPr="00AD0167">
              <w:rPr>
                <w:i/>
              </w:rPr>
              <w:t>FRANTA</w:t>
            </w:r>
          </w:p>
        </w:tc>
        <w:tc>
          <w:tcPr>
            <w:tcW w:w="1056" w:type="dxa"/>
            <w:tcBorders>
              <w:top w:val="nil"/>
              <w:left w:val="nil"/>
              <w:bottom w:val="single" w:sz="4" w:space="0" w:color="auto"/>
              <w:right w:val="single" w:sz="4" w:space="0" w:color="auto"/>
            </w:tcBorders>
            <w:shd w:val="clear" w:color="auto" w:fill="auto"/>
            <w:noWrap/>
            <w:vAlign w:val="center"/>
            <w:hideMark/>
          </w:tcPr>
          <w:p w:rsidR="00AD0167" w:rsidRPr="00AD0167" w:rsidRDefault="00AD0167" w:rsidP="00AD0167">
            <w:pPr>
              <w:jc w:val="center"/>
              <w:rPr>
                <w:i/>
              </w:rPr>
            </w:pPr>
            <w:r w:rsidRPr="00AD0167">
              <w:rPr>
                <w:i/>
              </w:rPr>
              <w:t>443125</w:t>
            </w:r>
          </w:p>
        </w:tc>
        <w:tc>
          <w:tcPr>
            <w:tcW w:w="1516" w:type="dxa"/>
            <w:tcBorders>
              <w:top w:val="nil"/>
              <w:left w:val="nil"/>
              <w:bottom w:val="single" w:sz="4" w:space="0" w:color="auto"/>
              <w:right w:val="single" w:sz="4" w:space="0" w:color="auto"/>
            </w:tcBorders>
            <w:shd w:val="clear" w:color="auto" w:fill="auto"/>
            <w:noWrap/>
            <w:vAlign w:val="center"/>
            <w:hideMark/>
          </w:tcPr>
          <w:p w:rsidR="00AD0167" w:rsidRPr="00AD0167" w:rsidRDefault="00AD0167" w:rsidP="00AD0167">
            <w:pPr>
              <w:jc w:val="center"/>
              <w:rPr>
                <w:i/>
              </w:rPr>
            </w:pPr>
            <w:r w:rsidRPr="00AD0167">
              <w:rPr>
                <w:i/>
              </w:rPr>
              <w:t>4,65</w:t>
            </w:r>
          </w:p>
        </w:tc>
        <w:tc>
          <w:tcPr>
            <w:tcW w:w="1901" w:type="dxa"/>
            <w:tcBorders>
              <w:top w:val="nil"/>
              <w:left w:val="nil"/>
              <w:bottom w:val="single" w:sz="4" w:space="0" w:color="auto"/>
              <w:right w:val="single" w:sz="4" w:space="0" w:color="auto"/>
            </w:tcBorders>
            <w:shd w:val="clear" w:color="auto" w:fill="auto"/>
            <w:vAlign w:val="bottom"/>
            <w:hideMark/>
          </w:tcPr>
          <w:p w:rsidR="00AD0167" w:rsidRPr="00AD0167" w:rsidRDefault="00AD0167" w:rsidP="00E3440B">
            <w:pPr>
              <w:rPr>
                <w:i/>
              </w:rPr>
            </w:pPr>
            <w:r w:rsidRPr="00AD0167">
              <w:rPr>
                <w:i/>
              </w:rPr>
              <w:t>FRANTA</w:t>
            </w:r>
          </w:p>
        </w:tc>
        <w:tc>
          <w:tcPr>
            <w:tcW w:w="1056" w:type="dxa"/>
            <w:tcBorders>
              <w:top w:val="nil"/>
              <w:left w:val="nil"/>
              <w:bottom w:val="single" w:sz="4" w:space="0" w:color="auto"/>
              <w:right w:val="single" w:sz="4" w:space="0" w:color="auto"/>
            </w:tcBorders>
            <w:shd w:val="clear" w:color="auto" w:fill="auto"/>
            <w:vAlign w:val="bottom"/>
            <w:hideMark/>
          </w:tcPr>
          <w:p w:rsidR="00AD0167" w:rsidRPr="00AD0167" w:rsidRDefault="00AD0167" w:rsidP="00E3440B">
            <w:pPr>
              <w:jc w:val="right"/>
              <w:rPr>
                <w:i/>
              </w:rPr>
            </w:pPr>
            <w:r w:rsidRPr="00AD0167">
              <w:rPr>
                <w:i/>
              </w:rPr>
              <w:t>1252545</w:t>
            </w:r>
          </w:p>
        </w:tc>
        <w:tc>
          <w:tcPr>
            <w:tcW w:w="1799" w:type="dxa"/>
            <w:tcBorders>
              <w:top w:val="nil"/>
              <w:left w:val="nil"/>
              <w:bottom w:val="single" w:sz="4" w:space="0" w:color="auto"/>
              <w:right w:val="single" w:sz="4" w:space="0" w:color="auto"/>
            </w:tcBorders>
            <w:shd w:val="clear" w:color="auto" w:fill="auto"/>
            <w:noWrap/>
            <w:vAlign w:val="center"/>
            <w:hideMark/>
          </w:tcPr>
          <w:p w:rsidR="00AD0167" w:rsidRPr="00AD0167" w:rsidRDefault="00AD0167" w:rsidP="00AD0167">
            <w:pPr>
              <w:jc w:val="center"/>
              <w:rPr>
                <w:i/>
              </w:rPr>
            </w:pPr>
            <w:r w:rsidRPr="00AD0167">
              <w:rPr>
                <w:i/>
              </w:rPr>
              <w:t>6,21</w:t>
            </w:r>
          </w:p>
        </w:tc>
      </w:tr>
      <w:tr w:rsidR="00AD0167" w:rsidRPr="00552412" w:rsidTr="00AD0167">
        <w:trPr>
          <w:trHeight w:val="288"/>
          <w:jc w:val="center"/>
        </w:trPr>
        <w:tc>
          <w:tcPr>
            <w:tcW w:w="2878" w:type="dxa"/>
            <w:tcBorders>
              <w:top w:val="nil"/>
              <w:left w:val="single" w:sz="4" w:space="0" w:color="auto"/>
              <w:bottom w:val="single" w:sz="4" w:space="0" w:color="auto"/>
              <w:right w:val="single" w:sz="4" w:space="0" w:color="auto"/>
            </w:tcBorders>
            <w:shd w:val="clear" w:color="auto" w:fill="auto"/>
            <w:noWrap/>
            <w:vAlign w:val="bottom"/>
            <w:hideMark/>
          </w:tcPr>
          <w:p w:rsidR="00AD0167" w:rsidRPr="00AD0167" w:rsidRDefault="00AD0167" w:rsidP="00E3440B">
            <w:pPr>
              <w:rPr>
                <w:i/>
              </w:rPr>
            </w:pPr>
            <w:r w:rsidRPr="00AD0167">
              <w:rPr>
                <w:i/>
              </w:rPr>
              <w:t>GRECIA</w:t>
            </w:r>
          </w:p>
        </w:tc>
        <w:tc>
          <w:tcPr>
            <w:tcW w:w="1056" w:type="dxa"/>
            <w:tcBorders>
              <w:top w:val="nil"/>
              <w:left w:val="nil"/>
              <w:bottom w:val="single" w:sz="4" w:space="0" w:color="auto"/>
              <w:right w:val="single" w:sz="4" w:space="0" w:color="auto"/>
            </w:tcBorders>
            <w:shd w:val="clear" w:color="auto" w:fill="auto"/>
            <w:noWrap/>
            <w:vAlign w:val="center"/>
            <w:hideMark/>
          </w:tcPr>
          <w:p w:rsidR="00AD0167" w:rsidRPr="00AD0167" w:rsidRDefault="00AD0167" w:rsidP="00AD0167">
            <w:pPr>
              <w:jc w:val="center"/>
              <w:rPr>
                <w:i/>
              </w:rPr>
            </w:pPr>
            <w:r w:rsidRPr="00AD0167">
              <w:rPr>
                <w:i/>
              </w:rPr>
              <w:t>424288</w:t>
            </w:r>
          </w:p>
        </w:tc>
        <w:tc>
          <w:tcPr>
            <w:tcW w:w="1516" w:type="dxa"/>
            <w:tcBorders>
              <w:top w:val="nil"/>
              <w:left w:val="nil"/>
              <w:bottom w:val="single" w:sz="4" w:space="0" w:color="auto"/>
              <w:right w:val="single" w:sz="4" w:space="0" w:color="auto"/>
            </w:tcBorders>
            <w:shd w:val="clear" w:color="auto" w:fill="auto"/>
            <w:noWrap/>
            <w:vAlign w:val="center"/>
            <w:hideMark/>
          </w:tcPr>
          <w:p w:rsidR="00AD0167" w:rsidRPr="00AD0167" w:rsidRDefault="00AD0167" w:rsidP="00AD0167">
            <w:pPr>
              <w:jc w:val="center"/>
              <w:rPr>
                <w:i/>
              </w:rPr>
            </w:pPr>
            <w:r w:rsidRPr="00AD0167">
              <w:rPr>
                <w:i/>
              </w:rPr>
              <w:t>4,45</w:t>
            </w:r>
          </w:p>
        </w:tc>
        <w:tc>
          <w:tcPr>
            <w:tcW w:w="1901" w:type="dxa"/>
            <w:tcBorders>
              <w:top w:val="nil"/>
              <w:left w:val="nil"/>
              <w:bottom w:val="single" w:sz="4" w:space="0" w:color="auto"/>
              <w:right w:val="single" w:sz="4" w:space="0" w:color="auto"/>
            </w:tcBorders>
            <w:shd w:val="clear" w:color="auto" w:fill="auto"/>
            <w:vAlign w:val="bottom"/>
            <w:hideMark/>
          </w:tcPr>
          <w:p w:rsidR="00AD0167" w:rsidRPr="00AD0167" w:rsidRDefault="00AD0167" w:rsidP="00E3440B">
            <w:pPr>
              <w:rPr>
                <w:i/>
              </w:rPr>
            </w:pPr>
            <w:r w:rsidRPr="00AD0167">
              <w:rPr>
                <w:i/>
              </w:rPr>
              <w:t>CHINA</w:t>
            </w:r>
          </w:p>
        </w:tc>
        <w:tc>
          <w:tcPr>
            <w:tcW w:w="1056" w:type="dxa"/>
            <w:tcBorders>
              <w:top w:val="nil"/>
              <w:left w:val="nil"/>
              <w:bottom w:val="single" w:sz="4" w:space="0" w:color="auto"/>
              <w:right w:val="single" w:sz="4" w:space="0" w:color="auto"/>
            </w:tcBorders>
            <w:shd w:val="clear" w:color="auto" w:fill="auto"/>
            <w:vAlign w:val="bottom"/>
            <w:hideMark/>
          </w:tcPr>
          <w:p w:rsidR="00AD0167" w:rsidRPr="00AD0167" w:rsidRDefault="00AD0167" w:rsidP="00E3440B">
            <w:pPr>
              <w:jc w:val="right"/>
              <w:rPr>
                <w:i/>
              </w:rPr>
            </w:pPr>
            <w:r w:rsidRPr="00AD0167">
              <w:rPr>
                <w:i/>
              </w:rPr>
              <w:t>1215187</w:t>
            </w:r>
          </w:p>
        </w:tc>
        <w:tc>
          <w:tcPr>
            <w:tcW w:w="1799" w:type="dxa"/>
            <w:tcBorders>
              <w:top w:val="nil"/>
              <w:left w:val="nil"/>
              <w:bottom w:val="single" w:sz="4" w:space="0" w:color="auto"/>
              <w:right w:val="single" w:sz="4" w:space="0" w:color="auto"/>
            </w:tcBorders>
            <w:shd w:val="clear" w:color="auto" w:fill="auto"/>
            <w:noWrap/>
            <w:vAlign w:val="center"/>
            <w:hideMark/>
          </w:tcPr>
          <w:p w:rsidR="00AD0167" w:rsidRPr="00AD0167" w:rsidRDefault="00AD0167" w:rsidP="00AD0167">
            <w:pPr>
              <w:jc w:val="center"/>
              <w:rPr>
                <w:i/>
              </w:rPr>
            </w:pPr>
            <w:r w:rsidRPr="00AD0167">
              <w:rPr>
                <w:i/>
              </w:rPr>
              <w:t>6,03</w:t>
            </w:r>
          </w:p>
        </w:tc>
      </w:tr>
      <w:tr w:rsidR="00AD0167" w:rsidRPr="00552412" w:rsidTr="00AD0167">
        <w:trPr>
          <w:trHeight w:val="288"/>
          <w:jc w:val="center"/>
        </w:trPr>
        <w:tc>
          <w:tcPr>
            <w:tcW w:w="2878" w:type="dxa"/>
            <w:tcBorders>
              <w:top w:val="nil"/>
              <w:left w:val="single" w:sz="4" w:space="0" w:color="auto"/>
              <w:bottom w:val="single" w:sz="4" w:space="0" w:color="auto"/>
              <w:right w:val="single" w:sz="4" w:space="0" w:color="auto"/>
            </w:tcBorders>
            <w:shd w:val="clear" w:color="auto" w:fill="auto"/>
            <w:noWrap/>
            <w:vAlign w:val="bottom"/>
            <w:hideMark/>
          </w:tcPr>
          <w:p w:rsidR="00AD0167" w:rsidRPr="00AD0167" w:rsidRDefault="00AD0167" w:rsidP="00E3440B">
            <w:pPr>
              <w:rPr>
                <w:i/>
              </w:rPr>
            </w:pPr>
            <w:r w:rsidRPr="00AD0167">
              <w:rPr>
                <w:i/>
              </w:rPr>
              <w:t>SPANIA</w:t>
            </w:r>
          </w:p>
        </w:tc>
        <w:tc>
          <w:tcPr>
            <w:tcW w:w="1056" w:type="dxa"/>
            <w:tcBorders>
              <w:top w:val="nil"/>
              <w:left w:val="nil"/>
              <w:bottom w:val="single" w:sz="4" w:space="0" w:color="auto"/>
              <w:right w:val="single" w:sz="4" w:space="0" w:color="auto"/>
            </w:tcBorders>
            <w:shd w:val="clear" w:color="auto" w:fill="auto"/>
            <w:noWrap/>
            <w:vAlign w:val="center"/>
            <w:hideMark/>
          </w:tcPr>
          <w:p w:rsidR="00AD0167" w:rsidRPr="00AD0167" w:rsidRDefault="00AD0167" w:rsidP="00AD0167">
            <w:pPr>
              <w:jc w:val="center"/>
              <w:rPr>
                <w:i/>
              </w:rPr>
            </w:pPr>
            <w:r w:rsidRPr="00AD0167">
              <w:rPr>
                <w:i/>
              </w:rPr>
              <w:t>416183</w:t>
            </w:r>
          </w:p>
        </w:tc>
        <w:tc>
          <w:tcPr>
            <w:tcW w:w="1516" w:type="dxa"/>
            <w:tcBorders>
              <w:top w:val="nil"/>
              <w:left w:val="nil"/>
              <w:bottom w:val="single" w:sz="4" w:space="0" w:color="auto"/>
              <w:right w:val="single" w:sz="4" w:space="0" w:color="auto"/>
            </w:tcBorders>
            <w:shd w:val="clear" w:color="auto" w:fill="auto"/>
            <w:noWrap/>
            <w:vAlign w:val="center"/>
            <w:hideMark/>
          </w:tcPr>
          <w:p w:rsidR="00AD0167" w:rsidRPr="00AD0167" w:rsidRDefault="00AD0167" w:rsidP="00AD0167">
            <w:pPr>
              <w:jc w:val="center"/>
              <w:rPr>
                <w:i/>
              </w:rPr>
            </w:pPr>
            <w:r w:rsidRPr="00AD0167">
              <w:rPr>
                <w:i/>
              </w:rPr>
              <w:t>4,37</w:t>
            </w:r>
          </w:p>
        </w:tc>
        <w:tc>
          <w:tcPr>
            <w:tcW w:w="1901" w:type="dxa"/>
            <w:tcBorders>
              <w:top w:val="nil"/>
              <w:left w:val="nil"/>
              <w:bottom w:val="single" w:sz="4" w:space="0" w:color="auto"/>
              <w:right w:val="single" w:sz="4" w:space="0" w:color="auto"/>
            </w:tcBorders>
            <w:shd w:val="clear" w:color="auto" w:fill="auto"/>
            <w:vAlign w:val="bottom"/>
            <w:hideMark/>
          </w:tcPr>
          <w:p w:rsidR="00AD0167" w:rsidRPr="00AD0167" w:rsidRDefault="00AD0167" w:rsidP="00E3440B">
            <w:pPr>
              <w:rPr>
                <w:i/>
              </w:rPr>
            </w:pPr>
            <w:r w:rsidRPr="00AD0167">
              <w:rPr>
                <w:i/>
              </w:rPr>
              <w:t>OLANDA</w:t>
            </w:r>
          </w:p>
        </w:tc>
        <w:tc>
          <w:tcPr>
            <w:tcW w:w="1056" w:type="dxa"/>
            <w:tcBorders>
              <w:top w:val="nil"/>
              <w:left w:val="nil"/>
              <w:bottom w:val="single" w:sz="4" w:space="0" w:color="auto"/>
              <w:right w:val="single" w:sz="4" w:space="0" w:color="auto"/>
            </w:tcBorders>
            <w:shd w:val="clear" w:color="auto" w:fill="auto"/>
            <w:vAlign w:val="bottom"/>
            <w:hideMark/>
          </w:tcPr>
          <w:p w:rsidR="00AD0167" w:rsidRPr="00AD0167" w:rsidRDefault="00AD0167" w:rsidP="00E3440B">
            <w:pPr>
              <w:jc w:val="right"/>
              <w:rPr>
                <w:i/>
              </w:rPr>
            </w:pPr>
            <w:r w:rsidRPr="00AD0167">
              <w:rPr>
                <w:i/>
              </w:rPr>
              <w:t>1034073</w:t>
            </w:r>
          </w:p>
        </w:tc>
        <w:tc>
          <w:tcPr>
            <w:tcW w:w="1799" w:type="dxa"/>
            <w:tcBorders>
              <w:top w:val="nil"/>
              <w:left w:val="nil"/>
              <w:bottom w:val="single" w:sz="4" w:space="0" w:color="auto"/>
              <w:right w:val="single" w:sz="4" w:space="0" w:color="auto"/>
            </w:tcBorders>
            <w:shd w:val="clear" w:color="auto" w:fill="auto"/>
            <w:noWrap/>
            <w:vAlign w:val="center"/>
            <w:hideMark/>
          </w:tcPr>
          <w:p w:rsidR="00AD0167" w:rsidRPr="00AD0167" w:rsidRDefault="00AD0167" w:rsidP="00AD0167">
            <w:pPr>
              <w:jc w:val="center"/>
              <w:rPr>
                <w:i/>
              </w:rPr>
            </w:pPr>
            <w:r w:rsidRPr="00AD0167">
              <w:rPr>
                <w:i/>
              </w:rPr>
              <w:t>5,13</w:t>
            </w:r>
          </w:p>
        </w:tc>
      </w:tr>
      <w:tr w:rsidR="00AD0167" w:rsidRPr="00552412" w:rsidTr="00AD0167">
        <w:trPr>
          <w:trHeight w:val="237"/>
          <w:jc w:val="center"/>
        </w:trPr>
        <w:tc>
          <w:tcPr>
            <w:tcW w:w="2878" w:type="dxa"/>
            <w:tcBorders>
              <w:top w:val="nil"/>
              <w:left w:val="single" w:sz="4" w:space="0" w:color="auto"/>
              <w:bottom w:val="single" w:sz="4" w:space="0" w:color="auto"/>
              <w:right w:val="single" w:sz="4" w:space="0" w:color="auto"/>
            </w:tcBorders>
            <w:shd w:val="clear" w:color="auto" w:fill="auto"/>
            <w:noWrap/>
            <w:vAlign w:val="bottom"/>
            <w:hideMark/>
          </w:tcPr>
          <w:p w:rsidR="00AD0167" w:rsidRPr="00AD0167" w:rsidRDefault="00AD0167" w:rsidP="00E3440B">
            <w:pPr>
              <w:rPr>
                <w:i/>
              </w:rPr>
            </w:pPr>
            <w:r w:rsidRPr="00AD0167">
              <w:rPr>
                <w:i/>
              </w:rPr>
              <w:t>OLANDA</w:t>
            </w:r>
          </w:p>
        </w:tc>
        <w:tc>
          <w:tcPr>
            <w:tcW w:w="1056" w:type="dxa"/>
            <w:tcBorders>
              <w:top w:val="nil"/>
              <w:left w:val="nil"/>
              <w:bottom w:val="single" w:sz="4" w:space="0" w:color="auto"/>
              <w:right w:val="single" w:sz="4" w:space="0" w:color="auto"/>
            </w:tcBorders>
            <w:shd w:val="clear" w:color="auto" w:fill="auto"/>
            <w:noWrap/>
            <w:vAlign w:val="center"/>
            <w:hideMark/>
          </w:tcPr>
          <w:p w:rsidR="00AD0167" w:rsidRPr="00AD0167" w:rsidRDefault="00AD0167" w:rsidP="00AD0167">
            <w:pPr>
              <w:jc w:val="center"/>
              <w:rPr>
                <w:i/>
              </w:rPr>
            </w:pPr>
            <w:r w:rsidRPr="00AD0167">
              <w:rPr>
                <w:i/>
              </w:rPr>
              <w:t>394745</w:t>
            </w:r>
          </w:p>
        </w:tc>
        <w:tc>
          <w:tcPr>
            <w:tcW w:w="1516" w:type="dxa"/>
            <w:tcBorders>
              <w:top w:val="nil"/>
              <w:left w:val="nil"/>
              <w:bottom w:val="single" w:sz="4" w:space="0" w:color="auto"/>
              <w:right w:val="single" w:sz="4" w:space="0" w:color="auto"/>
            </w:tcBorders>
            <w:shd w:val="clear" w:color="auto" w:fill="auto"/>
            <w:noWrap/>
            <w:vAlign w:val="center"/>
            <w:hideMark/>
          </w:tcPr>
          <w:p w:rsidR="00AD0167" w:rsidRPr="00AD0167" w:rsidRDefault="00AD0167" w:rsidP="00AD0167">
            <w:pPr>
              <w:jc w:val="center"/>
              <w:rPr>
                <w:i/>
              </w:rPr>
            </w:pPr>
            <w:r w:rsidRPr="00AD0167">
              <w:rPr>
                <w:i/>
              </w:rPr>
              <w:t>4,14</w:t>
            </w:r>
          </w:p>
        </w:tc>
        <w:tc>
          <w:tcPr>
            <w:tcW w:w="1901" w:type="dxa"/>
            <w:tcBorders>
              <w:top w:val="nil"/>
              <w:left w:val="nil"/>
              <w:bottom w:val="single" w:sz="4" w:space="0" w:color="auto"/>
              <w:right w:val="single" w:sz="4" w:space="0" w:color="auto"/>
            </w:tcBorders>
            <w:shd w:val="clear" w:color="auto" w:fill="auto"/>
            <w:vAlign w:val="bottom"/>
            <w:hideMark/>
          </w:tcPr>
          <w:p w:rsidR="00AD0167" w:rsidRPr="00AD0167" w:rsidRDefault="00AD0167" w:rsidP="00E3440B">
            <w:pPr>
              <w:rPr>
                <w:i/>
              </w:rPr>
            </w:pPr>
            <w:r w:rsidRPr="00AD0167">
              <w:rPr>
                <w:i/>
              </w:rPr>
              <w:t>SLOVACIA</w:t>
            </w:r>
          </w:p>
        </w:tc>
        <w:tc>
          <w:tcPr>
            <w:tcW w:w="1056" w:type="dxa"/>
            <w:tcBorders>
              <w:top w:val="nil"/>
              <w:left w:val="nil"/>
              <w:bottom w:val="single" w:sz="4" w:space="0" w:color="auto"/>
              <w:right w:val="single" w:sz="4" w:space="0" w:color="auto"/>
            </w:tcBorders>
            <w:shd w:val="clear" w:color="auto" w:fill="auto"/>
            <w:vAlign w:val="bottom"/>
            <w:hideMark/>
          </w:tcPr>
          <w:p w:rsidR="00AD0167" w:rsidRPr="00AD0167" w:rsidRDefault="00AD0167" w:rsidP="00E3440B">
            <w:pPr>
              <w:jc w:val="right"/>
              <w:rPr>
                <w:i/>
              </w:rPr>
            </w:pPr>
            <w:r w:rsidRPr="00AD0167">
              <w:rPr>
                <w:i/>
              </w:rPr>
              <w:t>937332</w:t>
            </w:r>
          </w:p>
        </w:tc>
        <w:tc>
          <w:tcPr>
            <w:tcW w:w="1799" w:type="dxa"/>
            <w:tcBorders>
              <w:top w:val="nil"/>
              <w:left w:val="nil"/>
              <w:bottom w:val="single" w:sz="4" w:space="0" w:color="auto"/>
              <w:right w:val="single" w:sz="4" w:space="0" w:color="auto"/>
            </w:tcBorders>
            <w:shd w:val="clear" w:color="auto" w:fill="auto"/>
            <w:noWrap/>
            <w:vAlign w:val="center"/>
            <w:hideMark/>
          </w:tcPr>
          <w:p w:rsidR="00AD0167" w:rsidRPr="00AD0167" w:rsidRDefault="00AD0167" w:rsidP="00AD0167">
            <w:pPr>
              <w:jc w:val="center"/>
              <w:rPr>
                <w:i/>
              </w:rPr>
            </w:pPr>
            <w:r w:rsidRPr="00AD0167">
              <w:rPr>
                <w:i/>
              </w:rPr>
              <w:t>4,65</w:t>
            </w:r>
          </w:p>
        </w:tc>
      </w:tr>
      <w:tr w:rsidR="00AD0167" w:rsidRPr="00552412" w:rsidTr="00AD0167">
        <w:trPr>
          <w:trHeight w:val="288"/>
          <w:jc w:val="center"/>
        </w:trPr>
        <w:tc>
          <w:tcPr>
            <w:tcW w:w="2878" w:type="dxa"/>
            <w:tcBorders>
              <w:top w:val="nil"/>
              <w:left w:val="single" w:sz="4" w:space="0" w:color="auto"/>
              <w:bottom w:val="single" w:sz="4" w:space="0" w:color="auto"/>
              <w:right w:val="single" w:sz="4" w:space="0" w:color="auto"/>
            </w:tcBorders>
            <w:shd w:val="clear" w:color="auto" w:fill="auto"/>
            <w:noWrap/>
            <w:vAlign w:val="bottom"/>
            <w:hideMark/>
          </w:tcPr>
          <w:p w:rsidR="00AD0167" w:rsidRPr="00AD0167" w:rsidRDefault="00AD0167" w:rsidP="00E3440B">
            <w:pPr>
              <w:rPr>
                <w:i/>
              </w:rPr>
            </w:pPr>
            <w:r w:rsidRPr="00AD0167">
              <w:rPr>
                <w:i/>
              </w:rPr>
              <w:t>REGATUL UNIT AL MARII BRITANII</w:t>
            </w:r>
          </w:p>
        </w:tc>
        <w:tc>
          <w:tcPr>
            <w:tcW w:w="1056" w:type="dxa"/>
            <w:tcBorders>
              <w:top w:val="nil"/>
              <w:left w:val="nil"/>
              <w:bottom w:val="single" w:sz="4" w:space="0" w:color="auto"/>
              <w:right w:val="single" w:sz="4" w:space="0" w:color="auto"/>
            </w:tcBorders>
            <w:shd w:val="clear" w:color="auto" w:fill="auto"/>
            <w:noWrap/>
            <w:vAlign w:val="center"/>
            <w:hideMark/>
          </w:tcPr>
          <w:p w:rsidR="00AD0167" w:rsidRPr="00AD0167" w:rsidRDefault="00AD0167" w:rsidP="00AD0167">
            <w:pPr>
              <w:jc w:val="center"/>
              <w:rPr>
                <w:i/>
              </w:rPr>
            </w:pPr>
            <w:r w:rsidRPr="00AD0167">
              <w:rPr>
                <w:i/>
              </w:rPr>
              <w:t>347810</w:t>
            </w:r>
          </w:p>
        </w:tc>
        <w:tc>
          <w:tcPr>
            <w:tcW w:w="1516" w:type="dxa"/>
            <w:tcBorders>
              <w:top w:val="nil"/>
              <w:left w:val="nil"/>
              <w:bottom w:val="single" w:sz="4" w:space="0" w:color="auto"/>
              <w:right w:val="single" w:sz="4" w:space="0" w:color="auto"/>
            </w:tcBorders>
            <w:shd w:val="clear" w:color="auto" w:fill="auto"/>
            <w:noWrap/>
            <w:vAlign w:val="center"/>
            <w:hideMark/>
          </w:tcPr>
          <w:p w:rsidR="00AD0167" w:rsidRPr="00AD0167" w:rsidRDefault="00AD0167" w:rsidP="00AD0167">
            <w:pPr>
              <w:jc w:val="center"/>
              <w:rPr>
                <w:i/>
              </w:rPr>
            </w:pPr>
            <w:r w:rsidRPr="00AD0167">
              <w:rPr>
                <w:i/>
              </w:rPr>
              <w:t>3,65</w:t>
            </w:r>
          </w:p>
        </w:tc>
        <w:tc>
          <w:tcPr>
            <w:tcW w:w="1901" w:type="dxa"/>
            <w:tcBorders>
              <w:top w:val="nil"/>
              <w:left w:val="nil"/>
              <w:bottom w:val="single" w:sz="4" w:space="0" w:color="auto"/>
              <w:right w:val="single" w:sz="4" w:space="0" w:color="auto"/>
            </w:tcBorders>
            <w:shd w:val="clear" w:color="auto" w:fill="auto"/>
            <w:vAlign w:val="center"/>
            <w:hideMark/>
          </w:tcPr>
          <w:p w:rsidR="00AD0167" w:rsidRPr="00AD0167" w:rsidRDefault="00AD0167" w:rsidP="00AD0167">
            <w:pPr>
              <w:rPr>
                <w:i/>
              </w:rPr>
            </w:pPr>
            <w:r w:rsidRPr="00AD0167">
              <w:rPr>
                <w:i/>
              </w:rPr>
              <w:t>AUSTRIA</w:t>
            </w:r>
          </w:p>
        </w:tc>
        <w:tc>
          <w:tcPr>
            <w:tcW w:w="1056" w:type="dxa"/>
            <w:tcBorders>
              <w:top w:val="nil"/>
              <w:left w:val="nil"/>
              <w:bottom w:val="single" w:sz="4" w:space="0" w:color="auto"/>
              <w:right w:val="single" w:sz="4" w:space="0" w:color="auto"/>
            </w:tcBorders>
            <w:shd w:val="clear" w:color="auto" w:fill="auto"/>
            <w:vAlign w:val="center"/>
            <w:hideMark/>
          </w:tcPr>
          <w:p w:rsidR="00AD0167" w:rsidRPr="00AD0167" w:rsidRDefault="00AD0167" w:rsidP="00AD0167">
            <w:pPr>
              <w:jc w:val="center"/>
              <w:rPr>
                <w:i/>
              </w:rPr>
            </w:pPr>
            <w:r w:rsidRPr="00AD0167">
              <w:rPr>
                <w:i/>
              </w:rPr>
              <w:t>897395</w:t>
            </w:r>
          </w:p>
        </w:tc>
        <w:tc>
          <w:tcPr>
            <w:tcW w:w="1799" w:type="dxa"/>
            <w:tcBorders>
              <w:top w:val="nil"/>
              <w:left w:val="nil"/>
              <w:bottom w:val="single" w:sz="4" w:space="0" w:color="auto"/>
              <w:right w:val="single" w:sz="4" w:space="0" w:color="auto"/>
            </w:tcBorders>
            <w:shd w:val="clear" w:color="auto" w:fill="auto"/>
            <w:noWrap/>
            <w:vAlign w:val="center"/>
            <w:hideMark/>
          </w:tcPr>
          <w:p w:rsidR="00AD0167" w:rsidRPr="00AD0167" w:rsidRDefault="00AD0167" w:rsidP="00AD0167">
            <w:pPr>
              <w:jc w:val="center"/>
              <w:rPr>
                <w:i/>
              </w:rPr>
            </w:pPr>
            <w:r w:rsidRPr="00AD0167">
              <w:rPr>
                <w:i/>
              </w:rPr>
              <w:t>4,45</w:t>
            </w:r>
          </w:p>
        </w:tc>
      </w:tr>
      <w:tr w:rsidR="00AD0167" w:rsidRPr="00552412" w:rsidTr="00AD0167">
        <w:trPr>
          <w:trHeight w:val="288"/>
          <w:jc w:val="center"/>
        </w:trPr>
        <w:tc>
          <w:tcPr>
            <w:tcW w:w="2878" w:type="dxa"/>
            <w:tcBorders>
              <w:top w:val="nil"/>
              <w:left w:val="single" w:sz="4" w:space="0" w:color="auto"/>
              <w:bottom w:val="single" w:sz="4" w:space="0" w:color="auto"/>
              <w:right w:val="single" w:sz="4" w:space="0" w:color="auto"/>
            </w:tcBorders>
            <w:shd w:val="clear" w:color="auto" w:fill="auto"/>
            <w:noWrap/>
            <w:vAlign w:val="bottom"/>
            <w:hideMark/>
          </w:tcPr>
          <w:p w:rsidR="00AD0167" w:rsidRPr="00AD0167" w:rsidRDefault="00AD0167" w:rsidP="00E3440B">
            <w:pPr>
              <w:rPr>
                <w:i/>
              </w:rPr>
            </w:pPr>
            <w:r w:rsidRPr="00AD0167">
              <w:rPr>
                <w:i/>
              </w:rPr>
              <w:t>CEHIA</w:t>
            </w:r>
          </w:p>
        </w:tc>
        <w:tc>
          <w:tcPr>
            <w:tcW w:w="1056" w:type="dxa"/>
            <w:tcBorders>
              <w:top w:val="nil"/>
              <w:left w:val="nil"/>
              <w:bottom w:val="single" w:sz="4" w:space="0" w:color="auto"/>
              <w:right w:val="single" w:sz="4" w:space="0" w:color="auto"/>
            </w:tcBorders>
            <w:shd w:val="clear" w:color="auto" w:fill="auto"/>
            <w:noWrap/>
            <w:vAlign w:val="center"/>
            <w:hideMark/>
          </w:tcPr>
          <w:p w:rsidR="00AD0167" w:rsidRPr="00AD0167" w:rsidRDefault="00AD0167" w:rsidP="00AD0167">
            <w:pPr>
              <w:jc w:val="center"/>
              <w:rPr>
                <w:i/>
              </w:rPr>
            </w:pPr>
            <w:r w:rsidRPr="00AD0167">
              <w:rPr>
                <w:i/>
              </w:rPr>
              <w:t>270746</w:t>
            </w:r>
          </w:p>
        </w:tc>
        <w:tc>
          <w:tcPr>
            <w:tcW w:w="1516" w:type="dxa"/>
            <w:tcBorders>
              <w:top w:val="nil"/>
              <w:left w:val="nil"/>
              <w:bottom w:val="single" w:sz="4" w:space="0" w:color="auto"/>
              <w:right w:val="single" w:sz="4" w:space="0" w:color="auto"/>
            </w:tcBorders>
            <w:shd w:val="clear" w:color="auto" w:fill="auto"/>
            <w:noWrap/>
            <w:vAlign w:val="center"/>
            <w:hideMark/>
          </w:tcPr>
          <w:p w:rsidR="00AD0167" w:rsidRPr="00AD0167" w:rsidRDefault="00AD0167" w:rsidP="00AD0167">
            <w:pPr>
              <w:jc w:val="center"/>
              <w:rPr>
                <w:i/>
              </w:rPr>
            </w:pPr>
            <w:r w:rsidRPr="00AD0167">
              <w:rPr>
                <w:i/>
              </w:rPr>
              <w:t>2,84</w:t>
            </w:r>
          </w:p>
        </w:tc>
        <w:tc>
          <w:tcPr>
            <w:tcW w:w="1901" w:type="dxa"/>
            <w:tcBorders>
              <w:top w:val="nil"/>
              <w:left w:val="nil"/>
              <w:bottom w:val="single" w:sz="4" w:space="0" w:color="auto"/>
              <w:right w:val="single" w:sz="4" w:space="0" w:color="auto"/>
            </w:tcBorders>
            <w:shd w:val="clear" w:color="auto" w:fill="auto"/>
            <w:vAlign w:val="bottom"/>
            <w:hideMark/>
          </w:tcPr>
          <w:p w:rsidR="00AD0167" w:rsidRPr="00AD0167" w:rsidRDefault="00AD0167" w:rsidP="00E3440B">
            <w:pPr>
              <w:rPr>
                <w:i/>
              </w:rPr>
            </w:pPr>
            <w:r w:rsidRPr="00AD0167">
              <w:rPr>
                <w:i/>
              </w:rPr>
              <w:t>BULGARIA</w:t>
            </w:r>
          </w:p>
        </w:tc>
        <w:tc>
          <w:tcPr>
            <w:tcW w:w="1056" w:type="dxa"/>
            <w:tcBorders>
              <w:top w:val="nil"/>
              <w:left w:val="nil"/>
              <w:bottom w:val="single" w:sz="4" w:space="0" w:color="auto"/>
              <w:right w:val="single" w:sz="4" w:space="0" w:color="auto"/>
            </w:tcBorders>
            <w:shd w:val="clear" w:color="auto" w:fill="auto"/>
            <w:vAlign w:val="bottom"/>
            <w:hideMark/>
          </w:tcPr>
          <w:p w:rsidR="00AD0167" w:rsidRPr="00AD0167" w:rsidRDefault="00AD0167" w:rsidP="00E3440B">
            <w:pPr>
              <w:jc w:val="right"/>
              <w:rPr>
                <w:i/>
              </w:rPr>
            </w:pPr>
            <w:r w:rsidRPr="00AD0167">
              <w:rPr>
                <w:i/>
              </w:rPr>
              <w:t>822095</w:t>
            </w:r>
          </w:p>
        </w:tc>
        <w:tc>
          <w:tcPr>
            <w:tcW w:w="1799" w:type="dxa"/>
            <w:tcBorders>
              <w:top w:val="nil"/>
              <w:left w:val="nil"/>
              <w:bottom w:val="single" w:sz="4" w:space="0" w:color="auto"/>
              <w:right w:val="single" w:sz="4" w:space="0" w:color="auto"/>
            </w:tcBorders>
            <w:shd w:val="clear" w:color="auto" w:fill="auto"/>
            <w:noWrap/>
            <w:vAlign w:val="center"/>
            <w:hideMark/>
          </w:tcPr>
          <w:p w:rsidR="00AD0167" w:rsidRPr="00AD0167" w:rsidRDefault="00AD0167" w:rsidP="00AD0167">
            <w:pPr>
              <w:jc w:val="center"/>
              <w:rPr>
                <w:i/>
              </w:rPr>
            </w:pPr>
            <w:r w:rsidRPr="00AD0167">
              <w:rPr>
                <w:i/>
              </w:rPr>
              <w:t>4,08</w:t>
            </w:r>
          </w:p>
        </w:tc>
      </w:tr>
    </w:tbl>
    <w:p w:rsidR="00E3440B" w:rsidRDefault="00E3440B" w:rsidP="00A77970">
      <w:pPr>
        <w:jc w:val="both"/>
        <w:rPr>
          <w:b/>
          <w:kern w:val="28"/>
          <w:lang w:val="en-US" w:eastAsia="en-US"/>
        </w:rPr>
      </w:pPr>
    </w:p>
    <w:p w:rsidR="00441822" w:rsidRDefault="00441822" w:rsidP="00A77970">
      <w:pPr>
        <w:jc w:val="both"/>
        <w:rPr>
          <w:b/>
          <w:lang w:val="en-US" w:eastAsia="en-US"/>
        </w:rPr>
      </w:pPr>
      <w:r>
        <w:rPr>
          <w:b/>
          <w:kern w:val="28"/>
          <w:lang w:val="en-US" w:eastAsia="en-US"/>
        </w:rPr>
        <w:t>P</w:t>
      </w:r>
      <w:r w:rsidRPr="001A0ECE">
        <w:rPr>
          <w:b/>
          <w:kern w:val="28"/>
          <w:lang w:val="en-US" w:eastAsia="en-US"/>
        </w:rPr>
        <w:t xml:space="preserve">rincipalele realizări </w:t>
      </w:r>
      <w:r>
        <w:rPr>
          <w:b/>
          <w:kern w:val="28"/>
          <w:lang w:val="en-US" w:eastAsia="en-US"/>
        </w:rPr>
        <w:t xml:space="preserve">ale </w:t>
      </w:r>
      <w:r w:rsidRPr="00FA23FF">
        <w:rPr>
          <w:b/>
          <w:lang w:val="en-US" w:eastAsia="en-US"/>
        </w:rPr>
        <w:t xml:space="preserve">Comisariatul Regional </w:t>
      </w:r>
      <w:r>
        <w:rPr>
          <w:b/>
          <w:lang w:val="en-US" w:eastAsia="en-US"/>
        </w:rPr>
        <w:t>p</w:t>
      </w:r>
      <w:r w:rsidRPr="00FA23FF">
        <w:rPr>
          <w:b/>
          <w:lang w:val="en-US" w:eastAsia="en-US"/>
        </w:rPr>
        <w:t xml:space="preserve">entru Protecţia Consumatorilor </w:t>
      </w:r>
      <w:r>
        <w:rPr>
          <w:b/>
          <w:lang w:val="en-US" w:eastAsia="en-US"/>
        </w:rPr>
        <w:t xml:space="preserve">- </w:t>
      </w:r>
      <w:r w:rsidRPr="00FA23FF">
        <w:rPr>
          <w:b/>
          <w:lang w:val="en-US" w:eastAsia="en-US"/>
        </w:rPr>
        <w:t>Regiunea Bucureşti-Ilfov</w:t>
      </w:r>
    </w:p>
    <w:p w:rsidR="00F13A9B" w:rsidRDefault="00F13A9B" w:rsidP="00A77970">
      <w:pPr>
        <w:jc w:val="center"/>
        <w:rPr>
          <w:b/>
          <w:lang w:val="en-US" w:eastAsia="en-US"/>
        </w:rPr>
      </w:pPr>
    </w:p>
    <w:p w:rsidR="00F13A9B" w:rsidRPr="00F13A9B" w:rsidRDefault="001066E3" w:rsidP="00A77970">
      <w:pPr>
        <w:jc w:val="both"/>
        <w:rPr>
          <w:lang w:val="en-US" w:eastAsia="en-US"/>
        </w:rPr>
      </w:pPr>
      <w:r>
        <w:rPr>
          <w:lang w:val="en-US" w:eastAsia="en-US"/>
        </w:rPr>
        <w:tab/>
      </w:r>
      <w:r w:rsidR="00F13A9B" w:rsidRPr="00F13A9B">
        <w:rPr>
          <w:lang w:val="en-US" w:eastAsia="en-US"/>
        </w:rPr>
        <w:t>Instituția a desfășurat acțiuni de control în 201</w:t>
      </w:r>
      <w:r w:rsidR="00E3440B">
        <w:rPr>
          <w:lang w:val="en-US" w:eastAsia="en-US"/>
        </w:rPr>
        <w:t>8</w:t>
      </w:r>
      <w:r w:rsidR="00F13A9B" w:rsidRPr="00F13A9B">
        <w:rPr>
          <w:lang w:val="en-US" w:eastAsia="en-US"/>
        </w:rPr>
        <w:t xml:space="preserve"> care au avut la bază, în principal, cele 31.</w:t>
      </w:r>
      <w:r w:rsidR="00E3440B">
        <w:rPr>
          <w:lang w:val="en-US" w:eastAsia="en-US"/>
        </w:rPr>
        <w:t>841</w:t>
      </w:r>
      <w:r w:rsidR="00F13A9B" w:rsidRPr="00F13A9B">
        <w:rPr>
          <w:lang w:val="en-US" w:eastAsia="en-US"/>
        </w:rPr>
        <w:t xml:space="preserve"> reclamații înregistrate de la consumatori, precum și ca urmare a tematicilor de control naționale, respectiv a tematicilor proprii. De asemenea, s-a procedat la efectuarea de controale cu alte instituții colaboratoare. </w:t>
      </w:r>
    </w:p>
    <w:p w:rsidR="00F13A9B" w:rsidRPr="00F13A9B" w:rsidRDefault="001066E3" w:rsidP="00A77970">
      <w:pPr>
        <w:jc w:val="both"/>
        <w:rPr>
          <w:lang w:val="en-US" w:eastAsia="en-US"/>
        </w:rPr>
      </w:pPr>
      <w:r>
        <w:rPr>
          <w:lang w:val="en-US" w:eastAsia="en-US"/>
        </w:rPr>
        <w:tab/>
      </w:r>
      <w:r w:rsidR="00221431">
        <w:rPr>
          <w:lang w:val="en-US" w:eastAsia="en-US"/>
        </w:rPr>
        <w:t xml:space="preserve">Au fost realizate 9.580 controale, </w:t>
      </w:r>
      <w:r w:rsidR="00F13A9B" w:rsidRPr="00F13A9B">
        <w:rPr>
          <w:lang w:val="en-US" w:eastAsia="en-US"/>
        </w:rPr>
        <w:t xml:space="preserve">aplicându-se amenzi în valoare totală de </w:t>
      </w:r>
      <w:r w:rsidR="00221431">
        <w:rPr>
          <w:lang w:val="en-US" w:eastAsia="en-US"/>
        </w:rPr>
        <w:t>12.315.000</w:t>
      </w:r>
      <w:r w:rsidR="00F13A9B" w:rsidRPr="00F13A9B">
        <w:rPr>
          <w:lang w:val="en-US" w:eastAsia="en-US"/>
        </w:rPr>
        <w:t xml:space="preserve"> lei</w:t>
      </w:r>
      <w:r>
        <w:rPr>
          <w:lang w:val="en-US" w:eastAsia="en-US"/>
        </w:rPr>
        <w:tab/>
      </w:r>
      <w:r>
        <w:rPr>
          <w:lang w:val="en-US" w:eastAsia="en-US"/>
        </w:rPr>
        <w:tab/>
      </w:r>
      <w:r w:rsidR="00F13A9B" w:rsidRPr="00F13A9B">
        <w:rPr>
          <w:lang w:val="en-US" w:eastAsia="en-US"/>
        </w:rPr>
        <w:t xml:space="preserve">De asememenea, un număr semnificativ de reclamații au vizat în principal următoarele aspecte:  </w:t>
      </w:r>
    </w:p>
    <w:p w:rsidR="00F13A9B" w:rsidRPr="00F13A9B" w:rsidRDefault="001066E3" w:rsidP="00A77970">
      <w:pPr>
        <w:jc w:val="both"/>
        <w:rPr>
          <w:lang w:val="en-US" w:eastAsia="en-US"/>
        </w:rPr>
      </w:pPr>
      <w:r>
        <w:rPr>
          <w:lang w:val="en-US" w:eastAsia="en-US"/>
        </w:rPr>
        <w:tab/>
      </w:r>
      <w:r w:rsidR="00F13A9B" w:rsidRPr="00F13A9B">
        <w:rPr>
          <w:lang w:val="en-US" w:eastAsia="en-US"/>
        </w:rPr>
        <w:t xml:space="preserve">-comercializarea produselor online; </w:t>
      </w:r>
    </w:p>
    <w:p w:rsidR="00F13A9B" w:rsidRPr="00F13A9B" w:rsidRDefault="001066E3" w:rsidP="00A77970">
      <w:pPr>
        <w:jc w:val="both"/>
        <w:rPr>
          <w:lang w:val="en-US" w:eastAsia="en-US"/>
        </w:rPr>
      </w:pPr>
      <w:r>
        <w:rPr>
          <w:lang w:val="en-US" w:eastAsia="en-US"/>
        </w:rPr>
        <w:tab/>
      </w:r>
      <w:r w:rsidR="00F13A9B" w:rsidRPr="00F13A9B">
        <w:rPr>
          <w:lang w:val="en-US" w:eastAsia="en-US"/>
        </w:rPr>
        <w:t xml:space="preserve">-nerespectarea termenului de livrare al produselor comandate; </w:t>
      </w:r>
    </w:p>
    <w:p w:rsidR="00F13A9B" w:rsidRPr="00F13A9B" w:rsidRDefault="001066E3" w:rsidP="00A77970">
      <w:pPr>
        <w:jc w:val="both"/>
        <w:rPr>
          <w:lang w:val="en-US" w:eastAsia="en-US"/>
        </w:rPr>
      </w:pPr>
      <w:r>
        <w:rPr>
          <w:lang w:val="en-US" w:eastAsia="en-US"/>
        </w:rPr>
        <w:tab/>
      </w:r>
      <w:r w:rsidR="00F13A9B" w:rsidRPr="00F13A9B">
        <w:rPr>
          <w:lang w:val="en-US" w:eastAsia="en-US"/>
        </w:rPr>
        <w:t xml:space="preserve">-nerespectarea drepturilor pasagerilor de către companiile aeriene; </w:t>
      </w:r>
    </w:p>
    <w:p w:rsidR="00F13A9B" w:rsidRPr="00F13A9B" w:rsidRDefault="001066E3" w:rsidP="00A77970">
      <w:pPr>
        <w:jc w:val="both"/>
        <w:rPr>
          <w:lang w:val="en-US" w:eastAsia="en-US"/>
        </w:rPr>
      </w:pPr>
      <w:r>
        <w:rPr>
          <w:lang w:val="en-US" w:eastAsia="en-US"/>
        </w:rPr>
        <w:tab/>
      </w:r>
      <w:r w:rsidR="00F13A9B" w:rsidRPr="00F13A9B">
        <w:rPr>
          <w:lang w:val="en-US" w:eastAsia="en-US"/>
        </w:rPr>
        <w:t xml:space="preserve">-neacordarea garanției la produsele achiziționate precum și scoaterea din garanție a produselor electronice în mod nejustificat; </w:t>
      </w:r>
    </w:p>
    <w:p w:rsidR="00F13A9B" w:rsidRPr="00F13A9B" w:rsidRDefault="001066E3" w:rsidP="00A77970">
      <w:pPr>
        <w:jc w:val="both"/>
        <w:rPr>
          <w:lang w:val="en-US" w:eastAsia="en-US"/>
        </w:rPr>
      </w:pPr>
      <w:r>
        <w:rPr>
          <w:lang w:val="en-US" w:eastAsia="en-US"/>
        </w:rPr>
        <w:tab/>
      </w:r>
      <w:r w:rsidR="00F13A9B" w:rsidRPr="00F13A9B">
        <w:rPr>
          <w:lang w:val="en-US" w:eastAsia="en-US"/>
        </w:rPr>
        <w:t xml:space="preserve">-comercializarea de produse neconforme; </w:t>
      </w:r>
    </w:p>
    <w:p w:rsidR="00F13A9B" w:rsidRPr="00F13A9B" w:rsidRDefault="001066E3" w:rsidP="00A77970">
      <w:pPr>
        <w:jc w:val="both"/>
        <w:rPr>
          <w:lang w:val="en-US" w:eastAsia="en-US"/>
        </w:rPr>
      </w:pPr>
      <w:r>
        <w:rPr>
          <w:lang w:val="en-US" w:eastAsia="en-US"/>
        </w:rPr>
        <w:tab/>
      </w:r>
      <w:r w:rsidR="00F13A9B" w:rsidRPr="00F13A9B">
        <w:rPr>
          <w:lang w:val="en-US" w:eastAsia="en-US"/>
        </w:rPr>
        <w:t xml:space="preserve">-nerespectare clauze contractuale. </w:t>
      </w:r>
    </w:p>
    <w:p w:rsidR="00F13A9B" w:rsidRPr="00F13A9B" w:rsidRDefault="001066E3" w:rsidP="00A77970">
      <w:pPr>
        <w:jc w:val="both"/>
        <w:rPr>
          <w:lang w:val="en-US" w:eastAsia="en-US"/>
        </w:rPr>
      </w:pPr>
      <w:r>
        <w:rPr>
          <w:lang w:val="en-US" w:eastAsia="en-US"/>
        </w:rPr>
        <w:lastRenderedPageBreak/>
        <w:tab/>
      </w:r>
      <w:r w:rsidR="00F13A9B" w:rsidRPr="00F13A9B">
        <w:rPr>
          <w:lang w:val="en-US" w:eastAsia="en-US"/>
        </w:rPr>
        <w:t>Majoritatea reclamațiilor au fost soluționate în favoarea consumatorilor, fiindu-le restituite atât bunuri cât și sume importante de bani, în valoa</w:t>
      </w:r>
      <w:r w:rsidR="00221431">
        <w:rPr>
          <w:lang w:val="en-US" w:eastAsia="en-US"/>
        </w:rPr>
        <w:t>re de aproximativ 940.971 euro</w:t>
      </w:r>
      <w:r w:rsidR="00F13A9B" w:rsidRPr="00F13A9B">
        <w:rPr>
          <w:lang w:val="en-US" w:eastAsia="en-US"/>
        </w:rPr>
        <w:t xml:space="preserve">. </w:t>
      </w:r>
    </w:p>
    <w:p w:rsidR="00F13A9B" w:rsidRPr="00F13A9B" w:rsidRDefault="001066E3" w:rsidP="00A77970">
      <w:pPr>
        <w:jc w:val="both"/>
        <w:rPr>
          <w:lang w:val="en-US" w:eastAsia="en-US"/>
        </w:rPr>
      </w:pPr>
      <w:r>
        <w:rPr>
          <w:lang w:val="en-US" w:eastAsia="en-US"/>
        </w:rPr>
        <w:tab/>
      </w:r>
      <w:r w:rsidR="00F13A9B" w:rsidRPr="00F13A9B">
        <w:rPr>
          <w:lang w:val="en-US" w:eastAsia="en-US"/>
        </w:rPr>
        <w:t>Controalele tematice sunt menite să asigure verificarea conformitătii produselor și serviciilor cu normele aplicabile din domeniul protecției consumatorilor, având că obiectiv constatarea unor cazuri frecvente de neconformitate, precum și pentru prevenirea comercializării unor produse și servicii sezoniere sau cu impact asupra securitătii și intereselor economice ale consumatorilor, actul de control fiind fie caracterizat de următoarele principii: legalitate, regularitate, egalitate de tratament, confidențialitate, profesionalism, integritate, obiectivitate și imparțialitate, consecvență și proporționalitate. Controlul va avea ca scop final obținerea de date și informații concludente, a căror analiză, prelucrare și interpretare să permită evaluarea corectă a nivelului de înțelegere, acceptare și respectare a legislației în vigoare de către o</w:t>
      </w:r>
      <w:r>
        <w:rPr>
          <w:lang w:val="en-US" w:eastAsia="en-US"/>
        </w:rPr>
        <w:t>peratorul economic controlat.</w:t>
      </w:r>
    </w:p>
    <w:p w:rsidR="00552412" w:rsidRDefault="00F13A9B" w:rsidP="00A77970">
      <w:pPr>
        <w:rPr>
          <w:lang w:val="en-US" w:eastAsia="en-US"/>
        </w:rPr>
      </w:pPr>
      <w:r w:rsidRPr="00F13A9B">
        <w:rPr>
          <w:lang w:val="en-US" w:eastAsia="en-US"/>
        </w:rPr>
        <w:t xml:space="preserve">  </w:t>
      </w:r>
    </w:p>
    <w:p w:rsidR="001066E3" w:rsidRPr="00552412" w:rsidRDefault="00552412" w:rsidP="00A77970">
      <w:pPr>
        <w:spacing w:after="200"/>
        <w:rPr>
          <w:lang w:val="en-US" w:eastAsia="en-US"/>
        </w:rPr>
      </w:pPr>
      <w:r>
        <w:rPr>
          <w:lang w:val="en-US" w:eastAsia="en-US"/>
        </w:rPr>
        <w:br w:type="page"/>
      </w:r>
    </w:p>
    <w:p w:rsidR="005C57E2" w:rsidRPr="00821BE1" w:rsidRDefault="005C57E2" w:rsidP="00A77970">
      <w:pPr>
        <w:pStyle w:val="ListParagraph"/>
        <w:numPr>
          <w:ilvl w:val="0"/>
          <w:numId w:val="1"/>
        </w:numPr>
        <w:ind w:left="0" w:firstLine="0"/>
        <w:jc w:val="center"/>
        <w:rPr>
          <w:b/>
          <w:sz w:val="28"/>
          <w:szCs w:val="28"/>
          <w:u w:val="single"/>
        </w:rPr>
      </w:pPr>
      <w:r w:rsidRPr="00821BE1">
        <w:rPr>
          <w:b/>
          <w:sz w:val="28"/>
          <w:szCs w:val="28"/>
          <w:u w:val="single"/>
        </w:rPr>
        <w:lastRenderedPageBreak/>
        <w:t>STAREA SOCIALĂ</w:t>
      </w:r>
    </w:p>
    <w:p w:rsidR="00BA3E8C" w:rsidRDefault="00BA3E8C" w:rsidP="00A77970">
      <w:pPr>
        <w:jc w:val="both"/>
      </w:pPr>
    </w:p>
    <w:p w:rsidR="001066E3" w:rsidRDefault="001066E3" w:rsidP="00A77970">
      <w:pPr>
        <w:jc w:val="both"/>
      </w:pPr>
    </w:p>
    <w:p w:rsidR="005C57E2" w:rsidRPr="006622BD" w:rsidRDefault="005C57E2" w:rsidP="00A77970">
      <w:pPr>
        <w:jc w:val="both"/>
        <w:rPr>
          <w:b/>
        </w:rPr>
      </w:pPr>
      <w:r w:rsidRPr="006622BD">
        <w:rPr>
          <w:b/>
        </w:rPr>
        <w:t>2.1.</w:t>
      </w:r>
      <w:r w:rsidRPr="006622BD">
        <w:rPr>
          <w:b/>
        </w:rPr>
        <w:tab/>
        <w:t>Starea de sănătate și educație a populației</w:t>
      </w:r>
    </w:p>
    <w:p w:rsidR="0094715F" w:rsidRDefault="0094715F" w:rsidP="00A77970">
      <w:pPr>
        <w:pStyle w:val="ListParagraph"/>
        <w:jc w:val="both"/>
      </w:pPr>
    </w:p>
    <w:p w:rsidR="005C57E2" w:rsidRDefault="005C57E2" w:rsidP="00A77970">
      <w:pPr>
        <w:pStyle w:val="ListParagraph"/>
        <w:numPr>
          <w:ilvl w:val="0"/>
          <w:numId w:val="4"/>
        </w:numPr>
        <w:jc w:val="both"/>
      </w:pPr>
      <w:r>
        <w:t>Sănătate</w:t>
      </w:r>
    </w:p>
    <w:p w:rsidR="007E3897" w:rsidRDefault="007E3897" w:rsidP="00A77970">
      <w:pPr>
        <w:jc w:val="both"/>
      </w:pPr>
    </w:p>
    <w:p w:rsidR="007E3897" w:rsidRPr="007E3897" w:rsidRDefault="00825379" w:rsidP="00A77970">
      <w:pPr>
        <w:jc w:val="both"/>
        <w:rPr>
          <w:kern w:val="28"/>
          <w:sz w:val="22"/>
          <w:szCs w:val="22"/>
          <w:lang w:eastAsia="en-US"/>
        </w:rPr>
      </w:pPr>
      <w:r>
        <w:rPr>
          <w:kern w:val="28"/>
          <w:sz w:val="22"/>
          <w:szCs w:val="22"/>
          <w:lang w:eastAsia="en-US"/>
        </w:rPr>
        <w:tab/>
      </w:r>
      <w:r w:rsidR="007E3897" w:rsidRPr="007E3897">
        <w:rPr>
          <w:kern w:val="28"/>
          <w:sz w:val="22"/>
          <w:szCs w:val="22"/>
          <w:lang w:eastAsia="en-US"/>
        </w:rPr>
        <w:t>Municipiul Bucureşti ocupă locul I în ierarhia naţională din punct de vedere al numărului de spitale şi policlinici, concent</w:t>
      </w:r>
      <w:r w:rsidR="00ED307E">
        <w:rPr>
          <w:kern w:val="28"/>
          <w:sz w:val="22"/>
          <w:szCs w:val="22"/>
          <w:lang w:eastAsia="en-US"/>
        </w:rPr>
        <w:t>rând aproape 16% din spitale şi</w:t>
      </w:r>
      <w:r w:rsidR="007E3897" w:rsidRPr="007E3897">
        <w:rPr>
          <w:kern w:val="28"/>
          <w:sz w:val="22"/>
          <w:szCs w:val="22"/>
          <w:lang w:eastAsia="en-US"/>
        </w:rPr>
        <w:t xml:space="preserve"> 54% din policlinici.</w:t>
      </w:r>
    </w:p>
    <w:p w:rsidR="00825379" w:rsidRDefault="00825379" w:rsidP="00A77970">
      <w:pPr>
        <w:outlineLvl w:val="1"/>
        <w:rPr>
          <w:b/>
          <w:kern w:val="28"/>
          <w:sz w:val="28"/>
          <w:szCs w:val="28"/>
          <w:lang w:eastAsia="en-US"/>
        </w:rPr>
      </w:pPr>
    </w:p>
    <w:p w:rsidR="007E3897" w:rsidRPr="00825379" w:rsidRDefault="00207B87" w:rsidP="00A77970">
      <w:pPr>
        <w:jc w:val="both"/>
        <w:outlineLvl w:val="1"/>
        <w:rPr>
          <w:b/>
          <w:kern w:val="28"/>
          <w:lang w:eastAsia="en-US"/>
        </w:rPr>
      </w:pPr>
      <w:r>
        <w:rPr>
          <w:b/>
          <w:kern w:val="28"/>
          <w:lang w:eastAsia="en-US"/>
        </w:rPr>
        <w:t>Evoluția u</w:t>
      </w:r>
      <w:r w:rsidR="007E3897" w:rsidRPr="00825379">
        <w:rPr>
          <w:b/>
          <w:kern w:val="28"/>
          <w:lang w:eastAsia="en-US"/>
        </w:rPr>
        <w:t>nităţi</w:t>
      </w:r>
      <w:r>
        <w:rPr>
          <w:b/>
          <w:kern w:val="28"/>
          <w:lang w:eastAsia="en-US"/>
        </w:rPr>
        <w:t>lor</w:t>
      </w:r>
      <w:r w:rsidR="007E3897" w:rsidRPr="00825379">
        <w:rPr>
          <w:b/>
          <w:kern w:val="28"/>
          <w:lang w:eastAsia="en-US"/>
        </w:rPr>
        <w:t xml:space="preserve"> sanitare pe categorii de unităţi şi forme de proprietate, la începutul </w:t>
      </w:r>
      <w:r>
        <w:rPr>
          <w:b/>
          <w:kern w:val="28"/>
          <w:lang w:eastAsia="en-US"/>
        </w:rPr>
        <w:t>fiecărui an, este prezentată în tabelul următor:</w:t>
      </w:r>
    </w:p>
    <w:p w:rsidR="007E3897" w:rsidRPr="007E3897" w:rsidRDefault="007E3897" w:rsidP="00A77970">
      <w:pPr>
        <w:jc w:val="right"/>
        <w:rPr>
          <w:kern w:val="28"/>
          <w:sz w:val="18"/>
          <w:szCs w:val="18"/>
          <w:lang w:eastAsia="en-US"/>
        </w:rPr>
      </w:pPr>
      <w:r w:rsidRPr="007E3897">
        <w:rPr>
          <w:kern w:val="28"/>
          <w:sz w:val="18"/>
          <w:szCs w:val="18"/>
          <w:lang w:eastAsia="en-US"/>
        </w:rPr>
        <w:t>- număr -</w:t>
      </w:r>
    </w:p>
    <w:tbl>
      <w:tblPr>
        <w:tblW w:w="10485" w:type="dxa"/>
        <w:jc w:val="center"/>
        <w:tblLook w:val="04A0"/>
      </w:tblPr>
      <w:tblGrid>
        <w:gridCol w:w="2836"/>
        <w:gridCol w:w="1913"/>
        <w:gridCol w:w="819"/>
        <w:gridCol w:w="819"/>
        <w:gridCol w:w="820"/>
        <w:gridCol w:w="819"/>
        <w:gridCol w:w="820"/>
        <w:gridCol w:w="819"/>
        <w:gridCol w:w="820"/>
      </w:tblGrid>
      <w:tr w:rsidR="007E3897" w:rsidRPr="007E3897" w:rsidTr="001066E3">
        <w:trPr>
          <w:trHeight w:val="456"/>
          <w:jc w:val="center"/>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3897" w:rsidRPr="007E3897" w:rsidRDefault="007E3897" w:rsidP="00A77970">
            <w:pPr>
              <w:jc w:val="center"/>
              <w:rPr>
                <w:b/>
                <w:bCs/>
                <w:color w:val="000000"/>
                <w:sz w:val="18"/>
                <w:szCs w:val="18"/>
              </w:rPr>
            </w:pPr>
            <w:r w:rsidRPr="007E3897">
              <w:rPr>
                <w:b/>
                <w:bCs/>
                <w:sz w:val="18"/>
                <w:szCs w:val="18"/>
                <w:lang w:val="en-US" w:eastAsia="en-US"/>
              </w:rPr>
              <w:t>Categorii de unitati sanitare</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rsidR="007E3897" w:rsidRPr="007E3897" w:rsidRDefault="007E3897" w:rsidP="00A77970">
            <w:pPr>
              <w:jc w:val="center"/>
              <w:rPr>
                <w:b/>
                <w:bCs/>
                <w:color w:val="000000"/>
                <w:sz w:val="18"/>
                <w:szCs w:val="18"/>
              </w:rPr>
            </w:pPr>
            <w:r w:rsidRPr="007E3897">
              <w:rPr>
                <w:b/>
                <w:bCs/>
                <w:color w:val="000000"/>
                <w:sz w:val="18"/>
                <w:szCs w:val="18"/>
              </w:rPr>
              <w:t>Forme de proprietate</w:t>
            </w:r>
          </w:p>
        </w:tc>
        <w:tc>
          <w:tcPr>
            <w:tcW w:w="819" w:type="dxa"/>
            <w:tcBorders>
              <w:top w:val="single" w:sz="4" w:space="0" w:color="auto"/>
              <w:left w:val="nil"/>
              <w:bottom w:val="single" w:sz="4" w:space="0" w:color="auto"/>
              <w:right w:val="single" w:sz="4" w:space="0" w:color="auto"/>
            </w:tcBorders>
            <w:shd w:val="clear" w:color="auto" w:fill="auto"/>
            <w:vAlign w:val="center"/>
            <w:hideMark/>
          </w:tcPr>
          <w:p w:rsidR="007E3897" w:rsidRPr="007E3897" w:rsidRDefault="007E3897" w:rsidP="00A77970">
            <w:pPr>
              <w:jc w:val="center"/>
              <w:rPr>
                <w:b/>
                <w:bCs/>
                <w:color w:val="000000"/>
                <w:sz w:val="18"/>
                <w:szCs w:val="18"/>
              </w:rPr>
            </w:pPr>
            <w:r w:rsidRPr="007E3897">
              <w:rPr>
                <w:b/>
                <w:bCs/>
                <w:color w:val="000000"/>
                <w:sz w:val="18"/>
                <w:szCs w:val="18"/>
              </w:rPr>
              <w:t>201</w:t>
            </w:r>
            <w:r w:rsidR="00463D1F">
              <w:rPr>
                <w:b/>
                <w:bCs/>
                <w:color w:val="000000"/>
                <w:sz w:val="18"/>
                <w:szCs w:val="18"/>
              </w:rPr>
              <w:t>2</w:t>
            </w:r>
          </w:p>
        </w:tc>
        <w:tc>
          <w:tcPr>
            <w:tcW w:w="819" w:type="dxa"/>
            <w:tcBorders>
              <w:top w:val="single" w:sz="4" w:space="0" w:color="auto"/>
              <w:left w:val="nil"/>
              <w:bottom w:val="single" w:sz="4" w:space="0" w:color="auto"/>
              <w:right w:val="single" w:sz="4" w:space="0" w:color="auto"/>
            </w:tcBorders>
            <w:shd w:val="clear" w:color="auto" w:fill="auto"/>
            <w:vAlign w:val="center"/>
            <w:hideMark/>
          </w:tcPr>
          <w:p w:rsidR="007E3897" w:rsidRPr="007E3897" w:rsidRDefault="007E3897" w:rsidP="00A77970">
            <w:pPr>
              <w:jc w:val="center"/>
              <w:rPr>
                <w:b/>
                <w:bCs/>
                <w:color w:val="000000"/>
                <w:sz w:val="18"/>
                <w:szCs w:val="18"/>
              </w:rPr>
            </w:pPr>
            <w:r w:rsidRPr="007E3897">
              <w:rPr>
                <w:b/>
                <w:bCs/>
                <w:color w:val="000000"/>
                <w:sz w:val="18"/>
                <w:szCs w:val="18"/>
              </w:rPr>
              <w:t>201</w:t>
            </w:r>
            <w:r w:rsidR="00463D1F">
              <w:rPr>
                <w:b/>
                <w:bCs/>
                <w:color w:val="000000"/>
                <w:sz w:val="18"/>
                <w:szCs w:val="18"/>
              </w:rPr>
              <w:t>3</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7E3897" w:rsidRPr="007E3897" w:rsidRDefault="007E3897" w:rsidP="00A77970">
            <w:pPr>
              <w:jc w:val="center"/>
              <w:rPr>
                <w:b/>
                <w:bCs/>
                <w:color w:val="000000"/>
                <w:sz w:val="18"/>
                <w:szCs w:val="18"/>
              </w:rPr>
            </w:pPr>
            <w:r w:rsidRPr="007E3897">
              <w:rPr>
                <w:b/>
                <w:bCs/>
                <w:color w:val="000000"/>
                <w:sz w:val="18"/>
                <w:szCs w:val="18"/>
              </w:rPr>
              <w:t>201</w:t>
            </w:r>
            <w:r w:rsidR="00463D1F">
              <w:rPr>
                <w:b/>
                <w:bCs/>
                <w:color w:val="000000"/>
                <w:sz w:val="18"/>
                <w:szCs w:val="18"/>
              </w:rPr>
              <w:t>4</w:t>
            </w:r>
          </w:p>
        </w:tc>
        <w:tc>
          <w:tcPr>
            <w:tcW w:w="819" w:type="dxa"/>
            <w:tcBorders>
              <w:top w:val="single" w:sz="4" w:space="0" w:color="auto"/>
              <w:left w:val="nil"/>
              <w:bottom w:val="single" w:sz="4" w:space="0" w:color="auto"/>
              <w:right w:val="single" w:sz="4" w:space="0" w:color="auto"/>
            </w:tcBorders>
            <w:shd w:val="clear" w:color="auto" w:fill="auto"/>
            <w:vAlign w:val="center"/>
            <w:hideMark/>
          </w:tcPr>
          <w:p w:rsidR="007E3897" w:rsidRPr="007E3897" w:rsidRDefault="007E3897" w:rsidP="00A77970">
            <w:pPr>
              <w:jc w:val="center"/>
              <w:rPr>
                <w:b/>
                <w:bCs/>
                <w:color w:val="000000"/>
                <w:sz w:val="18"/>
                <w:szCs w:val="18"/>
              </w:rPr>
            </w:pPr>
            <w:r w:rsidRPr="007E3897">
              <w:rPr>
                <w:b/>
                <w:bCs/>
                <w:color w:val="000000"/>
                <w:sz w:val="18"/>
                <w:szCs w:val="18"/>
              </w:rPr>
              <w:t>201</w:t>
            </w:r>
            <w:r w:rsidR="00463D1F">
              <w:rPr>
                <w:b/>
                <w:bCs/>
                <w:color w:val="000000"/>
                <w:sz w:val="18"/>
                <w:szCs w:val="18"/>
              </w:rPr>
              <w:t>5</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7E3897" w:rsidRPr="007E3897" w:rsidRDefault="007E3897" w:rsidP="00463D1F">
            <w:pPr>
              <w:jc w:val="center"/>
              <w:rPr>
                <w:b/>
                <w:bCs/>
                <w:color w:val="000000"/>
                <w:sz w:val="18"/>
                <w:szCs w:val="18"/>
              </w:rPr>
            </w:pPr>
            <w:r w:rsidRPr="007E3897">
              <w:rPr>
                <w:b/>
                <w:bCs/>
                <w:color w:val="000000"/>
                <w:sz w:val="18"/>
                <w:szCs w:val="18"/>
              </w:rPr>
              <w:t>201</w:t>
            </w:r>
            <w:r w:rsidR="00463D1F">
              <w:rPr>
                <w:b/>
                <w:bCs/>
                <w:color w:val="000000"/>
                <w:sz w:val="18"/>
                <w:szCs w:val="18"/>
              </w:rPr>
              <w:t>6</w:t>
            </w:r>
          </w:p>
        </w:tc>
        <w:tc>
          <w:tcPr>
            <w:tcW w:w="819" w:type="dxa"/>
            <w:tcBorders>
              <w:top w:val="single" w:sz="4" w:space="0" w:color="auto"/>
              <w:left w:val="nil"/>
              <w:bottom w:val="single" w:sz="4" w:space="0" w:color="auto"/>
              <w:right w:val="single" w:sz="4" w:space="0" w:color="auto"/>
            </w:tcBorders>
            <w:shd w:val="clear" w:color="auto" w:fill="auto"/>
            <w:vAlign w:val="center"/>
            <w:hideMark/>
          </w:tcPr>
          <w:p w:rsidR="007E3897" w:rsidRPr="007E3897" w:rsidRDefault="007E3897" w:rsidP="00463D1F">
            <w:pPr>
              <w:jc w:val="center"/>
              <w:rPr>
                <w:b/>
                <w:bCs/>
                <w:color w:val="000000"/>
                <w:sz w:val="18"/>
                <w:szCs w:val="18"/>
              </w:rPr>
            </w:pPr>
            <w:r w:rsidRPr="007E3897">
              <w:rPr>
                <w:b/>
                <w:bCs/>
                <w:color w:val="000000"/>
                <w:sz w:val="18"/>
                <w:szCs w:val="18"/>
              </w:rPr>
              <w:t>201</w:t>
            </w:r>
            <w:r w:rsidR="00463D1F">
              <w:rPr>
                <w:b/>
                <w:bCs/>
                <w:color w:val="000000"/>
                <w:sz w:val="18"/>
                <w:szCs w:val="18"/>
              </w:rPr>
              <w:t>7</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7E3897" w:rsidRPr="007E3897" w:rsidRDefault="007E3897" w:rsidP="00463D1F">
            <w:pPr>
              <w:jc w:val="center"/>
              <w:rPr>
                <w:b/>
                <w:bCs/>
                <w:color w:val="000000"/>
                <w:sz w:val="18"/>
                <w:szCs w:val="18"/>
              </w:rPr>
            </w:pPr>
            <w:r w:rsidRPr="007E3897">
              <w:rPr>
                <w:b/>
                <w:bCs/>
                <w:color w:val="000000"/>
                <w:sz w:val="18"/>
                <w:szCs w:val="18"/>
              </w:rPr>
              <w:t>201</w:t>
            </w:r>
            <w:r w:rsidR="00463D1F">
              <w:rPr>
                <w:b/>
                <w:bCs/>
                <w:color w:val="000000"/>
                <w:sz w:val="18"/>
                <w:szCs w:val="18"/>
              </w:rPr>
              <w:t>8</w:t>
            </w:r>
          </w:p>
        </w:tc>
      </w:tr>
      <w:tr w:rsidR="00463D1F" w:rsidRPr="007E3897" w:rsidTr="00825379">
        <w:trPr>
          <w:trHeight w:val="288"/>
          <w:jc w:val="center"/>
        </w:trPr>
        <w:tc>
          <w:tcPr>
            <w:tcW w:w="2836"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Spitale</w:t>
            </w: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Total</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b/>
                <w:sz w:val="18"/>
                <w:szCs w:val="18"/>
              </w:rPr>
            </w:pPr>
            <w:r w:rsidRPr="00577297">
              <w:rPr>
                <w:b/>
                <w:sz w:val="18"/>
                <w:szCs w:val="18"/>
              </w:rPr>
              <w:t>78</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b/>
                <w:sz w:val="18"/>
                <w:szCs w:val="18"/>
              </w:rPr>
            </w:pPr>
            <w:r w:rsidRPr="00577297">
              <w:rPr>
                <w:b/>
                <w:sz w:val="18"/>
                <w:szCs w:val="18"/>
              </w:rPr>
              <w:t>78</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b/>
                <w:sz w:val="18"/>
                <w:szCs w:val="18"/>
              </w:rPr>
            </w:pPr>
            <w:r w:rsidRPr="00577297">
              <w:rPr>
                <w:b/>
                <w:sz w:val="18"/>
                <w:szCs w:val="18"/>
              </w:rPr>
              <w:t>79</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b/>
                <w:sz w:val="18"/>
                <w:szCs w:val="18"/>
              </w:rPr>
            </w:pPr>
            <w:r w:rsidRPr="00577297">
              <w:rPr>
                <w:b/>
                <w:sz w:val="18"/>
                <w:szCs w:val="18"/>
              </w:rPr>
              <w:t>83</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b/>
                <w:sz w:val="18"/>
                <w:szCs w:val="18"/>
              </w:rPr>
            </w:pPr>
            <w:r w:rsidRPr="00577297">
              <w:rPr>
                <w:b/>
                <w:sz w:val="18"/>
                <w:szCs w:val="18"/>
              </w:rPr>
              <w:t>92</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b/>
                <w:sz w:val="18"/>
                <w:szCs w:val="18"/>
              </w:rPr>
            </w:pPr>
            <w:r w:rsidRPr="00577297">
              <w:rPr>
                <w:b/>
                <w:sz w:val="18"/>
                <w:szCs w:val="18"/>
              </w:rPr>
              <w:t>93</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b/>
                <w:sz w:val="18"/>
                <w:szCs w:val="18"/>
              </w:rPr>
            </w:pPr>
            <w:r w:rsidRPr="00577297">
              <w:rPr>
                <w:b/>
                <w:sz w:val="18"/>
                <w:szCs w:val="18"/>
              </w:rPr>
              <w:t>92</w:t>
            </w:r>
          </w:p>
        </w:tc>
      </w:tr>
      <w:tr w:rsidR="00463D1F" w:rsidRPr="007E3897" w:rsidTr="00825379">
        <w:trPr>
          <w:trHeight w:val="288"/>
          <w:jc w:val="center"/>
        </w:trPr>
        <w:tc>
          <w:tcPr>
            <w:tcW w:w="2836" w:type="dxa"/>
            <w:vMerge/>
            <w:tcBorders>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publică</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51</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50</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50</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50</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51</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50</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50</w:t>
            </w:r>
          </w:p>
        </w:tc>
      </w:tr>
      <w:tr w:rsidR="00463D1F" w:rsidRPr="007E3897" w:rsidTr="00825379">
        <w:trPr>
          <w:trHeight w:val="288"/>
          <w:jc w:val="center"/>
        </w:trPr>
        <w:tc>
          <w:tcPr>
            <w:tcW w:w="2836"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privată</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27</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28</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29</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33</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41</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43</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42</w:t>
            </w:r>
          </w:p>
        </w:tc>
      </w:tr>
      <w:tr w:rsidR="00463D1F" w:rsidRPr="007E3897" w:rsidTr="00825379">
        <w:trPr>
          <w:trHeight w:val="288"/>
          <w:jc w:val="center"/>
        </w:trPr>
        <w:tc>
          <w:tcPr>
            <w:tcW w:w="2836"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Ambulatorii de specialitate </w:t>
            </w: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Total</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19</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17</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22</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19</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17</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18</w:t>
            </w:r>
          </w:p>
        </w:tc>
      </w:tr>
      <w:tr w:rsidR="00463D1F" w:rsidRPr="007E3897" w:rsidTr="00825379">
        <w:trPr>
          <w:trHeight w:val="288"/>
          <w:jc w:val="center"/>
        </w:trPr>
        <w:tc>
          <w:tcPr>
            <w:tcW w:w="2836" w:type="dxa"/>
            <w:vMerge/>
            <w:tcBorders>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publică</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8</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9</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10</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8</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7</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8</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7</w:t>
            </w:r>
          </w:p>
        </w:tc>
      </w:tr>
      <w:tr w:rsidR="00463D1F" w:rsidRPr="007E3897" w:rsidTr="00825379">
        <w:trPr>
          <w:trHeight w:val="288"/>
          <w:jc w:val="center"/>
        </w:trPr>
        <w:tc>
          <w:tcPr>
            <w:tcW w:w="2836"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privată</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11</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8</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12</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10</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11</w:t>
            </w:r>
          </w:p>
        </w:tc>
      </w:tr>
      <w:tr w:rsidR="00463D1F" w:rsidRPr="007E3897" w:rsidTr="00825379">
        <w:trPr>
          <w:trHeight w:val="288"/>
          <w:jc w:val="center"/>
        </w:trPr>
        <w:tc>
          <w:tcPr>
            <w:tcW w:w="2836"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Ambulatorii integrate spitalului </w:t>
            </w: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Total</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43</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40</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44</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44</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42</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44</w:t>
            </w:r>
          </w:p>
        </w:tc>
      </w:tr>
      <w:tr w:rsidR="00463D1F" w:rsidRPr="007E3897" w:rsidTr="00825379">
        <w:trPr>
          <w:trHeight w:val="288"/>
          <w:jc w:val="center"/>
        </w:trPr>
        <w:tc>
          <w:tcPr>
            <w:tcW w:w="2836" w:type="dxa"/>
            <w:vMerge/>
            <w:tcBorders>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publică</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43</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40</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42</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43</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43</w:t>
            </w:r>
          </w:p>
        </w:tc>
      </w:tr>
      <w:tr w:rsidR="00463D1F" w:rsidRPr="007E3897" w:rsidTr="00825379">
        <w:trPr>
          <w:trHeight w:val="288"/>
          <w:jc w:val="center"/>
        </w:trPr>
        <w:tc>
          <w:tcPr>
            <w:tcW w:w="2836"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privată</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Pr>
                <w:sz w:val="18"/>
                <w:szCs w:val="18"/>
              </w:rPr>
              <w:t>...</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Pr>
                <w:sz w:val="18"/>
                <w:szCs w:val="18"/>
              </w:rPr>
              <w:t>...</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Pr>
                <w:sz w:val="18"/>
                <w:szCs w:val="18"/>
              </w:rPr>
              <w:t>...</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r>
      <w:tr w:rsidR="00463D1F" w:rsidRPr="007E3897" w:rsidTr="00825379">
        <w:trPr>
          <w:trHeight w:val="288"/>
          <w:jc w:val="center"/>
        </w:trPr>
        <w:tc>
          <w:tcPr>
            <w:tcW w:w="2836"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Policlinici </w:t>
            </w: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Total</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128</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146</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156</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160</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6</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6</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9</w:t>
            </w:r>
          </w:p>
        </w:tc>
      </w:tr>
      <w:tr w:rsidR="00463D1F" w:rsidRPr="007E3897" w:rsidTr="00825379">
        <w:trPr>
          <w:trHeight w:val="288"/>
          <w:jc w:val="center"/>
        </w:trPr>
        <w:tc>
          <w:tcPr>
            <w:tcW w:w="2836"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privată</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128</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146</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156</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160</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6</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6</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9</w:t>
            </w:r>
          </w:p>
        </w:tc>
      </w:tr>
      <w:tr w:rsidR="00463D1F" w:rsidRPr="007E3897" w:rsidTr="00825379">
        <w:trPr>
          <w:trHeight w:val="299"/>
          <w:jc w:val="center"/>
        </w:trPr>
        <w:tc>
          <w:tcPr>
            <w:tcW w:w="2836"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Dispensare medicale </w:t>
            </w: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Total</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6</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6</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6</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6</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6</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6</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6</w:t>
            </w:r>
          </w:p>
        </w:tc>
      </w:tr>
      <w:tr w:rsidR="00463D1F" w:rsidRPr="007E3897" w:rsidTr="00825379">
        <w:trPr>
          <w:trHeight w:val="288"/>
          <w:jc w:val="center"/>
        </w:trPr>
        <w:tc>
          <w:tcPr>
            <w:tcW w:w="2836"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publică</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6</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6</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6</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6</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6</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6</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6</w:t>
            </w:r>
          </w:p>
        </w:tc>
      </w:tr>
      <w:tr w:rsidR="00463D1F" w:rsidRPr="007E3897" w:rsidTr="00825379">
        <w:trPr>
          <w:trHeight w:val="288"/>
          <w:jc w:val="center"/>
        </w:trPr>
        <w:tc>
          <w:tcPr>
            <w:tcW w:w="2836"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Centre de sănătate </w:t>
            </w: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Total</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3</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r>
      <w:tr w:rsidR="00463D1F" w:rsidRPr="007E3897" w:rsidTr="00825379">
        <w:trPr>
          <w:trHeight w:val="288"/>
          <w:jc w:val="center"/>
        </w:trPr>
        <w:tc>
          <w:tcPr>
            <w:tcW w:w="2836" w:type="dxa"/>
            <w:vMerge/>
            <w:tcBorders>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publică</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r>
      <w:tr w:rsidR="00463D1F" w:rsidRPr="007E3897" w:rsidTr="00825379">
        <w:trPr>
          <w:trHeight w:val="288"/>
          <w:jc w:val="center"/>
        </w:trPr>
        <w:tc>
          <w:tcPr>
            <w:tcW w:w="2836"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privată</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Pr>
                <w:sz w:val="18"/>
                <w:szCs w:val="18"/>
              </w:rPr>
              <w:t>...</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Pr>
                <w:sz w:val="18"/>
                <w:szCs w:val="18"/>
              </w:rPr>
              <w:t>...</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Pr>
                <w:sz w:val="18"/>
                <w:szCs w:val="18"/>
              </w:rPr>
              <w:t>...</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Pr>
                <w:sz w:val="18"/>
                <w:szCs w:val="18"/>
              </w:rPr>
              <w:t>...</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Pr>
                <w:sz w:val="18"/>
                <w:szCs w:val="18"/>
              </w:rPr>
              <w:t>...</w:t>
            </w:r>
          </w:p>
        </w:tc>
      </w:tr>
      <w:tr w:rsidR="00463D1F" w:rsidRPr="007E3897" w:rsidTr="00825379">
        <w:trPr>
          <w:trHeight w:val="288"/>
          <w:jc w:val="center"/>
        </w:trPr>
        <w:tc>
          <w:tcPr>
            <w:tcW w:w="2836"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Centre de sănătate mintală </w:t>
            </w: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Total</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14</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7</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7</w:t>
            </w:r>
          </w:p>
        </w:tc>
      </w:tr>
      <w:tr w:rsidR="00463D1F" w:rsidRPr="007E3897" w:rsidTr="00825379">
        <w:trPr>
          <w:trHeight w:val="288"/>
          <w:jc w:val="center"/>
        </w:trPr>
        <w:tc>
          <w:tcPr>
            <w:tcW w:w="2836"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publică</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14</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7</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7</w:t>
            </w:r>
          </w:p>
        </w:tc>
      </w:tr>
      <w:tr w:rsidR="00463D1F" w:rsidRPr="007E3897" w:rsidTr="00825379">
        <w:trPr>
          <w:trHeight w:val="288"/>
          <w:jc w:val="center"/>
        </w:trPr>
        <w:tc>
          <w:tcPr>
            <w:tcW w:w="2836"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Unități medico-sociale </w:t>
            </w: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Total</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r>
      <w:tr w:rsidR="00463D1F" w:rsidRPr="007E3897" w:rsidTr="00825379">
        <w:trPr>
          <w:trHeight w:val="288"/>
          <w:jc w:val="center"/>
        </w:trPr>
        <w:tc>
          <w:tcPr>
            <w:tcW w:w="2836"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publică</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r>
      <w:tr w:rsidR="00463D1F" w:rsidRPr="007E3897" w:rsidTr="00825379">
        <w:trPr>
          <w:trHeight w:val="288"/>
          <w:jc w:val="center"/>
        </w:trPr>
        <w:tc>
          <w:tcPr>
            <w:tcW w:w="2836"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Centre de diagnostic și tratament </w:t>
            </w: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Total</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14</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15</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15</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8</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9</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6</w:t>
            </w:r>
          </w:p>
        </w:tc>
      </w:tr>
      <w:tr w:rsidR="00463D1F" w:rsidRPr="007E3897" w:rsidTr="00825379">
        <w:trPr>
          <w:trHeight w:val="288"/>
          <w:jc w:val="center"/>
        </w:trPr>
        <w:tc>
          <w:tcPr>
            <w:tcW w:w="2836" w:type="dxa"/>
            <w:vMerge/>
            <w:tcBorders>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publică</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5</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5</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5</w:t>
            </w:r>
          </w:p>
        </w:tc>
      </w:tr>
      <w:tr w:rsidR="00463D1F" w:rsidRPr="007E3897" w:rsidTr="00825379">
        <w:trPr>
          <w:trHeight w:val="288"/>
          <w:jc w:val="center"/>
        </w:trPr>
        <w:tc>
          <w:tcPr>
            <w:tcW w:w="2836"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privată</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9</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10</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11</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3</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r>
      <w:tr w:rsidR="00463D1F" w:rsidRPr="007E3897" w:rsidTr="00825379">
        <w:trPr>
          <w:trHeight w:val="288"/>
          <w:jc w:val="center"/>
        </w:trPr>
        <w:tc>
          <w:tcPr>
            <w:tcW w:w="2836"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Centre medicale de specialitate </w:t>
            </w: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Total</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104</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121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122</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430</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464</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489</w:t>
            </w:r>
          </w:p>
        </w:tc>
      </w:tr>
      <w:tr w:rsidR="00463D1F" w:rsidRPr="007E3897" w:rsidTr="00825379">
        <w:trPr>
          <w:trHeight w:val="288"/>
          <w:jc w:val="center"/>
        </w:trPr>
        <w:tc>
          <w:tcPr>
            <w:tcW w:w="2836" w:type="dxa"/>
            <w:vMerge/>
            <w:tcBorders>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publică</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Pr>
                <w:sz w:val="18"/>
                <w:szCs w:val="18"/>
              </w:rPr>
              <w:t>...</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Pr>
                <w:sz w:val="18"/>
                <w:szCs w:val="18"/>
              </w:rPr>
              <w:t>...</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Pr>
                <w:sz w:val="18"/>
                <w:szCs w:val="18"/>
              </w:rPr>
              <w:t>...</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r>
      <w:tr w:rsidR="00463D1F" w:rsidRPr="007E3897" w:rsidTr="00825379">
        <w:trPr>
          <w:trHeight w:val="288"/>
          <w:jc w:val="center"/>
        </w:trPr>
        <w:tc>
          <w:tcPr>
            <w:tcW w:w="2836"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privată</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104</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121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122</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130</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429</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463</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488</w:t>
            </w:r>
          </w:p>
        </w:tc>
      </w:tr>
      <w:tr w:rsidR="00463D1F" w:rsidRPr="007E3897" w:rsidTr="00825379">
        <w:trPr>
          <w:trHeight w:val="288"/>
          <w:jc w:val="center"/>
        </w:trPr>
        <w:tc>
          <w:tcPr>
            <w:tcW w:w="2836"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Cabinete medicale de medicină generală </w:t>
            </w: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Total</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r>
      <w:tr w:rsidR="00463D1F" w:rsidRPr="007E3897" w:rsidTr="00825379">
        <w:trPr>
          <w:trHeight w:val="288"/>
          <w:jc w:val="center"/>
        </w:trPr>
        <w:tc>
          <w:tcPr>
            <w:tcW w:w="2836"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publică</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r>
      <w:tr w:rsidR="00463D1F" w:rsidRPr="007E3897" w:rsidTr="00825379">
        <w:trPr>
          <w:trHeight w:val="288"/>
          <w:jc w:val="center"/>
        </w:trPr>
        <w:tc>
          <w:tcPr>
            <w:tcW w:w="2836"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Cabinete medicale școlare </w:t>
            </w: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Total</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132</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134</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134</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463</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457</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456</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456</w:t>
            </w:r>
          </w:p>
        </w:tc>
      </w:tr>
      <w:tr w:rsidR="00463D1F" w:rsidRPr="007E3897" w:rsidTr="00825379">
        <w:trPr>
          <w:trHeight w:val="288"/>
          <w:jc w:val="center"/>
        </w:trPr>
        <w:tc>
          <w:tcPr>
            <w:tcW w:w="2836"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publică</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132</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134</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134</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463</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457</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456</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456</w:t>
            </w:r>
          </w:p>
        </w:tc>
      </w:tr>
      <w:tr w:rsidR="00463D1F" w:rsidRPr="007E3897" w:rsidTr="00825379">
        <w:trPr>
          <w:trHeight w:val="288"/>
          <w:jc w:val="center"/>
        </w:trPr>
        <w:tc>
          <w:tcPr>
            <w:tcW w:w="2836"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Cabinete medicale studențești </w:t>
            </w: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Total</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10</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10</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10</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19</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19</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10</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10</w:t>
            </w:r>
          </w:p>
        </w:tc>
      </w:tr>
      <w:tr w:rsidR="00463D1F" w:rsidRPr="007E3897" w:rsidTr="00825379">
        <w:trPr>
          <w:trHeight w:val="288"/>
          <w:jc w:val="center"/>
        </w:trPr>
        <w:tc>
          <w:tcPr>
            <w:tcW w:w="2836"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publică</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10</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10</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10</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19</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19</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10</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10</w:t>
            </w:r>
          </w:p>
        </w:tc>
      </w:tr>
      <w:tr w:rsidR="00463D1F" w:rsidRPr="007E3897" w:rsidTr="00825379">
        <w:trPr>
          <w:trHeight w:val="288"/>
          <w:jc w:val="center"/>
        </w:trPr>
        <w:tc>
          <w:tcPr>
            <w:tcW w:w="2836"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lastRenderedPageBreak/>
              <w:t>Cabinete medicale de familie </w:t>
            </w: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Total</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1116</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1117</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1142</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1162</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1355</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1372</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1383</w:t>
            </w:r>
          </w:p>
        </w:tc>
      </w:tr>
      <w:tr w:rsidR="00463D1F" w:rsidRPr="007E3897" w:rsidTr="00825379">
        <w:trPr>
          <w:trHeight w:val="288"/>
          <w:jc w:val="center"/>
        </w:trPr>
        <w:tc>
          <w:tcPr>
            <w:tcW w:w="2836" w:type="dxa"/>
            <w:vMerge/>
            <w:tcBorders>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publică</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650</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649</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646</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647</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w:t>
            </w:r>
          </w:p>
        </w:tc>
      </w:tr>
      <w:tr w:rsidR="00463D1F" w:rsidRPr="007E3897" w:rsidTr="00825379">
        <w:trPr>
          <w:trHeight w:val="288"/>
          <w:jc w:val="center"/>
        </w:trPr>
        <w:tc>
          <w:tcPr>
            <w:tcW w:w="2836"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privată</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466</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468</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496</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515</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1353</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1370</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1381</w:t>
            </w:r>
          </w:p>
        </w:tc>
      </w:tr>
      <w:tr w:rsidR="00463D1F" w:rsidRPr="007E3897" w:rsidTr="00825379">
        <w:trPr>
          <w:trHeight w:val="288"/>
          <w:jc w:val="center"/>
        </w:trPr>
        <w:tc>
          <w:tcPr>
            <w:tcW w:w="2836"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Societate medicală civilă </w:t>
            </w: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Total</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3</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r>
      <w:tr w:rsidR="00463D1F" w:rsidRPr="007E3897" w:rsidTr="00825379">
        <w:trPr>
          <w:trHeight w:val="288"/>
          <w:jc w:val="center"/>
        </w:trPr>
        <w:tc>
          <w:tcPr>
            <w:tcW w:w="2836" w:type="dxa"/>
            <w:vMerge/>
            <w:tcBorders>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publică</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3</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Pr>
                <w:sz w:val="18"/>
                <w:szCs w:val="18"/>
              </w:rPr>
              <w:t>...</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Pr>
                <w:sz w:val="18"/>
                <w:szCs w:val="18"/>
              </w:rPr>
              <w:t>...</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Pr>
                <w:sz w:val="18"/>
                <w:szCs w:val="18"/>
              </w:rPr>
              <w:t>...</w:t>
            </w:r>
          </w:p>
        </w:tc>
      </w:tr>
      <w:tr w:rsidR="00463D1F" w:rsidRPr="007E3897" w:rsidTr="00825379">
        <w:trPr>
          <w:trHeight w:val="288"/>
          <w:jc w:val="center"/>
        </w:trPr>
        <w:tc>
          <w:tcPr>
            <w:tcW w:w="2836"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privată</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Pr>
                <w:sz w:val="18"/>
                <w:szCs w:val="18"/>
              </w:rPr>
              <w:t>...</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Pr>
                <w:sz w:val="18"/>
                <w:szCs w:val="18"/>
              </w:rPr>
              <w:t>...</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Pr>
                <w:sz w:val="18"/>
                <w:szCs w:val="18"/>
              </w:rPr>
              <w:t>...</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Pr>
                <w:sz w:val="18"/>
                <w:szCs w:val="18"/>
              </w:rPr>
              <w:t>...</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w:t>
            </w:r>
          </w:p>
        </w:tc>
      </w:tr>
      <w:tr w:rsidR="00463D1F" w:rsidRPr="007E3897" w:rsidTr="00825379">
        <w:trPr>
          <w:trHeight w:val="288"/>
          <w:jc w:val="center"/>
        </w:trPr>
        <w:tc>
          <w:tcPr>
            <w:tcW w:w="2836"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Cabinete stomatologice </w:t>
            </w: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Total</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2322</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2376</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2468</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2588</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2896</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2975</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3029</w:t>
            </w:r>
          </w:p>
        </w:tc>
      </w:tr>
      <w:tr w:rsidR="00463D1F" w:rsidRPr="007E3897" w:rsidTr="00825379">
        <w:trPr>
          <w:trHeight w:val="288"/>
          <w:jc w:val="center"/>
        </w:trPr>
        <w:tc>
          <w:tcPr>
            <w:tcW w:w="2836" w:type="dxa"/>
            <w:vMerge/>
            <w:tcBorders>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publică</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323</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313</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316</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310</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w:t>
            </w:r>
          </w:p>
        </w:tc>
      </w:tr>
      <w:tr w:rsidR="00463D1F" w:rsidRPr="007E3897" w:rsidTr="00825379">
        <w:trPr>
          <w:trHeight w:val="288"/>
          <w:jc w:val="center"/>
        </w:trPr>
        <w:tc>
          <w:tcPr>
            <w:tcW w:w="2836"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privată</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1999</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2063</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2152</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2278</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2894</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2973</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3027</w:t>
            </w:r>
          </w:p>
        </w:tc>
      </w:tr>
      <w:tr w:rsidR="00463D1F" w:rsidRPr="007E3897" w:rsidTr="00825379">
        <w:trPr>
          <w:trHeight w:val="288"/>
          <w:jc w:val="center"/>
        </w:trPr>
        <w:tc>
          <w:tcPr>
            <w:tcW w:w="2836"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Cabinete stomatologice școlare </w:t>
            </w: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Total</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135</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136</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136</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136</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131</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131</w:t>
            </w:r>
          </w:p>
        </w:tc>
      </w:tr>
      <w:tr w:rsidR="00463D1F" w:rsidRPr="007E3897" w:rsidTr="00825379">
        <w:trPr>
          <w:trHeight w:val="288"/>
          <w:jc w:val="center"/>
        </w:trPr>
        <w:tc>
          <w:tcPr>
            <w:tcW w:w="2836"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publică</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135</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136</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136</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136</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131</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131</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131</w:t>
            </w:r>
          </w:p>
        </w:tc>
      </w:tr>
      <w:tr w:rsidR="00463D1F" w:rsidRPr="007E3897" w:rsidTr="00825379">
        <w:trPr>
          <w:trHeight w:val="492"/>
          <w:jc w:val="center"/>
        </w:trPr>
        <w:tc>
          <w:tcPr>
            <w:tcW w:w="2836"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Cabinete stomatologice studențești </w:t>
            </w: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Total</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8</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8</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8</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22</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21</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14</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14</w:t>
            </w:r>
          </w:p>
        </w:tc>
      </w:tr>
      <w:tr w:rsidR="00463D1F" w:rsidRPr="007E3897" w:rsidTr="00825379">
        <w:trPr>
          <w:trHeight w:val="288"/>
          <w:jc w:val="center"/>
        </w:trPr>
        <w:tc>
          <w:tcPr>
            <w:tcW w:w="2836"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publică</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8</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8</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8</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22</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21</w:t>
            </w:r>
          </w:p>
        </w:tc>
        <w:tc>
          <w:tcPr>
            <w:tcW w:w="819"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14</w:t>
            </w:r>
          </w:p>
        </w:tc>
        <w:tc>
          <w:tcPr>
            <w:tcW w:w="820" w:type="dxa"/>
            <w:tcBorders>
              <w:top w:val="nil"/>
              <w:left w:val="nil"/>
              <w:bottom w:val="single" w:sz="4" w:space="0" w:color="auto"/>
              <w:right w:val="single" w:sz="4" w:space="0" w:color="auto"/>
            </w:tcBorders>
            <w:shd w:val="clear" w:color="auto" w:fill="auto"/>
            <w:vAlign w:val="bottom"/>
            <w:hideMark/>
          </w:tcPr>
          <w:p w:rsidR="00463D1F" w:rsidRPr="00577297" w:rsidRDefault="00463D1F" w:rsidP="00565C64">
            <w:pPr>
              <w:jc w:val="right"/>
              <w:rPr>
                <w:sz w:val="18"/>
                <w:szCs w:val="18"/>
              </w:rPr>
            </w:pPr>
            <w:r w:rsidRPr="00577297">
              <w:rPr>
                <w:sz w:val="18"/>
                <w:szCs w:val="18"/>
              </w:rPr>
              <w:t>14</w:t>
            </w:r>
          </w:p>
        </w:tc>
      </w:tr>
      <w:tr w:rsidR="00463D1F" w:rsidRPr="007E3897" w:rsidTr="00825379">
        <w:trPr>
          <w:trHeight w:val="480"/>
          <w:jc w:val="center"/>
        </w:trPr>
        <w:tc>
          <w:tcPr>
            <w:tcW w:w="2836"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Societate stomatologică civilă medicală</w:t>
            </w: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Total</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18</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18</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17</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16</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3</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3</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3</w:t>
            </w:r>
          </w:p>
        </w:tc>
      </w:tr>
      <w:tr w:rsidR="00463D1F" w:rsidRPr="007E3897" w:rsidTr="00825379">
        <w:trPr>
          <w:trHeight w:val="288"/>
          <w:jc w:val="center"/>
        </w:trPr>
        <w:tc>
          <w:tcPr>
            <w:tcW w:w="2836" w:type="dxa"/>
            <w:vMerge/>
            <w:tcBorders>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publică</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Pr>
                <w:sz w:val="18"/>
                <w:szCs w:val="18"/>
              </w:rPr>
              <w:t>...</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Pr>
                <w:sz w:val="18"/>
                <w:szCs w:val="18"/>
              </w:rPr>
              <w:t>...</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Pr>
                <w:sz w:val="18"/>
                <w:szCs w:val="18"/>
              </w:rPr>
              <w:t>...</w:t>
            </w:r>
          </w:p>
        </w:tc>
      </w:tr>
      <w:tr w:rsidR="00463D1F" w:rsidRPr="007E3897" w:rsidTr="00825379">
        <w:trPr>
          <w:trHeight w:val="288"/>
          <w:jc w:val="center"/>
        </w:trPr>
        <w:tc>
          <w:tcPr>
            <w:tcW w:w="2836"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privată</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17</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17</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16</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15</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3</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3</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3</w:t>
            </w:r>
          </w:p>
        </w:tc>
      </w:tr>
      <w:tr w:rsidR="00463D1F" w:rsidRPr="007E3897" w:rsidTr="00825379">
        <w:trPr>
          <w:trHeight w:val="288"/>
          <w:jc w:val="center"/>
        </w:trPr>
        <w:tc>
          <w:tcPr>
            <w:tcW w:w="2836"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Cabinete medicale de specialitate </w:t>
            </w: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Total</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1492</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1555</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1637</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1675</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1515</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1594</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1654</w:t>
            </w:r>
          </w:p>
        </w:tc>
      </w:tr>
      <w:tr w:rsidR="00463D1F" w:rsidRPr="007E3897" w:rsidTr="00825379">
        <w:trPr>
          <w:trHeight w:val="288"/>
          <w:jc w:val="center"/>
        </w:trPr>
        <w:tc>
          <w:tcPr>
            <w:tcW w:w="2836" w:type="dxa"/>
            <w:vMerge/>
            <w:tcBorders>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publică</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351</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357</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346</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360</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Pr>
                <w:sz w:val="18"/>
                <w:szCs w:val="18"/>
              </w:rPr>
              <w:t>...</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Pr>
                <w:sz w:val="18"/>
                <w:szCs w:val="18"/>
              </w:rPr>
              <w:t>...</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Pr>
                <w:sz w:val="18"/>
                <w:szCs w:val="18"/>
              </w:rPr>
              <w:t>...</w:t>
            </w:r>
          </w:p>
        </w:tc>
      </w:tr>
      <w:tr w:rsidR="00463D1F" w:rsidRPr="007E3897" w:rsidTr="00825379">
        <w:trPr>
          <w:trHeight w:val="288"/>
          <w:jc w:val="center"/>
        </w:trPr>
        <w:tc>
          <w:tcPr>
            <w:tcW w:w="2836"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privată</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1141</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1198</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1291</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1315</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1515</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1594</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1654</w:t>
            </w:r>
          </w:p>
        </w:tc>
      </w:tr>
      <w:tr w:rsidR="00463D1F" w:rsidRPr="007E3897" w:rsidTr="00825379">
        <w:trPr>
          <w:trHeight w:val="504"/>
          <w:jc w:val="center"/>
        </w:trPr>
        <w:tc>
          <w:tcPr>
            <w:tcW w:w="2836"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Societate civilă medicală de specialitate </w:t>
            </w: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Total</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28</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27</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25</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23</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9</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9</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7</w:t>
            </w:r>
          </w:p>
        </w:tc>
      </w:tr>
      <w:tr w:rsidR="00463D1F" w:rsidRPr="007E3897" w:rsidTr="00825379">
        <w:trPr>
          <w:trHeight w:val="288"/>
          <w:jc w:val="center"/>
        </w:trPr>
        <w:tc>
          <w:tcPr>
            <w:tcW w:w="2836" w:type="dxa"/>
            <w:vMerge/>
            <w:tcBorders>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publică</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10</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10</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10</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9</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Pr>
                <w:sz w:val="18"/>
                <w:szCs w:val="18"/>
              </w:rPr>
              <w:t>...</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Pr>
                <w:sz w:val="18"/>
                <w:szCs w:val="18"/>
              </w:rPr>
              <w:t>...</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Pr>
                <w:sz w:val="18"/>
                <w:szCs w:val="18"/>
              </w:rPr>
              <w:t>...</w:t>
            </w:r>
          </w:p>
        </w:tc>
      </w:tr>
      <w:tr w:rsidR="00463D1F" w:rsidRPr="007E3897" w:rsidTr="00825379">
        <w:trPr>
          <w:trHeight w:val="288"/>
          <w:jc w:val="center"/>
        </w:trPr>
        <w:tc>
          <w:tcPr>
            <w:tcW w:w="2836"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privată</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18</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17</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15</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14</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9</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9</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7</w:t>
            </w:r>
          </w:p>
        </w:tc>
      </w:tr>
      <w:tr w:rsidR="00463D1F" w:rsidRPr="007E3897" w:rsidTr="00825379">
        <w:trPr>
          <w:trHeight w:val="288"/>
          <w:jc w:val="center"/>
        </w:trPr>
        <w:tc>
          <w:tcPr>
            <w:tcW w:w="2836"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Farmacii </w:t>
            </w: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Total</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1045</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1074</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1082</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1085</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972</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970</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969</w:t>
            </w:r>
          </w:p>
        </w:tc>
      </w:tr>
      <w:tr w:rsidR="00463D1F" w:rsidRPr="007E3897" w:rsidTr="00825379">
        <w:trPr>
          <w:trHeight w:val="288"/>
          <w:jc w:val="center"/>
        </w:trPr>
        <w:tc>
          <w:tcPr>
            <w:tcW w:w="2836" w:type="dxa"/>
            <w:vMerge/>
            <w:tcBorders>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publică</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52</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54</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57</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58</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60</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59</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59</w:t>
            </w:r>
          </w:p>
        </w:tc>
      </w:tr>
      <w:tr w:rsidR="00463D1F" w:rsidRPr="007E3897" w:rsidTr="00825379">
        <w:trPr>
          <w:trHeight w:val="288"/>
          <w:jc w:val="center"/>
        </w:trPr>
        <w:tc>
          <w:tcPr>
            <w:tcW w:w="2836"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privată</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993</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1020</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1025</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1027</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912</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911</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910</w:t>
            </w:r>
          </w:p>
        </w:tc>
      </w:tr>
      <w:tr w:rsidR="00463D1F" w:rsidRPr="007E3897" w:rsidTr="00825379">
        <w:trPr>
          <w:trHeight w:val="288"/>
          <w:jc w:val="center"/>
        </w:trPr>
        <w:tc>
          <w:tcPr>
            <w:tcW w:w="2836"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Puncte farmaceutice </w:t>
            </w: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Total</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255</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Pr>
                <w:sz w:val="18"/>
                <w:szCs w:val="18"/>
              </w:rPr>
              <w:t>...</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Pr>
                <w:sz w:val="18"/>
                <w:szCs w:val="18"/>
              </w:rPr>
              <w:t>...</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w:t>
            </w:r>
          </w:p>
        </w:tc>
      </w:tr>
      <w:tr w:rsidR="00463D1F" w:rsidRPr="007E3897" w:rsidTr="00825379">
        <w:trPr>
          <w:trHeight w:val="288"/>
          <w:jc w:val="center"/>
        </w:trPr>
        <w:tc>
          <w:tcPr>
            <w:tcW w:w="2836" w:type="dxa"/>
            <w:vMerge/>
            <w:tcBorders>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publică</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Pr>
                <w:sz w:val="18"/>
                <w:szCs w:val="18"/>
              </w:rPr>
              <w:t>...</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Pr>
                <w:sz w:val="18"/>
                <w:szCs w:val="18"/>
              </w:rPr>
              <w:t>...</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w:t>
            </w:r>
          </w:p>
        </w:tc>
      </w:tr>
      <w:tr w:rsidR="00463D1F" w:rsidRPr="007E3897" w:rsidTr="00825379">
        <w:trPr>
          <w:trHeight w:val="288"/>
          <w:jc w:val="center"/>
        </w:trPr>
        <w:tc>
          <w:tcPr>
            <w:tcW w:w="2836"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privată</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254</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Pr>
                <w:sz w:val="18"/>
                <w:szCs w:val="18"/>
              </w:rPr>
              <w:t>...</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Pr>
                <w:sz w:val="18"/>
                <w:szCs w:val="18"/>
              </w:rPr>
              <w:t>...</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Pr>
                <w:sz w:val="18"/>
                <w:szCs w:val="18"/>
              </w:rPr>
              <w:t>...</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Pr>
                <w:sz w:val="18"/>
                <w:szCs w:val="18"/>
              </w:rPr>
              <w:t>...</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Pr>
                <w:sz w:val="18"/>
                <w:szCs w:val="18"/>
              </w:rPr>
              <w:t>...</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Pr>
                <w:sz w:val="18"/>
                <w:szCs w:val="18"/>
              </w:rPr>
              <w:t>...</w:t>
            </w:r>
          </w:p>
        </w:tc>
      </w:tr>
      <w:tr w:rsidR="00463D1F" w:rsidRPr="007E3897" w:rsidTr="00825379">
        <w:trPr>
          <w:trHeight w:val="288"/>
          <w:jc w:val="center"/>
        </w:trPr>
        <w:tc>
          <w:tcPr>
            <w:tcW w:w="2836"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Depozite farmaceutice</w:t>
            </w: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Total</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25</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33</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29</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28</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28</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29</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29</w:t>
            </w:r>
          </w:p>
        </w:tc>
      </w:tr>
      <w:tr w:rsidR="00463D1F" w:rsidRPr="007E3897" w:rsidTr="00825379">
        <w:trPr>
          <w:trHeight w:val="288"/>
          <w:jc w:val="center"/>
        </w:trPr>
        <w:tc>
          <w:tcPr>
            <w:tcW w:w="2836" w:type="dxa"/>
            <w:vMerge/>
            <w:tcBorders>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publică</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w:t>
            </w:r>
          </w:p>
        </w:tc>
      </w:tr>
      <w:tr w:rsidR="00463D1F" w:rsidRPr="007E3897" w:rsidTr="00825379">
        <w:trPr>
          <w:trHeight w:val="288"/>
          <w:jc w:val="center"/>
        </w:trPr>
        <w:tc>
          <w:tcPr>
            <w:tcW w:w="2836"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privată</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24</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32</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28</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27</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27</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27</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27</w:t>
            </w:r>
          </w:p>
        </w:tc>
      </w:tr>
      <w:tr w:rsidR="00463D1F" w:rsidRPr="007E3897" w:rsidTr="00825379">
        <w:trPr>
          <w:trHeight w:val="288"/>
          <w:jc w:val="center"/>
        </w:trPr>
        <w:tc>
          <w:tcPr>
            <w:tcW w:w="2836"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Creșe </w:t>
            </w: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Total</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23</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25</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41</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Pr>
                <w:sz w:val="18"/>
                <w:szCs w:val="18"/>
              </w:rPr>
              <w:t>...</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Pr>
                <w:sz w:val="18"/>
                <w:szCs w:val="18"/>
              </w:rPr>
              <w:t>...</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Pr>
                <w:sz w:val="18"/>
                <w:szCs w:val="18"/>
              </w:rPr>
              <w:t>...</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Pr>
                <w:sz w:val="18"/>
                <w:szCs w:val="18"/>
              </w:rPr>
              <w:t>...</w:t>
            </w:r>
          </w:p>
        </w:tc>
      </w:tr>
      <w:tr w:rsidR="00463D1F" w:rsidRPr="007E3897" w:rsidTr="00825379">
        <w:trPr>
          <w:trHeight w:val="288"/>
          <w:jc w:val="center"/>
        </w:trPr>
        <w:tc>
          <w:tcPr>
            <w:tcW w:w="2836" w:type="dxa"/>
            <w:vMerge/>
            <w:tcBorders>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publică</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19</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21</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35</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Pr>
                <w:sz w:val="18"/>
                <w:szCs w:val="18"/>
              </w:rPr>
              <w:t>...</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Pr>
                <w:sz w:val="18"/>
                <w:szCs w:val="18"/>
              </w:rPr>
              <w:t>...</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Pr>
                <w:sz w:val="18"/>
                <w:szCs w:val="18"/>
              </w:rPr>
              <w:t>...</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Pr>
                <w:sz w:val="18"/>
                <w:szCs w:val="18"/>
              </w:rPr>
              <w:t>...</w:t>
            </w:r>
          </w:p>
        </w:tc>
      </w:tr>
      <w:tr w:rsidR="00463D1F" w:rsidRPr="007E3897" w:rsidTr="00825379">
        <w:trPr>
          <w:trHeight w:val="288"/>
          <w:jc w:val="center"/>
        </w:trPr>
        <w:tc>
          <w:tcPr>
            <w:tcW w:w="2836"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privată</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4</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4</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6</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Pr>
                <w:sz w:val="18"/>
                <w:szCs w:val="18"/>
              </w:rPr>
              <w:t>...</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Pr>
                <w:sz w:val="18"/>
                <w:szCs w:val="18"/>
              </w:rPr>
              <w:t>...</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Pr>
                <w:sz w:val="18"/>
                <w:szCs w:val="18"/>
              </w:rPr>
              <w:t>...</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Pr>
                <w:sz w:val="18"/>
                <w:szCs w:val="18"/>
              </w:rPr>
              <w:t>...</w:t>
            </w:r>
          </w:p>
        </w:tc>
      </w:tr>
      <w:tr w:rsidR="00463D1F" w:rsidRPr="007E3897" w:rsidTr="00825379">
        <w:trPr>
          <w:trHeight w:val="288"/>
          <w:jc w:val="center"/>
        </w:trPr>
        <w:tc>
          <w:tcPr>
            <w:tcW w:w="2836"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Laboratoare medicale </w:t>
            </w: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Total</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500</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536</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492</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523</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874</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892</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892</w:t>
            </w:r>
          </w:p>
        </w:tc>
      </w:tr>
      <w:tr w:rsidR="00463D1F" w:rsidRPr="007E3897" w:rsidTr="00825379">
        <w:trPr>
          <w:trHeight w:val="288"/>
          <w:jc w:val="center"/>
        </w:trPr>
        <w:tc>
          <w:tcPr>
            <w:tcW w:w="2836" w:type="dxa"/>
            <w:vMerge/>
            <w:tcBorders>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publică</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385</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414</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370</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387</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376</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372</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381</w:t>
            </w:r>
          </w:p>
        </w:tc>
      </w:tr>
      <w:tr w:rsidR="00463D1F" w:rsidRPr="007E3897" w:rsidTr="00825379">
        <w:trPr>
          <w:trHeight w:val="288"/>
          <w:jc w:val="center"/>
        </w:trPr>
        <w:tc>
          <w:tcPr>
            <w:tcW w:w="2836"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privată</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115</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122</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122</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136</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498</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520</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511</w:t>
            </w:r>
          </w:p>
        </w:tc>
      </w:tr>
      <w:tr w:rsidR="00463D1F" w:rsidRPr="007E3897" w:rsidTr="00825379">
        <w:trPr>
          <w:trHeight w:val="288"/>
          <w:jc w:val="center"/>
        </w:trPr>
        <w:tc>
          <w:tcPr>
            <w:tcW w:w="2836"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Laboratoare de tehnică dentară</w:t>
            </w: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Total</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251</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251</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251</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254</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257</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255</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255</w:t>
            </w:r>
          </w:p>
        </w:tc>
      </w:tr>
      <w:tr w:rsidR="00463D1F" w:rsidRPr="007E3897" w:rsidTr="00825379">
        <w:trPr>
          <w:trHeight w:val="288"/>
          <w:jc w:val="center"/>
        </w:trPr>
        <w:tc>
          <w:tcPr>
            <w:tcW w:w="2836" w:type="dxa"/>
            <w:vMerge/>
            <w:tcBorders>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publică</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169</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159</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155</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158</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8</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4</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6</w:t>
            </w:r>
          </w:p>
        </w:tc>
      </w:tr>
      <w:tr w:rsidR="00463D1F" w:rsidRPr="007E3897" w:rsidTr="00825379">
        <w:trPr>
          <w:trHeight w:val="288"/>
          <w:jc w:val="center"/>
        </w:trPr>
        <w:tc>
          <w:tcPr>
            <w:tcW w:w="2836"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privată</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82</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92</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96</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96</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249</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251</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249</w:t>
            </w:r>
          </w:p>
        </w:tc>
      </w:tr>
      <w:tr w:rsidR="00463D1F" w:rsidRPr="007E3897" w:rsidTr="00825379">
        <w:trPr>
          <w:trHeight w:val="288"/>
          <w:jc w:val="center"/>
        </w:trPr>
        <w:tc>
          <w:tcPr>
            <w:tcW w:w="2836"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Centre de transfuzie</w:t>
            </w: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Total</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3</w:t>
            </w:r>
          </w:p>
        </w:tc>
      </w:tr>
      <w:tr w:rsidR="00463D1F" w:rsidRPr="007E3897" w:rsidTr="00825379">
        <w:trPr>
          <w:trHeight w:val="288"/>
          <w:jc w:val="center"/>
        </w:trPr>
        <w:tc>
          <w:tcPr>
            <w:tcW w:w="2836"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publică</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1</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3</w:t>
            </w:r>
          </w:p>
        </w:tc>
      </w:tr>
      <w:tr w:rsidR="00463D1F" w:rsidRPr="007E3897" w:rsidTr="00825379">
        <w:trPr>
          <w:trHeight w:val="288"/>
          <w:jc w:val="center"/>
        </w:trPr>
        <w:tc>
          <w:tcPr>
            <w:tcW w:w="2836"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Alte tipuri de cabinete medicale</w:t>
            </w: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Total</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82</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89</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90</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94</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282</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309</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315</w:t>
            </w:r>
          </w:p>
        </w:tc>
      </w:tr>
      <w:tr w:rsidR="00463D1F" w:rsidRPr="007E3897" w:rsidTr="00825379">
        <w:trPr>
          <w:trHeight w:val="288"/>
          <w:jc w:val="center"/>
        </w:trPr>
        <w:tc>
          <w:tcPr>
            <w:tcW w:w="2836" w:type="dxa"/>
            <w:vMerge/>
            <w:tcBorders>
              <w:left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publică</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44</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44</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46</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41</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23</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22</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24</w:t>
            </w:r>
          </w:p>
        </w:tc>
      </w:tr>
      <w:tr w:rsidR="00463D1F" w:rsidRPr="007E3897" w:rsidTr="00825379">
        <w:trPr>
          <w:trHeight w:val="288"/>
          <w:jc w:val="center"/>
        </w:trPr>
        <w:tc>
          <w:tcPr>
            <w:tcW w:w="2836"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p>
        </w:tc>
        <w:tc>
          <w:tcPr>
            <w:tcW w:w="1913"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color w:val="000000"/>
                <w:sz w:val="18"/>
                <w:szCs w:val="18"/>
              </w:rPr>
            </w:pPr>
            <w:r w:rsidRPr="007E3897">
              <w:rPr>
                <w:b/>
                <w:bCs/>
                <w:color w:val="000000"/>
                <w:sz w:val="18"/>
                <w:szCs w:val="18"/>
              </w:rPr>
              <w:t>Proprietate privată</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38</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45</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44</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53</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259</w:t>
            </w:r>
          </w:p>
        </w:tc>
        <w:tc>
          <w:tcPr>
            <w:tcW w:w="819"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287</w:t>
            </w:r>
          </w:p>
        </w:tc>
        <w:tc>
          <w:tcPr>
            <w:tcW w:w="820" w:type="dxa"/>
            <w:tcBorders>
              <w:top w:val="nil"/>
              <w:left w:val="nil"/>
              <w:bottom w:val="single" w:sz="4" w:space="0" w:color="auto"/>
              <w:right w:val="single" w:sz="4" w:space="0" w:color="auto"/>
            </w:tcBorders>
            <w:shd w:val="clear" w:color="auto" w:fill="auto"/>
            <w:vAlign w:val="bottom"/>
            <w:hideMark/>
          </w:tcPr>
          <w:p w:rsidR="00463D1F" w:rsidRPr="00A25BA4" w:rsidRDefault="00463D1F" w:rsidP="00565C64">
            <w:pPr>
              <w:jc w:val="right"/>
              <w:rPr>
                <w:sz w:val="18"/>
                <w:szCs w:val="18"/>
              </w:rPr>
            </w:pPr>
            <w:r w:rsidRPr="00A25BA4">
              <w:rPr>
                <w:sz w:val="18"/>
                <w:szCs w:val="18"/>
              </w:rPr>
              <w:t>291</w:t>
            </w:r>
          </w:p>
        </w:tc>
      </w:tr>
    </w:tbl>
    <w:p w:rsidR="00ED307E" w:rsidRPr="00552412" w:rsidRDefault="007E3897" w:rsidP="00A77970">
      <w:pPr>
        <w:rPr>
          <w:b/>
          <w:i/>
          <w:kern w:val="28"/>
          <w:sz w:val="16"/>
          <w:szCs w:val="16"/>
          <w:lang w:eastAsia="en-US"/>
        </w:rPr>
      </w:pPr>
      <w:r w:rsidRPr="007E3897">
        <w:rPr>
          <w:b/>
          <w:i/>
          <w:kern w:val="28"/>
          <w:sz w:val="16"/>
          <w:szCs w:val="16"/>
          <w:lang w:eastAsia="en-US"/>
        </w:rPr>
        <w:t>: = lipsă date</w:t>
      </w:r>
      <w:bookmarkStart w:id="22" w:name="_Toc445282796"/>
    </w:p>
    <w:p w:rsidR="007E3897" w:rsidRPr="00825379" w:rsidRDefault="00207B87" w:rsidP="00A77970">
      <w:pPr>
        <w:jc w:val="both"/>
        <w:outlineLvl w:val="1"/>
        <w:rPr>
          <w:b/>
          <w:kern w:val="28"/>
          <w:lang w:eastAsia="en-US"/>
        </w:rPr>
      </w:pPr>
      <w:r>
        <w:rPr>
          <w:b/>
          <w:kern w:val="28"/>
          <w:lang w:eastAsia="en-US"/>
        </w:rPr>
        <w:t>Numărul de p</w:t>
      </w:r>
      <w:r w:rsidR="007E3897" w:rsidRPr="00825379">
        <w:rPr>
          <w:b/>
          <w:kern w:val="28"/>
          <w:lang w:eastAsia="en-US"/>
        </w:rPr>
        <w:t xml:space="preserve">aturi </w:t>
      </w:r>
      <w:r>
        <w:rPr>
          <w:b/>
          <w:kern w:val="28"/>
          <w:lang w:eastAsia="en-US"/>
        </w:rPr>
        <w:t>din</w:t>
      </w:r>
      <w:r w:rsidR="007E3897" w:rsidRPr="00825379">
        <w:rPr>
          <w:b/>
          <w:kern w:val="28"/>
          <w:lang w:eastAsia="en-US"/>
        </w:rPr>
        <w:t xml:space="preserve"> unităţile sanitare</w:t>
      </w:r>
      <w:r>
        <w:rPr>
          <w:b/>
          <w:kern w:val="28"/>
          <w:lang w:eastAsia="en-US"/>
        </w:rPr>
        <w:t>,</w:t>
      </w:r>
      <w:r w:rsidR="007E3897" w:rsidRPr="00825379">
        <w:rPr>
          <w:b/>
          <w:kern w:val="28"/>
          <w:lang w:eastAsia="en-US"/>
        </w:rPr>
        <w:t xml:space="preserve"> pe categorii </w:t>
      </w:r>
      <w:r w:rsidR="00825379" w:rsidRPr="00825379">
        <w:rPr>
          <w:b/>
          <w:kern w:val="28"/>
          <w:lang w:eastAsia="en-US"/>
        </w:rPr>
        <w:t xml:space="preserve">de unităţi sanitare şi forme de </w:t>
      </w:r>
      <w:r w:rsidR="007E3897" w:rsidRPr="00825379">
        <w:rPr>
          <w:b/>
          <w:kern w:val="28"/>
          <w:lang w:eastAsia="en-US"/>
        </w:rPr>
        <w:t>proprietate,</w:t>
      </w:r>
      <w:bookmarkEnd w:id="22"/>
      <w:r w:rsidR="007E3897" w:rsidRPr="00825379">
        <w:rPr>
          <w:b/>
          <w:kern w:val="28"/>
          <w:lang w:eastAsia="en-US"/>
        </w:rPr>
        <w:t xml:space="preserve"> </w:t>
      </w:r>
      <w:bookmarkStart w:id="23" w:name="_Toc445282797"/>
      <w:r w:rsidR="007E3897" w:rsidRPr="00825379">
        <w:rPr>
          <w:b/>
          <w:kern w:val="28"/>
          <w:lang w:eastAsia="en-US"/>
        </w:rPr>
        <w:t xml:space="preserve">la începutul </w:t>
      </w:r>
      <w:bookmarkEnd w:id="23"/>
      <w:r>
        <w:rPr>
          <w:b/>
          <w:kern w:val="28"/>
          <w:lang w:eastAsia="en-US"/>
        </w:rPr>
        <w:t>fiecărui an:</w:t>
      </w:r>
    </w:p>
    <w:p w:rsidR="007E3897" w:rsidRPr="007E3897" w:rsidRDefault="007E3897" w:rsidP="00A77970">
      <w:pPr>
        <w:jc w:val="right"/>
        <w:rPr>
          <w:kern w:val="28"/>
          <w:sz w:val="18"/>
          <w:szCs w:val="18"/>
          <w:lang w:eastAsia="en-US"/>
        </w:rPr>
      </w:pPr>
      <w:r w:rsidRPr="007E3897">
        <w:rPr>
          <w:kern w:val="28"/>
          <w:sz w:val="18"/>
          <w:szCs w:val="18"/>
          <w:lang w:eastAsia="en-US"/>
        </w:rPr>
        <w:t>- număr -</w:t>
      </w:r>
    </w:p>
    <w:tbl>
      <w:tblPr>
        <w:tblW w:w="10463" w:type="dxa"/>
        <w:jc w:val="center"/>
        <w:tblInd w:w="-5" w:type="dxa"/>
        <w:tblLook w:val="04A0"/>
      </w:tblPr>
      <w:tblGrid>
        <w:gridCol w:w="3402"/>
        <w:gridCol w:w="2127"/>
        <w:gridCol w:w="1233"/>
        <w:gridCol w:w="1234"/>
        <w:gridCol w:w="1233"/>
        <w:gridCol w:w="1234"/>
      </w:tblGrid>
      <w:tr w:rsidR="007E3897" w:rsidRPr="007E3897" w:rsidTr="001066E3">
        <w:trPr>
          <w:trHeight w:val="288"/>
          <w:jc w:val="center"/>
        </w:trPr>
        <w:tc>
          <w:tcPr>
            <w:tcW w:w="34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3897" w:rsidRPr="007E3897" w:rsidRDefault="007E3897" w:rsidP="00A77970">
            <w:pPr>
              <w:jc w:val="center"/>
              <w:rPr>
                <w:b/>
                <w:bCs/>
                <w:sz w:val="18"/>
                <w:szCs w:val="18"/>
                <w:lang w:val="en-US" w:eastAsia="en-US"/>
              </w:rPr>
            </w:pPr>
            <w:r w:rsidRPr="007E3897">
              <w:rPr>
                <w:b/>
                <w:bCs/>
                <w:sz w:val="18"/>
                <w:szCs w:val="18"/>
                <w:lang w:val="en-US" w:eastAsia="en-US"/>
              </w:rPr>
              <w:t>Categorii de unitati sanitare</w:t>
            </w:r>
          </w:p>
        </w:tc>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3897" w:rsidRPr="007E3897" w:rsidRDefault="007E3897" w:rsidP="00A77970">
            <w:pPr>
              <w:jc w:val="center"/>
              <w:rPr>
                <w:b/>
                <w:bCs/>
                <w:sz w:val="18"/>
                <w:szCs w:val="18"/>
                <w:lang w:val="en-US" w:eastAsia="en-US"/>
              </w:rPr>
            </w:pPr>
            <w:r w:rsidRPr="007E3897">
              <w:rPr>
                <w:b/>
                <w:bCs/>
                <w:sz w:val="18"/>
                <w:szCs w:val="18"/>
                <w:lang w:val="en-US" w:eastAsia="en-US"/>
              </w:rPr>
              <w:t>Forme de proprietate</w:t>
            </w:r>
          </w:p>
        </w:tc>
        <w:tc>
          <w:tcPr>
            <w:tcW w:w="4934" w:type="dxa"/>
            <w:gridSpan w:val="4"/>
            <w:tcBorders>
              <w:top w:val="single" w:sz="4" w:space="0" w:color="auto"/>
              <w:left w:val="nil"/>
              <w:bottom w:val="single" w:sz="4" w:space="0" w:color="auto"/>
              <w:right w:val="single" w:sz="4" w:space="0" w:color="auto"/>
            </w:tcBorders>
            <w:shd w:val="clear" w:color="auto" w:fill="auto"/>
            <w:vAlign w:val="center"/>
            <w:hideMark/>
          </w:tcPr>
          <w:p w:rsidR="007E3897" w:rsidRPr="007E3897" w:rsidRDefault="007E3897" w:rsidP="00A77970">
            <w:pPr>
              <w:jc w:val="center"/>
              <w:rPr>
                <w:b/>
                <w:bCs/>
                <w:sz w:val="18"/>
                <w:szCs w:val="18"/>
                <w:lang w:val="en-US" w:eastAsia="en-US"/>
              </w:rPr>
            </w:pPr>
            <w:r w:rsidRPr="007E3897">
              <w:rPr>
                <w:b/>
                <w:bCs/>
                <w:sz w:val="18"/>
                <w:szCs w:val="18"/>
                <w:lang w:val="en-US" w:eastAsia="en-US"/>
              </w:rPr>
              <w:t>Ani</w:t>
            </w:r>
          </w:p>
        </w:tc>
      </w:tr>
      <w:tr w:rsidR="007E3897" w:rsidRPr="007E3897" w:rsidTr="00825379">
        <w:trPr>
          <w:trHeight w:val="288"/>
          <w:jc w:val="center"/>
        </w:trPr>
        <w:tc>
          <w:tcPr>
            <w:tcW w:w="3402"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7E3897" w:rsidRPr="007E3897" w:rsidRDefault="007E3897" w:rsidP="00A77970">
            <w:pPr>
              <w:rPr>
                <w:b/>
                <w:bCs/>
                <w:sz w:val="18"/>
                <w:szCs w:val="18"/>
                <w:lang w:val="en-US" w:eastAsia="en-US"/>
              </w:rPr>
            </w:pPr>
          </w:p>
        </w:tc>
        <w:tc>
          <w:tcPr>
            <w:tcW w:w="2127"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7E3897" w:rsidRPr="007E3897" w:rsidRDefault="007E3897" w:rsidP="00A77970">
            <w:pPr>
              <w:rPr>
                <w:b/>
                <w:bCs/>
                <w:sz w:val="18"/>
                <w:szCs w:val="18"/>
                <w:lang w:val="en-US" w:eastAsia="en-US"/>
              </w:rPr>
            </w:pPr>
          </w:p>
        </w:tc>
        <w:tc>
          <w:tcPr>
            <w:tcW w:w="1233" w:type="dxa"/>
            <w:tcBorders>
              <w:top w:val="nil"/>
              <w:left w:val="nil"/>
              <w:bottom w:val="single" w:sz="4" w:space="0" w:color="auto"/>
              <w:right w:val="single" w:sz="4" w:space="0" w:color="auto"/>
            </w:tcBorders>
            <w:shd w:val="clear" w:color="auto" w:fill="D9D9D9"/>
            <w:vAlign w:val="center"/>
            <w:hideMark/>
          </w:tcPr>
          <w:p w:rsidR="007E3897" w:rsidRPr="007E3897" w:rsidRDefault="007E3897" w:rsidP="00463D1F">
            <w:pPr>
              <w:jc w:val="center"/>
              <w:rPr>
                <w:b/>
                <w:bCs/>
                <w:sz w:val="18"/>
                <w:szCs w:val="18"/>
                <w:lang w:val="en-US" w:eastAsia="en-US"/>
              </w:rPr>
            </w:pPr>
            <w:r w:rsidRPr="007E3897">
              <w:rPr>
                <w:b/>
                <w:bCs/>
                <w:sz w:val="18"/>
                <w:szCs w:val="18"/>
                <w:lang w:val="en-US" w:eastAsia="en-US"/>
              </w:rPr>
              <w:t>201</w:t>
            </w:r>
            <w:r w:rsidR="00463D1F">
              <w:rPr>
                <w:b/>
                <w:bCs/>
                <w:sz w:val="18"/>
                <w:szCs w:val="18"/>
                <w:lang w:val="en-US" w:eastAsia="en-US"/>
              </w:rPr>
              <w:t>5</w:t>
            </w:r>
          </w:p>
        </w:tc>
        <w:tc>
          <w:tcPr>
            <w:tcW w:w="1234" w:type="dxa"/>
            <w:tcBorders>
              <w:top w:val="nil"/>
              <w:left w:val="nil"/>
              <w:bottom w:val="single" w:sz="4" w:space="0" w:color="auto"/>
              <w:right w:val="single" w:sz="4" w:space="0" w:color="auto"/>
            </w:tcBorders>
            <w:shd w:val="clear" w:color="auto" w:fill="D9D9D9"/>
            <w:vAlign w:val="center"/>
            <w:hideMark/>
          </w:tcPr>
          <w:p w:rsidR="007E3897" w:rsidRPr="007E3897" w:rsidRDefault="007E3897" w:rsidP="00463D1F">
            <w:pPr>
              <w:jc w:val="center"/>
              <w:rPr>
                <w:b/>
                <w:bCs/>
                <w:sz w:val="18"/>
                <w:szCs w:val="18"/>
                <w:lang w:val="en-US" w:eastAsia="en-US"/>
              </w:rPr>
            </w:pPr>
            <w:r w:rsidRPr="007E3897">
              <w:rPr>
                <w:b/>
                <w:bCs/>
                <w:sz w:val="18"/>
                <w:szCs w:val="18"/>
                <w:lang w:val="en-US" w:eastAsia="en-US"/>
              </w:rPr>
              <w:t>201</w:t>
            </w:r>
            <w:r w:rsidR="00463D1F">
              <w:rPr>
                <w:b/>
                <w:bCs/>
                <w:sz w:val="18"/>
                <w:szCs w:val="18"/>
                <w:lang w:val="en-US" w:eastAsia="en-US"/>
              </w:rPr>
              <w:t>6</w:t>
            </w:r>
          </w:p>
        </w:tc>
        <w:tc>
          <w:tcPr>
            <w:tcW w:w="1233" w:type="dxa"/>
            <w:tcBorders>
              <w:top w:val="nil"/>
              <w:left w:val="nil"/>
              <w:bottom w:val="single" w:sz="4" w:space="0" w:color="auto"/>
              <w:right w:val="single" w:sz="4" w:space="0" w:color="auto"/>
            </w:tcBorders>
            <w:shd w:val="clear" w:color="auto" w:fill="D9D9D9"/>
            <w:vAlign w:val="center"/>
            <w:hideMark/>
          </w:tcPr>
          <w:p w:rsidR="007E3897" w:rsidRPr="007E3897" w:rsidRDefault="007E3897" w:rsidP="00463D1F">
            <w:pPr>
              <w:jc w:val="center"/>
              <w:rPr>
                <w:b/>
                <w:bCs/>
                <w:sz w:val="18"/>
                <w:szCs w:val="18"/>
                <w:lang w:val="en-US" w:eastAsia="en-US"/>
              </w:rPr>
            </w:pPr>
            <w:r w:rsidRPr="007E3897">
              <w:rPr>
                <w:b/>
                <w:bCs/>
                <w:sz w:val="18"/>
                <w:szCs w:val="18"/>
                <w:lang w:val="en-US" w:eastAsia="en-US"/>
              </w:rPr>
              <w:t>201</w:t>
            </w:r>
            <w:r w:rsidR="00463D1F">
              <w:rPr>
                <w:b/>
                <w:bCs/>
                <w:sz w:val="18"/>
                <w:szCs w:val="18"/>
                <w:lang w:val="en-US" w:eastAsia="en-US"/>
              </w:rPr>
              <w:t>7</w:t>
            </w:r>
          </w:p>
        </w:tc>
        <w:tc>
          <w:tcPr>
            <w:tcW w:w="1234" w:type="dxa"/>
            <w:tcBorders>
              <w:top w:val="nil"/>
              <w:left w:val="nil"/>
              <w:bottom w:val="single" w:sz="4" w:space="0" w:color="auto"/>
              <w:right w:val="single" w:sz="4" w:space="0" w:color="auto"/>
            </w:tcBorders>
            <w:shd w:val="clear" w:color="auto" w:fill="D9D9D9"/>
            <w:vAlign w:val="center"/>
          </w:tcPr>
          <w:p w:rsidR="007E3897" w:rsidRPr="007E3897" w:rsidRDefault="007E3897" w:rsidP="00463D1F">
            <w:pPr>
              <w:jc w:val="center"/>
              <w:rPr>
                <w:b/>
                <w:bCs/>
                <w:sz w:val="18"/>
                <w:szCs w:val="18"/>
                <w:lang w:val="en-US" w:eastAsia="en-US"/>
              </w:rPr>
            </w:pPr>
            <w:r w:rsidRPr="007E3897">
              <w:rPr>
                <w:b/>
                <w:bCs/>
                <w:sz w:val="18"/>
                <w:szCs w:val="18"/>
                <w:lang w:val="en-US" w:eastAsia="en-US"/>
              </w:rPr>
              <w:t>201</w:t>
            </w:r>
            <w:r w:rsidR="00463D1F">
              <w:rPr>
                <w:b/>
                <w:bCs/>
                <w:sz w:val="18"/>
                <w:szCs w:val="18"/>
                <w:lang w:val="en-US" w:eastAsia="en-US"/>
              </w:rPr>
              <w:t>8</w:t>
            </w:r>
          </w:p>
        </w:tc>
      </w:tr>
      <w:tr w:rsidR="00463D1F" w:rsidRPr="007E3897" w:rsidTr="00565C64">
        <w:trPr>
          <w:trHeight w:val="288"/>
          <w:jc w:val="center"/>
        </w:trPr>
        <w:tc>
          <w:tcPr>
            <w:tcW w:w="3402"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În spitale - total</w:t>
            </w:r>
          </w:p>
        </w:tc>
        <w:tc>
          <w:tcPr>
            <w:tcW w:w="2127"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Total</w:t>
            </w:r>
          </w:p>
        </w:tc>
        <w:tc>
          <w:tcPr>
            <w:tcW w:w="1233" w:type="dxa"/>
            <w:tcBorders>
              <w:top w:val="nil"/>
              <w:left w:val="nil"/>
              <w:bottom w:val="single" w:sz="4" w:space="0" w:color="auto"/>
              <w:right w:val="single" w:sz="4" w:space="0" w:color="auto"/>
            </w:tcBorders>
            <w:shd w:val="clear" w:color="auto" w:fill="auto"/>
            <w:vAlign w:val="center"/>
            <w:hideMark/>
          </w:tcPr>
          <w:p w:rsidR="00463D1F" w:rsidRPr="00A241EC" w:rsidRDefault="00463D1F" w:rsidP="00565C64">
            <w:pPr>
              <w:jc w:val="right"/>
              <w:rPr>
                <w:sz w:val="18"/>
                <w:szCs w:val="18"/>
              </w:rPr>
            </w:pPr>
            <w:r w:rsidRPr="00A241EC">
              <w:rPr>
                <w:sz w:val="18"/>
                <w:szCs w:val="18"/>
              </w:rPr>
              <w:t>21107</w:t>
            </w:r>
          </w:p>
        </w:tc>
        <w:tc>
          <w:tcPr>
            <w:tcW w:w="1234" w:type="dxa"/>
            <w:tcBorders>
              <w:top w:val="nil"/>
              <w:left w:val="nil"/>
              <w:bottom w:val="single" w:sz="4" w:space="0" w:color="auto"/>
              <w:right w:val="single" w:sz="4" w:space="0" w:color="auto"/>
            </w:tcBorders>
            <w:shd w:val="clear" w:color="auto" w:fill="auto"/>
            <w:vAlign w:val="center"/>
            <w:hideMark/>
          </w:tcPr>
          <w:p w:rsidR="00463D1F" w:rsidRPr="00A241EC" w:rsidRDefault="00463D1F" w:rsidP="00565C64">
            <w:pPr>
              <w:jc w:val="right"/>
              <w:rPr>
                <w:sz w:val="18"/>
                <w:szCs w:val="18"/>
              </w:rPr>
            </w:pPr>
            <w:r w:rsidRPr="00A241EC">
              <w:rPr>
                <w:sz w:val="18"/>
                <w:szCs w:val="18"/>
              </w:rPr>
              <w:t>21898</w:t>
            </w:r>
          </w:p>
        </w:tc>
        <w:tc>
          <w:tcPr>
            <w:tcW w:w="1233" w:type="dxa"/>
            <w:tcBorders>
              <w:top w:val="nil"/>
              <w:left w:val="nil"/>
              <w:bottom w:val="single" w:sz="4" w:space="0" w:color="auto"/>
              <w:right w:val="single" w:sz="4" w:space="0" w:color="auto"/>
            </w:tcBorders>
            <w:shd w:val="clear" w:color="auto" w:fill="auto"/>
            <w:vAlign w:val="bottom"/>
            <w:hideMark/>
          </w:tcPr>
          <w:p w:rsidR="00463D1F" w:rsidRPr="00A241EC" w:rsidRDefault="00463D1F" w:rsidP="00565C64">
            <w:pPr>
              <w:jc w:val="right"/>
              <w:rPr>
                <w:sz w:val="18"/>
                <w:szCs w:val="18"/>
              </w:rPr>
            </w:pPr>
            <w:r w:rsidRPr="00A241EC">
              <w:rPr>
                <w:sz w:val="18"/>
                <w:szCs w:val="18"/>
              </w:rPr>
              <w:t>21919</w:t>
            </w:r>
          </w:p>
        </w:tc>
        <w:tc>
          <w:tcPr>
            <w:tcW w:w="1234" w:type="dxa"/>
            <w:tcBorders>
              <w:top w:val="nil"/>
              <w:left w:val="nil"/>
              <w:bottom w:val="single" w:sz="4" w:space="0" w:color="auto"/>
              <w:right w:val="single" w:sz="4" w:space="0" w:color="auto"/>
            </w:tcBorders>
            <w:shd w:val="clear" w:color="auto" w:fill="auto"/>
            <w:vAlign w:val="bottom"/>
          </w:tcPr>
          <w:p w:rsidR="00463D1F" w:rsidRPr="00A241EC" w:rsidRDefault="00463D1F" w:rsidP="00565C64">
            <w:pPr>
              <w:jc w:val="right"/>
              <w:rPr>
                <w:sz w:val="18"/>
                <w:szCs w:val="18"/>
              </w:rPr>
            </w:pPr>
            <w:r w:rsidRPr="00A241EC">
              <w:rPr>
                <w:sz w:val="18"/>
                <w:szCs w:val="18"/>
              </w:rPr>
              <w:t>21903</w:t>
            </w:r>
          </w:p>
        </w:tc>
      </w:tr>
      <w:tr w:rsidR="00463D1F" w:rsidRPr="007E3897" w:rsidTr="00565C64">
        <w:trPr>
          <w:trHeight w:val="288"/>
          <w:jc w:val="center"/>
        </w:trPr>
        <w:tc>
          <w:tcPr>
            <w:tcW w:w="3402" w:type="dxa"/>
            <w:vMerge/>
            <w:tcBorders>
              <w:left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2127"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Proprietate publică</w:t>
            </w:r>
          </w:p>
        </w:tc>
        <w:tc>
          <w:tcPr>
            <w:tcW w:w="1233" w:type="dxa"/>
            <w:tcBorders>
              <w:top w:val="nil"/>
              <w:left w:val="nil"/>
              <w:bottom w:val="single" w:sz="4" w:space="0" w:color="auto"/>
              <w:right w:val="single" w:sz="4" w:space="0" w:color="auto"/>
            </w:tcBorders>
            <w:shd w:val="clear" w:color="auto" w:fill="auto"/>
            <w:vAlign w:val="center"/>
            <w:hideMark/>
          </w:tcPr>
          <w:p w:rsidR="00463D1F" w:rsidRPr="00A241EC" w:rsidRDefault="00463D1F" w:rsidP="00565C64">
            <w:pPr>
              <w:jc w:val="right"/>
              <w:rPr>
                <w:sz w:val="18"/>
                <w:szCs w:val="18"/>
              </w:rPr>
            </w:pPr>
            <w:r w:rsidRPr="00A241EC">
              <w:rPr>
                <w:sz w:val="18"/>
                <w:szCs w:val="18"/>
              </w:rPr>
              <w:t>19795</w:t>
            </w:r>
          </w:p>
        </w:tc>
        <w:tc>
          <w:tcPr>
            <w:tcW w:w="1234" w:type="dxa"/>
            <w:tcBorders>
              <w:top w:val="nil"/>
              <w:left w:val="nil"/>
              <w:bottom w:val="single" w:sz="4" w:space="0" w:color="auto"/>
              <w:right w:val="single" w:sz="4" w:space="0" w:color="auto"/>
            </w:tcBorders>
            <w:shd w:val="clear" w:color="auto" w:fill="auto"/>
            <w:vAlign w:val="center"/>
            <w:hideMark/>
          </w:tcPr>
          <w:p w:rsidR="00463D1F" w:rsidRPr="00A241EC" w:rsidRDefault="00463D1F" w:rsidP="00565C64">
            <w:pPr>
              <w:jc w:val="right"/>
              <w:rPr>
                <w:sz w:val="18"/>
                <w:szCs w:val="18"/>
              </w:rPr>
            </w:pPr>
            <w:r w:rsidRPr="00A241EC">
              <w:rPr>
                <w:sz w:val="18"/>
                <w:szCs w:val="18"/>
              </w:rPr>
              <w:t>20305</w:t>
            </w:r>
          </w:p>
        </w:tc>
        <w:tc>
          <w:tcPr>
            <w:tcW w:w="1233" w:type="dxa"/>
            <w:tcBorders>
              <w:top w:val="nil"/>
              <w:left w:val="nil"/>
              <w:bottom w:val="single" w:sz="4" w:space="0" w:color="auto"/>
              <w:right w:val="single" w:sz="4" w:space="0" w:color="auto"/>
            </w:tcBorders>
            <w:shd w:val="clear" w:color="auto" w:fill="auto"/>
            <w:vAlign w:val="bottom"/>
            <w:hideMark/>
          </w:tcPr>
          <w:p w:rsidR="00463D1F" w:rsidRPr="00A241EC" w:rsidRDefault="00463D1F" w:rsidP="00565C64">
            <w:pPr>
              <w:jc w:val="right"/>
              <w:rPr>
                <w:sz w:val="18"/>
                <w:szCs w:val="18"/>
              </w:rPr>
            </w:pPr>
            <w:r w:rsidRPr="00A241EC">
              <w:rPr>
                <w:sz w:val="18"/>
                <w:szCs w:val="18"/>
              </w:rPr>
              <w:t>20328</w:t>
            </w:r>
          </w:p>
        </w:tc>
        <w:tc>
          <w:tcPr>
            <w:tcW w:w="1234" w:type="dxa"/>
            <w:tcBorders>
              <w:top w:val="nil"/>
              <w:left w:val="nil"/>
              <w:bottom w:val="single" w:sz="4" w:space="0" w:color="auto"/>
              <w:right w:val="single" w:sz="4" w:space="0" w:color="auto"/>
            </w:tcBorders>
            <w:shd w:val="clear" w:color="auto" w:fill="auto"/>
            <w:vAlign w:val="bottom"/>
          </w:tcPr>
          <w:p w:rsidR="00463D1F" w:rsidRPr="00A241EC" w:rsidRDefault="00463D1F" w:rsidP="00565C64">
            <w:pPr>
              <w:jc w:val="right"/>
              <w:rPr>
                <w:sz w:val="18"/>
                <w:szCs w:val="18"/>
              </w:rPr>
            </w:pPr>
            <w:r w:rsidRPr="00A241EC">
              <w:rPr>
                <w:sz w:val="18"/>
                <w:szCs w:val="18"/>
              </w:rPr>
              <w:t>20302</w:t>
            </w:r>
          </w:p>
        </w:tc>
      </w:tr>
      <w:tr w:rsidR="00463D1F" w:rsidRPr="007E3897" w:rsidTr="00565C64">
        <w:trPr>
          <w:trHeight w:val="288"/>
          <w:jc w:val="center"/>
        </w:trPr>
        <w:tc>
          <w:tcPr>
            <w:tcW w:w="3402"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2127"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Proprietate privată</w:t>
            </w:r>
          </w:p>
        </w:tc>
        <w:tc>
          <w:tcPr>
            <w:tcW w:w="1233" w:type="dxa"/>
            <w:tcBorders>
              <w:top w:val="nil"/>
              <w:left w:val="nil"/>
              <w:bottom w:val="single" w:sz="4" w:space="0" w:color="auto"/>
              <w:right w:val="single" w:sz="4" w:space="0" w:color="auto"/>
            </w:tcBorders>
            <w:shd w:val="clear" w:color="auto" w:fill="auto"/>
            <w:vAlign w:val="center"/>
            <w:hideMark/>
          </w:tcPr>
          <w:p w:rsidR="00463D1F" w:rsidRPr="00A241EC" w:rsidRDefault="00463D1F" w:rsidP="00565C64">
            <w:pPr>
              <w:jc w:val="right"/>
              <w:rPr>
                <w:sz w:val="18"/>
                <w:szCs w:val="18"/>
              </w:rPr>
            </w:pPr>
            <w:r w:rsidRPr="00A241EC">
              <w:rPr>
                <w:sz w:val="18"/>
                <w:szCs w:val="18"/>
              </w:rPr>
              <w:t>1312</w:t>
            </w:r>
          </w:p>
        </w:tc>
        <w:tc>
          <w:tcPr>
            <w:tcW w:w="1234" w:type="dxa"/>
            <w:tcBorders>
              <w:top w:val="nil"/>
              <w:left w:val="nil"/>
              <w:bottom w:val="single" w:sz="4" w:space="0" w:color="auto"/>
              <w:right w:val="single" w:sz="4" w:space="0" w:color="auto"/>
            </w:tcBorders>
            <w:shd w:val="clear" w:color="auto" w:fill="auto"/>
            <w:vAlign w:val="center"/>
            <w:hideMark/>
          </w:tcPr>
          <w:p w:rsidR="00463D1F" w:rsidRPr="00A241EC" w:rsidRDefault="00463D1F" w:rsidP="00565C64">
            <w:pPr>
              <w:jc w:val="right"/>
              <w:rPr>
                <w:sz w:val="18"/>
                <w:szCs w:val="18"/>
              </w:rPr>
            </w:pPr>
            <w:r w:rsidRPr="00A241EC">
              <w:rPr>
                <w:sz w:val="18"/>
                <w:szCs w:val="18"/>
              </w:rPr>
              <w:t>1593</w:t>
            </w:r>
          </w:p>
        </w:tc>
        <w:tc>
          <w:tcPr>
            <w:tcW w:w="1233" w:type="dxa"/>
            <w:tcBorders>
              <w:top w:val="nil"/>
              <w:left w:val="nil"/>
              <w:bottom w:val="single" w:sz="4" w:space="0" w:color="auto"/>
              <w:right w:val="single" w:sz="4" w:space="0" w:color="auto"/>
            </w:tcBorders>
            <w:shd w:val="clear" w:color="auto" w:fill="auto"/>
            <w:vAlign w:val="bottom"/>
            <w:hideMark/>
          </w:tcPr>
          <w:p w:rsidR="00463D1F" w:rsidRPr="00A241EC" w:rsidRDefault="00463D1F" w:rsidP="00565C64">
            <w:pPr>
              <w:jc w:val="right"/>
              <w:rPr>
                <w:sz w:val="18"/>
                <w:szCs w:val="18"/>
              </w:rPr>
            </w:pPr>
            <w:r w:rsidRPr="00A241EC">
              <w:rPr>
                <w:sz w:val="18"/>
                <w:szCs w:val="18"/>
              </w:rPr>
              <w:t>1591</w:t>
            </w:r>
          </w:p>
        </w:tc>
        <w:tc>
          <w:tcPr>
            <w:tcW w:w="1234" w:type="dxa"/>
            <w:tcBorders>
              <w:top w:val="nil"/>
              <w:left w:val="nil"/>
              <w:bottom w:val="single" w:sz="4" w:space="0" w:color="auto"/>
              <w:right w:val="single" w:sz="4" w:space="0" w:color="auto"/>
            </w:tcBorders>
            <w:shd w:val="clear" w:color="auto" w:fill="auto"/>
            <w:vAlign w:val="bottom"/>
          </w:tcPr>
          <w:p w:rsidR="00463D1F" w:rsidRPr="00A241EC" w:rsidRDefault="00463D1F" w:rsidP="00565C64">
            <w:pPr>
              <w:jc w:val="right"/>
              <w:rPr>
                <w:sz w:val="18"/>
                <w:szCs w:val="18"/>
              </w:rPr>
            </w:pPr>
            <w:r w:rsidRPr="00A241EC">
              <w:rPr>
                <w:sz w:val="18"/>
                <w:szCs w:val="18"/>
              </w:rPr>
              <w:t>1601</w:t>
            </w:r>
          </w:p>
        </w:tc>
      </w:tr>
      <w:tr w:rsidR="00463D1F" w:rsidRPr="007E3897" w:rsidTr="00565C64">
        <w:trPr>
          <w:trHeight w:val="297"/>
          <w:jc w:val="center"/>
        </w:trPr>
        <w:tc>
          <w:tcPr>
            <w:tcW w:w="3402"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În spitale (inclusiv în centre de sănătate)</w:t>
            </w:r>
          </w:p>
        </w:tc>
        <w:tc>
          <w:tcPr>
            <w:tcW w:w="2127"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Total</w:t>
            </w:r>
          </w:p>
        </w:tc>
        <w:tc>
          <w:tcPr>
            <w:tcW w:w="1233" w:type="dxa"/>
            <w:tcBorders>
              <w:top w:val="nil"/>
              <w:left w:val="nil"/>
              <w:bottom w:val="single" w:sz="4" w:space="0" w:color="auto"/>
              <w:right w:val="single" w:sz="4" w:space="0" w:color="auto"/>
            </w:tcBorders>
            <w:shd w:val="clear" w:color="auto" w:fill="auto"/>
            <w:vAlign w:val="center"/>
            <w:hideMark/>
          </w:tcPr>
          <w:p w:rsidR="00463D1F" w:rsidRPr="00A241EC" w:rsidRDefault="00463D1F" w:rsidP="00565C64">
            <w:pPr>
              <w:jc w:val="right"/>
              <w:rPr>
                <w:sz w:val="18"/>
                <w:szCs w:val="18"/>
              </w:rPr>
            </w:pPr>
            <w:r w:rsidRPr="00A241EC">
              <w:rPr>
                <w:sz w:val="18"/>
                <w:szCs w:val="18"/>
              </w:rPr>
              <w:t>21174</w:t>
            </w:r>
          </w:p>
        </w:tc>
        <w:tc>
          <w:tcPr>
            <w:tcW w:w="1234" w:type="dxa"/>
            <w:tcBorders>
              <w:top w:val="nil"/>
              <w:left w:val="nil"/>
              <w:bottom w:val="single" w:sz="4" w:space="0" w:color="auto"/>
              <w:right w:val="single" w:sz="4" w:space="0" w:color="auto"/>
            </w:tcBorders>
            <w:shd w:val="clear" w:color="auto" w:fill="auto"/>
            <w:vAlign w:val="center"/>
            <w:hideMark/>
          </w:tcPr>
          <w:p w:rsidR="00463D1F" w:rsidRPr="00A241EC" w:rsidRDefault="00463D1F" w:rsidP="00565C64">
            <w:pPr>
              <w:jc w:val="right"/>
              <w:rPr>
                <w:sz w:val="18"/>
                <w:szCs w:val="18"/>
              </w:rPr>
            </w:pPr>
            <w:r w:rsidRPr="00A241EC">
              <w:rPr>
                <w:sz w:val="18"/>
                <w:szCs w:val="18"/>
              </w:rPr>
              <w:t>21965</w:t>
            </w:r>
          </w:p>
        </w:tc>
        <w:tc>
          <w:tcPr>
            <w:tcW w:w="1233" w:type="dxa"/>
            <w:tcBorders>
              <w:top w:val="nil"/>
              <w:left w:val="nil"/>
              <w:bottom w:val="single" w:sz="4" w:space="0" w:color="auto"/>
              <w:right w:val="single" w:sz="4" w:space="0" w:color="auto"/>
            </w:tcBorders>
            <w:shd w:val="clear" w:color="auto" w:fill="auto"/>
            <w:vAlign w:val="bottom"/>
            <w:hideMark/>
          </w:tcPr>
          <w:p w:rsidR="00463D1F" w:rsidRPr="00A241EC" w:rsidRDefault="00463D1F" w:rsidP="00565C64">
            <w:pPr>
              <w:jc w:val="right"/>
              <w:rPr>
                <w:sz w:val="18"/>
                <w:szCs w:val="18"/>
              </w:rPr>
            </w:pPr>
            <w:r w:rsidRPr="00A241EC">
              <w:rPr>
                <w:sz w:val="18"/>
                <w:szCs w:val="18"/>
              </w:rPr>
              <w:t>21986</w:t>
            </w:r>
          </w:p>
        </w:tc>
        <w:tc>
          <w:tcPr>
            <w:tcW w:w="1234" w:type="dxa"/>
            <w:tcBorders>
              <w:top w:val="nil"/>
              <w:left w:val="nil"/>
              <w:bottom w:val="single" w:sz="4" w:space="0" w:color="auto"/>
              <w:right w:val="single" w:sz="4" w:space="0" w:color="auto"/>
            </w:tcBorders>
            <w:shd w:val="clear" w:color="auto" w:fill="auto"/>
            <w:vAlign w:val="bottom"/>
          </w:tcPr>
          <w:p w:rsidR="00463D1F" w:rsidRPr="00A241EC" w:rsidRDefault="00463D1F" w:rsidP="00565C64">
            <w:pPr>
              <w:jc w:val="right"/>
              <w:rPr>
                <w:sz w:val="18"/>
                <w:szCs w:val="18"/>
              </w:rPr>
            </w:pPr>
            <w:r w:rsidRPr="00A241EC">
              <w:rPr>
                <w:sz w:val="18"/>
                <w:szCs w:val="18"/>
              </w:rPr>
              <w:t>21970</w:t>
            </w:r>
          </w:p>
        </w:tc>
      </w:tr>
      <w:tr w:rsidR="00463D1F" w:rsidRPr="007E3897" w:rsidTr="00565C64">
        <w:trPr>
          <w:trHeight w:val="288"/>
          <w:jc w:val="center"/>
        </w:trPr>
        <w:tc>
          <w:tcPr>
            <w:tcW w:w="3402" w:type="dxa"/>
            <w:vMerge/>
            <w:tcBorders>
              <w:left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2127"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Proprietate publică</w:t>
            </w:r>
          </w:p>
        </w:tc>
        <w:tc>
          <w:tcPr>
            <w:tcW w:w="1233" w:type="dxa"/>
            <w:tcBorders>
              <w:top w:val="nil"/>
              <w:left w:val="nil"/>
              <w:bottom w:val="single" w:sz="4" w:space="0" w:color="auto"/>
              <w:right w:val="single" w:sz="4" w:space="0" w:color="auto"/>
            </w:tcBorders>
            <w:shd w:val="clear" w:color="auto" w:fill="auto"/>
            <w:vAlign w:val="center"/>
            <w:hideMark/>
          </w:tcPr>
          <w:p w:rsidR="00463D1F" w:rsidRPr="00A241EC" w:rsidRDefault="00463D1F" w:rsidP="00565C64">
            <w:pPr>
              <w:jc w:val="right"/>
              <w:rPr>
                <w:sz w:val="18"/>
                <w:szCs w:val="18"/>
              </w:rPr>
            </w:pPr>
            <w:r w:rsidRPr="00A241EC">
              <w:rPr>
                <w:sz w:val="18"/>
                <w:szCs w:val="18"/>
              </w:rPr>
              <w:t>19862</w:t>
            </w:r>
          </w:p>
        </w:tc>
        <w:tc>
          <w:tcPr>
            <w:tcW w:w="1234" w:type="dxa"/>
            <w:tcBorders>
              <w:top w:val="nil"/>
              <w:left w:val="nil"/>
              <w:bottom w:val="single" w:sz="4" w:space="0" w:color="auto"/>
              <w:right w:val="single" w:sz="4" w:space="0" w:color="auto"/>
            </w:tcBorders>
            <w:shd w:val="clear" w:color="auto" w:fill="auto"/>
            <w:vAlign w:val="center"/>
            <w:hideMark/>
          </w:tcPr>
          <w:p w:rsidR="00463D1F" w:rsidRPr="00A241EC" w:rsidRDefault="00463D1F" w:rsidP="00565C64">
            <w:pPr>
              <w:jc w:val="right"/>
              <w:rPr>
                <w:sz w:val="18"/>
                <w:szCs w:val="18"/>
              </w:rPr>
            </w:pPr>
            <w:r w:rsidRPr="00A241EC">
              <w:rPr>
                <w:sz w:val="18"/>
                <w:szCs w:val="18"/>
              </w:rPr>
              <w:t>20372</w:t>
            </w:r>
          </w:p>
        </w:tc>
        <w:tc>
          <w:tcPr>
            <w:tcW w:w="1233" w:type="dxa"/>
            <w:tcBorders>
              <w:top w:val="nil"/>
              <w:left w:val="nil"/>
              <w:bottom w:val="single" w:sz="4" w:space="0" w:color="auto"/>
              <w:right w:val="single" w:sz="4" w:space="0" w:color="auto"/>
            </w:tcBorders>
            <w:shd w:val="clear" w:color="auto" w:fill="auto"/>
            <w:vAlign w:val="bottom"/>
            <w:hideMark/>
          </w:tcPr>
          <w:p w:rsidR="00463D1F" w:rsidRPr="00A241EC" w:rsidRDefault="00463D1F" w:rsidP="00565C64">
            <w:pPr>
              <w:jc w:val="right"/>
              <w:rPr>
                <w:sz w:val="18"/>
                <w:szCs w:val="18"/>
              </w:rPr>
            </w:pPr>
            <w:r w:rsidRPr="00A241EC">
              <w:rPr>
                <w:sz w:val="18"/>
                <w:szCs w:val="18"/>
              </w:rPr>
              <w:t>20395</w:t>
            </w:r>
          </w:p>
        </w:tc>
        <w:tc>
          <w:tcPr>
            <w:tcW w:w="1234" w:type="dxa"/>
            <w:tcBorders>
              <w:top w:val="nil"/>
              <w:left w:val="nil"/>
              <w:bottom w:val="single" w:sz="4" w:space="0" w:color="auto"/>
              <w:right w:val="single" w:sz="4" w:space="0" w:color="auto"/>
            </w:tcBorders>
            <w:shd w:val="clear" w:color="auto" w:fill="auto"/>
            <w:vAlign w:val="bottom"/>
          </w:tcPr>
          <w:p w:rsidR="00463D1F" w:rsidRPr="00A241EC" w:rsidRDefault="00463D1F" w:rsidP="00565C64">
            <w:pPr>
              <w:jc w:val="right"/>
              <w:rPr>
                <w:sz w:val="18"/>
                <w:szCs w:val="18"/>
              </w:rPr>
            </w:pPr>
            <w:r w:rsidRPr="00A241EC">
              <w:rPr>
                <w:sz w:val="18"/>
                <w:szCs w:val="18"/>
              </w:rPr>
              <w:t>20369</w:t>
            </w:r>
          </w:p>
        </w:tc>
      </w:tr>
      <w:tr w:rsidR="00463D1F" w:rsidRPr="007E3897" w:rsidTr="00565C64">
        <w:trPr>
          <w:trHeight w:val="288"/>
          <w:jc w:val="center"/>
        </w:trPr>
        <w:tc>
          <w:tcPr>
            <w:tcW w:w="3402"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2127"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Proprietate privată</w:t>
            </w:r>
          </w:p>
        </w:tc>
        <w:tc>
          <w:tcPr>
            <w:tcW w:w="1233" w:type="dxa"/>
            <w:tcBorders>
              <w:top w:val="nil"/>
              <w:left w:val="nil"/>
              <w:bottom w:val="single" w:sz="4" w:space="0" w:color="auto"/>
              <w:right w:val="single" w:sz="4" w:space="0" w:color="auto"/>
            </w:tcBorders>
            <w:shd w:val="clear" w:color="auto" w:fill="auto"/>
            <w:vAlign w:val="center"/>
            <w:hideMark/>
          </w:tcPr>
          <w:p w:rsidR="00463D1F" w:rsidRPr="00A241EC" w:rsidRDefault="00463D1F" w:rsidP="00565C64">
            <w:pPr>
              <w:jc w:val="right"/>
              <w:rPr>
                <w:sz w:val="18"/>
                <w:szCs w:val="18"/>
              </w:rPr>
            </w:pPr>
            <w:r w:rsidRPr="00A241EC">
              <w:rPr>
                <w:sz w:val="18"/>
                <w:szCs w:val="18"/>
              </w:rPr>
              <w:t>1312</w:t>
            </w:r>
          </w:p>
        </w:tc>
        <w:tc>
          <w:tcPr>
            <w:tcW w:w="1234" w:type="dxa"/>
            <w:tcBorders>
              <w:top w:val="nil"/>
              <w:left w:val="nil"/>
              <w:bottom w:val="single" w:sz="4" w:space="0" w:color="auto"/>
              <w:right w:val="single" w:sz="4" w:space="0" w:color="auto"/>
            </w:tcBorders>
            <w:shd w:val="clear" w:color="auto" w:fill="auto"/>
            <w:vAlign w:val="center"/>
            <w:hideMark/>
          </w:tcPr>
          <w:p w:rsidR="00463D1F" w:rsidRPr="00A241EC" w:rsidRDefault="00463D1F" w:rsidP="00565C64">
            <w:pPr>
              <w:jc w:val="right"/>
              <w:rPr>
                <w:sz w:val="18"/>
                <w:szCs w:val="18"/>
              </w:rPr>
            </w:pPr>
            <w:r w:rsidRPr="00A241EC">
              <w:rPr>
                <w:sz w:val="18"/>
                <w:szCs w:val="18"/>
              </w:rPr>
              <w:t>1593</w:t>
            </w:r>
          </w:p>
        </w:tc>
        <w:tc>
          <w:tcPr>
            <w:tcW w:w="1233" w:type="dxa"/>
            <w:tcBorders>
              <w:top w:val="nil"/>
              <w:left w:val="nil"/>
              <w:bottom w:val="single" w:sz="4" w:space="0" w:color="auto"/>
              <w:right w:val="single" w:sz="4" w:space="0" w:color="auto"/>
            </w:tcBorders>
            <w:shd w:val="clear" w:color="auto" w:fill="auto"/>
            <w:vAlign w:val="bottom"/>
            <w:hideMark/>
          </w:tcPr>
          <w:p w:rsidR="00463D1F" w:rsidRPr="00A241EC" w:rsidRDefault="00463D1F" w:rsidP="00565C64">
            <w:pPr>
              <w:jc w:val="right"/>
              <w:rPr>
                <w:sz w:val="18"/>
                <w:szCs w:val="18"/>
              </w:rPr>
            </w:pPr>
            <w:r w:rsidRPr="00A241EC">
              <w:rPr>
                <w:sz w:val="18"/>
                <w:szCs w:val="18"/>
              </w:rPr>
              <w:t>1591</w:t>
            </w:r>
          </w:p>
        </w:tc>
        <w:tc>
          <w:tcPr>
            <w:tcW w:w="1234" w:type="dxa"/>
            <w:tcBorders>
              <w:top w:val="nil"/>
              <w:left w:val="nil"/>
              <w:bottom w:val="single" w:sz="4" w:space="0" w:color="auto"/>
              <w:right w:val="single" w:sz="4" w:space="0" w:color="auto"/>
            </w:tcBorders>
            <w:shd w:val="clear" w:color="auto" w:fill="auto"/>
            <w:vAlign w:val="bottom"/>
          </w:tcPr>
          <w:p w:rsidR="00463D1F" w:rsidRPr="00A241EC" w:rsidRDefault="00463D1F" w:rsidP="00565C64">
            <w:pPr>
              <w:jc w:val="right"/>
              <w:rPr>
                <w:sz w:val="18"/>
                <w:szCs w:val="18"/>
              </w:rPr>
            </w:pPr>
            <w:r w:rsidRPr="00A241EC">
              <w:rPr>
                <w:sz w:val="18"/>
                <w:szCs w:val="18"/>
              </w:rPr>
              <w:t>1601</w:t>
            </w:r>
          </w:p>
        </w:tc>
      </w:tr>
      <w:tr w:rsidR="00463D1F" w:rsidRPr="007E3897" w:rsidTr="00565C64">
        <w:trPr>
          <w:trHeight w:val="288"/>
          <w:jc w:val="center"/>
        </w:trPr>
        <w:tc>
          <w:tcPr>
            <w:tcW w:w="3402"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De obstetrică-ginecologie (în spitale)</w:t>
            </w:r>
          </w:p>
        </w:tc>
        <w:tc>
          <w:tcPr>
            <w:tcW w:w="2127"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Total</w:t>
            </w:r>
          </w:p>
        </w:tc>
        <w:tc>
          <w:tcPr>
            <w:tcW w:w="1233" w:type="dxa"/>
            <w:tcBorders>
              <w:top w:val="nil"/>
              <w:left w:val="nil"/>
              <w:bottom w:val="single" w:sz="4" w:space="0" w:color="auto"/>
              <w:right w:val="single" w:sz="4" w:space="0" w:color="auto"/>
            </w:tcBorders>
            <w:shd w:val="clear" w:color="auto" w:fill="auto"/>
            <w:vAlign w:val="center"/>
            <w:hideMark/>
          </w:tcPr>
          <w:p w:rsidR="00463D1F" w:rsidRPr="00A241EC" w:rsidRDefault="00463D1F" w:rsidP="00565C64">
            <w:pPr>
              <w:jc w:val="right"/>
              <w:rPr>
                <w:sz w:val="18"/>
                <w:szCs w:val="18"/>
              </w:rPr>
            </w:pPr>
            <w:r w:rsidRPr="00A241EC">
              <w:rPr>
                <w:sz w:val="18"/>
                <w:szCs w:val="18"/>
              </w:rPr>
              <w:t>1372</w:t>
            </w:r>
          </w:p>
        </w:tc>
        <w:tc>
          <w:tcPr>
            <w:tcW w:w="1234" w:type="dxa"/>
            <w:tcBorders>
              <w:top w:val="nil"/>
              <w:left w:val="nil"/>
              <w:bottom w:val="single" w:sz="4" w:space="0" w:color="auto"/>
              <w:right w:val="single" w:sz="4" w:space="0" w:color="auto"/>
            </w:tcBorders>
            <w:shd w:val="clear" w:color="auto" w:fill="auto"/>
            <w:vAlign w:val="center"/>
            <w:hideMark/>
          </w:tcPr>
          <w:p w:rsidR="00463D1F" w:rsidRPr="00A241EC" w:rsidRDefault="00463D1F" w:rsidP="00565C64">
            <w:pPr>
              <w:jc w:val="right"/>
              <w:rPr>
                <w:sz w:val="18"/>
                <w:szCs w:val="18"/>
              </w:rPr>
            </w:pPr>
            <w:r w:rsidRPr="00A241EC">
              <w:rPr>
                <w:sz w:val="18"/>
                <w:szCs w:val="18"/>
              </w:rPr>
              <w:t>1409</w:t>
            </w:r>
          </w:p>
        </w:tc>
        <w:tc>
          <w:tcPr>
            <w:tcW w:w="1233" w:type="dxa"/>
            <w:tcBorders>
              <w:top w:val="nil"/>
              <w:left w:val="nil"/>
              <w:bottom w:val="single" w:sz="4" w:space="0" w:color="auto"/>
              <w:right w:val="single" w:sz="4" w:space="0" w:color="auto"/>
            </w:tcBorders>
            <w:shd w:val="clear" w:color="auto" w:fill="auto"/>
            <w:vAlign w:val="bottom"/>
            <w:hideMark/>
          </w:tcPr>
          <w:p w:rsidR="00463D1F" w:rsidRPr="00A241EC" w:rsidRDefault="00463D1F" w:rsidP="00565C64">
            <w:pPr>
              <w:jc w:val="right"/>
              <w:rPr>
                <w:sz w:val="18"/>
                <w:szCs w:val="18"/>
              </w:rPr>
            </w:pPr>
            <w:r w:rsidRPr="00A241EC">
              <w:rPr>
                <w:sz w:val="18"/>
                <w:szCs w:val="18"/>
              </w:rPr>
              <w:t>1377</w:t>
            </w:r>
          </w:p>
        </w:tc>
        <w:tc>
          <w:tcPr>
            <w:tcW w:w="1234" w:type="dxa"/>
            <w:tcBorders>
              <w:top w:val="nil"/>
              <w:left w:val="nil"/>
              <w:bottom w:val="single" w:sz="4" w:space="0" w:color="auto"/>
              <w:right w:val="single" w:sz="4" w:space="0" w:color="auto"/>
            </w:tcBorders>
            <w:shd w:val="clear" w:color="auto" w:fill="auto"/>
            <w:vAlign w:val="bottom"/>
          </w:tcPr>
          <w:p w:rsidR="00463D1F" w:rsidRPr="00A241EC" w:rsidRDefault="00463D1F" w:rsidP="00565C64">
            <w:pPr>
              <w:jc w:val="right"/>
              <w:rPr>
                <w:sz w:val="18"/>
                <w:szCs w:val="18"/>
              </w:rPr>
            </w:pPr>
            <w:r w:rsidRPr="00A241EC">
              <w:rPr>
                <w:sz w:val="18"/>
                <w:szCs w:val="18"/>
              </w:rPr>
              <w:t>1318</w:t>
            </w:r>
          </w:p>
        </w:tc>
      </w:tr>
      <w:tr w:rsidR="00463D1F" w:rsidRPr="007E3897" w:rsidTr="00565C64">
        <w:trPr>
          <w:trHeight w:val="288"/>
          <w:jc w:val="center"/>
        </w:trPr>
        <w:tc>
          <w:tcPr>
            <w:tcW w:w="3402" w:type="dxa"/>
            <w:vMerge/>
            <w:tcBorders>
              <w:left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2127"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Proprietate publică</w:t>
            </w:r>
          </w:p>
        </w:tc>
        <w:tc>
          <w:tcPr>
            <w:tcW w:w="1233" w:type="dxa"/>
            <w:tcBorders>
              <w:top w:val="nil"/>
              <w:left w:val="nil"/>
              <w:bottom w:val="single" w:sz="4" w:space="0" w:color="auto"/>
              <w:right w:val="single" w:sz="4" w:space="0" w:color="auto"/>
            </w:tcBorders>
            <w:shd w:val="clear" w:color="auto" w:fill="auto"/>
            <w:vAlign w:val="center"/>
            <w:hideMark/>
          </w:tcPr>
          <w:p w:rsidR="00463D1F" w:rsidRPr="00A241EC" w:rsidRDefault="00463D1F" w:rsidP="00565C64">
            <w:pPr>
              <w:jc w:val="right"/>
              <w:rPr>
                <w:sz w:val="18"/>
                <w:szCs w:val="18"/>
              </w:rPr>
            </w:pPr>
            <w:r w:rsidRPr="00A241EC">
              <w:rPr>
                <w:sz w:val="18"/>
                <w:szCs w:val="18"/>
              </w:rPr>
              <w:t>1174</w:t>
            </w:r>
          </w:p>
        </w:tc>
        <w:tc>
          <w:tcPr>
            <w:tcW w:w="1234" w:type="dxa"/>
            <w:tcBorders>
              <w:top w:val="nil"/>
              <w:left w:val="nil"/>
              <w:bottom w:val="single" w:sz="4" w:space="0" w:color="auto"/>
              <w:right w:val="single" w:sz="4" w:space="0" w:color="auto"/>
            </w:tcBorders>
            <w:shd w:val="clear" w:color="auto" w:fill="auto"/>
            <w:vAlign w:val="center"/>
            <w:hideMark/>
          </w:tcPr>
          <w:p w:rsidR="00463D1F" w:rsidRPr="00A241EC" w:rsidRDefault="00463D1F" w:rsidP="00565C64">
            <w:pPr>
              <w:jc w:val="right"/>
              <w:rPr>
                <w:sz w:val="18"/>
                <w:szCs w:val="18"/>
              </w:rPr>
            </w:pPr>
            <w:r w:rsidRPr="00A241EC">
              <w:rPr>
                <w:sz w:val="18"/>
                <w:szCs w:val="18"/>
              </w:rPr>
              <w:t>1174</w:t>
            </w:r>
          </w:p>
        </w:tc>
        <w:tc>
          <w:tcPr>
            <w:tcW w:w="1233" w:type="dxa"/>
            <w:tcBorders>
              <w:top w:val="nil"/>
              <w:left w:val="nil"/>
              <w:bottom w:val="single" w:sz="4" w:space="0" w:color="auto"/>
              <w:right w:val="single" w:sz="4" w:space="0" w:color="auto"/>
            </w:tcBorders>
            <w:shd w:val="clear" w:color="auto" w:fill="auto"/>
            <w:vAlign w:val="bottom"/>
            <w:hideMark/>
          </w:tcPr>
          <w:p w:rsidR="00463D1F" w:rsidRPr="00A241EC" w:rsidRDefault="00463D1F" w:rsidP="00565C64">
            <w:pPr>
              <w:jc w:val="right"/>
              <w:rPr>
                <w:sz w:val="18"/>
                <w:szCs w:val="18"/>
              </w:rPr>
            </w:pPr>
            <w:r w:rsidRPr="00A241EC">
              <w:rPr>
                <w:sz w:val="18"/>
                <w:szCs w:val="18"/>
              </w:rPr>
              <w:t>1174</w:t>
            </w:r>
          </w:p>
        </w:tc>
        <w:tc>
          <w:tcPr>
            <w:tcW w:w="1234" w:type="dxa"/>
            <w:tcBorders>
              <w:top w:val="nil"/>
              <w:left w:val="nil"/>
              <w:bottom w:val="single" w:sz="4" w:space="0" w:color="auto"/>
              <w:right w:val="single" w:sz="4" w:space="0" w:color="auto"/>
            </w:tcBorders>
            <w:shd w:val="clear" w:color="auto" w:fill="auto"/>
            <w:vAlign w:val="bottom"/>
          </w:tcPr>
          <w:p w:rsidR="00463D1F" w:rsidRPr="00A241EC" w:rsidRDefault="00463D1F" w:rsidP="00565C64">
            <w:pPr>
              <w:jc w:val="right"/>
              <w:rPr>
                <w:sz w:val="18"/>
                <w:szCs w:val="18"/>
              </w:rPr>
            </w:pPr>
            <w:r w:rsidRPr="00A241EC">
              <w:rPr>
                <w:sz w:val="18"/>
                <w:szCs w:val="18"/>
              </w:rPr>
              <w:t>1152</w:t>
            </w:r>
          </w:p>
        </w:tc>
      </w:tr>
      <w:tr w:rsidR="00463D1F" w:rsidRPr="007E3897" w:rsidTr="00565C64">
        <w:trPr>
          <w:trHeight w:val="288"/>
          <w:jc w:val="center"/>
        </w:trPr>
        <w:tc>
          <w:tcPr>
            <w:tcW w:w="3402"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2127"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Proprietate privată</w:t>
            </w:r>
          </w:p>
        </w:tc>
        <w:tc>
          <w:tcPr>
            <w:tcW w:w="1233" w:type="dxa"/>
            <w:tcBorders>
              <w:top w:val="nil"/>
              <w:left w:val="nil"/>
              <w:bottom w:val="single" w:sz="4" w:space="0" w:color="auto"/>
              <w:right w:val="single" w:sz="4" w:space="0" w:color="auto"/>
            </w:tcBorders>
            <w:shd w:val="clear" w:color="auto" w:fill="auto"/>
            <w:vAlign w:val="center"/>
            <w:hideMark/>
          </w:tcPr>
          <w:p w:rsidR="00463D1F" w:rsidRPr="00A241EC" w:rsidRDefault="00463D1F" w:rsidP="00565C64">
            <w:pPr>
              <w:jc w:val="right"/>
              <w:rPr>
                <w:sz w:val="18"/>
                <w:szCs w:val="18"/>
              </w:rPr>
            </w:pPr>
            <w:r w:rsidRPr="00A241EC">
              <w:rPr>
                <w:sz w:val="18"/>
                <w:szCs w:val="18"/>
              </w:rPr>
              <w:t>198</w:t>
            </w:r>
          </w:p>
        </w:tc>
        <w:tc>
          <w:tcPr>
            <w:tcW w:w="1234" w:type="dxa"/>
            <w:tcBorders>
              <w:top w:val="nil"/>
              <w:left w:val="nil"/>
              <w:bottom w:val="single" w:sz="4" w:space="0" w:color="auto"/>
              <w:right w:val="single" w:sz="4" w:space="0" w:color="auto"/>
            </w:tcBorders>
            <w:shd w:val="clear" w:color="auto" w:fill="auto"/>
            <w:vAlign w:val="center"/>
            <w:hideMark/>
          </w:tcPr>
          <w:p w:rsidR="00463D1F" w:rsidRPr="00A241EC" w:rsidRDefault="00463D1F" w:rsidP="00565C64">
            <w:pPr>
              <w:jc w:val="right"/>
              <w:rPr>
                <w:sz w:val="18"/>
                <w:szCs w:val="18"/>
              </w:rPr>
            </w:pPr>
            <w:r w:rsidRPr="00A241EC">
              <w:rPr>
                <w:sz w:val="18"/>
                <w:szCs w:val="18"/>
              </w:rPr>
              <w:t>235</w:t>
            </w:r>
          </w:p>
        </w:tc>
        <w:tc>
          <w:tcPr>
            <w:tcW w:w="1233" w:type="dxa"/>
            <w:tcBorders>
              <w:top w:val="nil"/>
              <w:left w:val="nil"/>
              <w:bottom w:val="single" w:sz="4" w:space="0" w:color="auto"/>
              <w:right w:val="single" w:sz="4" w:space="0" w:color="auto"/>
            </w:tcBorders>
            <w:shd w:val="clear" w:color="auto" w:fill="auto"/>
            <w:vAlign w:val="bottom"/>
            <w:hideMark/>
          </w:tcPr>
          <w:p w:rsidR="00463D1F" w:rsidRPr="00A241EC" w:rsidRDefault="00463D1F" w:rsidP="00565C64">
            <w:pPr>
              <w:jc w:val="right"/>
              <w:rPr>
                <w:sz w:val="18"/>
                <w:szCs w:val="18"/>
              </w:rPr>
            </w:pPr>
            <w:r w:rsidRPr="00A241EC">
              <w:rPr>
                <w:sz w:val="18"/>
                <w:szCs w:val="18"/>
              </w:rPr>
              <w:t>203</w:t>
            </w:r>
          </w:p>
        </w:tc>
        <w:tc>
          <w:tcPr>
            <w:tcW w:w="1234" w:type="dxa"/>
            <w:tcBorders>
              <w:top w:val="nil"/>
              <w:left w:val="nil"/>
              <w:bottom w:val="single" w:sz="4" w:space="0" w:color="auto"/>
              <w:right w:val="single" w:sz="4" w:space="0" w:color="auto"/>
            </w:tcBorders>
            <w:shd w:val="clear" w:color="auto" w:fill="auto"/>
            <w:vAlign w:val="bottom"/>
          </w:tcPr>
          <w:p w:rsidR="00463D1F" w:rsidRPr="00A241EC" w:rsidRDefault="00463D1F" w:rsidP="00565C64">
            <w:pPr>
              <w:jc w:val="right"/>
              <w:rPr>
                <w:sz w:val="18"/>
                <w:szCs w:val="18"/>
              </w:rPr>
            </w:pPr>
            <w:r w:rsidRPr="00A241EC">
              <w:rPr>
                <w:sz w:val="18"/>
                <w:szCs w:val="18"/>
              </w:rPr>
              <w:t>166</w:t>
            </w:r>
          </w:p>
        </w:tc>
      </w:tr>
      <w:tr w:rsidR="00463D1F" w:rsidRPr="007E3897" w:rsidTr="00565C64">
        <w:trPr>
          <w:trHeight w:val="288"/>
          <w:jc w:val="center"/>
        </w:trPr>
        <w:tc>
          <w:tcPr>
            <w:tcW w:w="3402"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Pentru copii (în spitale)</w:t>
            </w:r>
          </w:p>
        </w:tc>
        <w:tc>
          <w:tcPr>
            <w:tcW w:w="2127"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Total</w:t>
            </w:r>
          </w:p>
        </w:tc>
        <w:tc>
          <w:tcPr>
            <w:tcW w:w="1233" w:type="dxa"/>
            <w:tcBorders>
              <w:top w:val="nil"/>
              <w:left w:val="nil"/>
              <w:bottom w:val="single" w:sz="4" w:space="0" w:color="auto"/>
              <w:right w:val="single" w:sz="4" w:space="0" w:color="auto"/>
            </w:tcBorders>
            <w:shd w:val="clear" w:color="auto" w:fill="auto"/>
            <w:vAlign w:val="center"/>
            <w:hideMark/>
          </w:tcPr>
          <w:p w:rsidR="00463D1F" w:rsidRPr="00A241EC" w:rsidRDefault="00463D1F" w:rsidP="00565C64">
            <w:pPr>
              <w:jc w:val="right"/>
              <w:rPr>
                <w:sz w:val="18"/>
                <w:szCs w:val="18"/>
              </w:rPr>
            </w:pPr>
            <w:r w:rsidRPr="00A241EC">
              <w:rPr>
                <w:sz w:val="18"/>
                <w:szCs w:val="18"/>
              </w:rPr>
              <w:t>735</w:t>
            </w:r>
          </w:p>
        </w:tc>
        <w:tc>
          <w:tcPr>
            <w:tcW w:w="1234" w:type="dxa"/>
            <w:tcBorders>
              <w:top w:val="nil"/>
              <w:left w:val="nil"/>
              <w:bottom w:val="single" w:sz="4" w:space="0" w:color="auto"/>
              <w:right w:val="single" w:sz="4" w:space="0" w:color="auto"/>
            </w:tcBorders>
            <w:shd w:val="clear" w:color="auto" w:fill="auto"/>
            <w:vAlign w:val="center"/>
            <w:hideMark/>
          </w:tcPr>
          <w:p w:rsidR="00463D1F" w:rsidRPr="00A241EC" w:rsidRDefault="00463D1F" w:rsidP="00565C64">
            <w:pPr>
              <w:jc w:val="right"/>
              <w:rPr>
                <w:sz w:val="18"/>
                <w:szCs w:val="18"/>
              </w:rPr>
            </w:pPr>
            <w:r w:rsidRPr="00A241EC">
              <w:rPr>
                <w:sz w:val="18"/>
                <w:szCs w:val="18"/>
              </w:rPr>
              <w:t>735</w:t>
            </w:r>
          </w:p>
        </w:tc>
        <w:tc>
          <w:tcPr>
            <w:tcW w:w="1233" w:type="dxa"/>
            <w:tcBorders>
              <w:top w:val="nil"/>
              <w:left w:val="nil"/>
              <w:bottom w:val="single" w:sz="4" w:space="0" w:color="auto"/>
              <w:right w:val="single" w:sz="4" w:space="0" w:color="auto"/>
            </w:tcBorders>
            <w:shd w:val="clear" w:color="auto" w:fill="auto"/>
            <w:vAlign w:val="bottom"/>
            <w:hideMark/>
          </w:tcPr>
          <w:p w:rsidR="00463D1F" w:rsidRPr="00A241EC" w:rsidRDefault="00463D1F" w:rsidP="00565C64">
            <w:pPr>
              <w:jc w:val="right"/>
              <w:rPr>
                <w:sz w:val="18"/>
                <w:szCs w:val="18"/>
              </w:rPr>
            </w:pPr>
            <w:r w:rsidRPr="00A241EC">
              <w:rPr>
                <w:sz w:val="18"/>
                <w:szCs w:val="18"/>
              </w:rPr>
              <w:t>711</w:t>
            </w:r>
          </w:p>
        </w:tc>
        <w:tc>
          <w:tcPr>
            <w:tcW w:w="1234" w:type="dxa"/>
            <w:tcBorders>
              <w:top w:val="nil"/>
              <w:left w:val="nil"/>
              <w:bottom w:val="single" w:sz="4" w:space="0" w:color="auto"/>
              <w:right w:val="single" w:sz="4" w:space="0" w:color="auto"/>
            </w:tcBorders>
            <w:shd w:val="clear" w:color="auto" w:fill="auto"/>
            <w:vAlign w:val="bottom"/>
          </w:tcPr>
          <w:p w:rsidR="00463D1F" w:rsidRPr="00A241EC" w:rsidRDefault="00463D1F" w:rsidP="00565C64">
            <w:pPr>
              <w:jc w:val="right"/>
              <w:rPr>
                <w:sz w:val="18"/>
                <w:szCs w:val="18"/>
              </w:rPr>
            </w:pPr>
            <w:r w:rsidRPr="00A241EC">
              <w:rPr>
                <w:sz w:val="18"/>
                <w:szCs w:val="18"/>
              </w:rPr>
              <w:t>715</w:t>
            </w:r>
          </w:p>
        </w:tc>
      </w:tr>
      <w:tr w:rsidR="00463D1F" w:rsidRPr="007E3897" w:rsidTr="00565C64">
        <w:trPr>
          <w:trHeight w:val="288"/>
          <w:jc w:val="center"/>
        </w:trPr>
        <w:tc>
          <w:tcPr>
            <w:tcW w:w="3402" w:type="dxa"/>
            <w:vMerge/>
            <w:tcBorders>
              <w:left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2127"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Proprietate publică</w:t>
            </w:r>
          </w:p>
        </w:tc>
        <w:tc>
          <w:tcPr>
            <w:tcW w:w="1233" w:type="dxa"/>
            <w:tcBorders>
              <w:top w:val="nil"/>
              <w:left w:val="nil"/>
              <w:bottom w:val="single" w:sz="4" w:space="0" w:color="auto"/>
              <w:right w:val="single" w:sz="4" w:space="0" w:color="auto"/>
            </w:tcBorders>
            <w:shd w:val="clear" w:color="auto" w:fill="auto"/>
            <w:vAlign w:val="center"/>
            <w:hideMark/>
          </w:tcPr>
          <w:p w:rsidR="00463D1F" w:rsidRPr="00A241EC" w:rsidRDefault="00463D1F" w:rsidP="00565C64">
            <w:pPr>
              <w:jc w:val="right"/>
              <w:rPr>
                <w:sz w:val="18"/>
                <w:szCs w:val="18"/>
              </w:rPr>
            </w:pPr>
            <w:r w:rsidRPr="00A241EC">
              <w:rPr>
                <w:sz w:val="18"/>
                <w:szCs w:val="18"/>
              </w:rPr>
              <w:t>598</w:t>
            </w:r>
          </w:p>
        </w:tc>
        <w:tc>
          <w:tcPr>
            <w:tcW w:w="1234" w:type="dxa"/>
            <w:tcBorders>
              <w:top w:val="nil"/>
              <w:left w:val="nil"/>
              <w:bottom w:val="single" w:sz="4" w:space="0" w:color="auto"/>
              <w:right w:val="single" w:sz="4" w:space="0" w:color="auto"/>
            </w:tcBorders>
            <w:shd w:val="clear" w:color="auto" w:fill="auto"/>
            <w:vAlign w:val="center"/>
            <w:hideMark/>
          </w:tcPr>
          <w:p w:rsidR="00463D1F" w:rsidRPr="00A241EC" w:rsidRDefault="00463D1F" w:rsidP="00565C64">
            <w:pPr>
              <w:jc w:val="right"/>
              <w:rPr>
                <w:sz w:val="18"/>
                <w:szCs w:val="18"/>
              </w:rPr>
            </w:pPr>
            <w:r w:rsidRPr="00A241EC">
              <w:rPr>
                <w:sz w:val="18"/>
                <w:szCs w:val="18"/>
              </w:rPr>
              <w:t>596</w:t>
            </w:r>
          </w:p>
        </w:tc>
        <w:tc>
          <w:tcPr>
            <w:tcW w:w="1233" w:type="dxa"/>
            <w:tcBorders>
              <w:top w:val="nil"/>
              <w:left w:val="nil"/>
              <w:bottom w:val="single" w:sz="4" w:space="0" w:color="auto"/>
              <w:right w:val="single" w:sz="4" w:space="0" w:color="auto"/>
            </w:tcBorders>
            <w:shd w:val="clear" w:color="auto" w:fill="auto"/>
            <w:vAlign w:val="bottom"/>
            <w:hideMark/>
          </w:tcPr>
          <w:p w:rsidR="00463D1F" w:rsidRPr="00A241EC" w:rsidRDefault="00463D1F" w:rsidP="00565C64">
            <w:pPr>
              <w:jc w:val="right"/>
              <w:rPr>
                <w:sz w:val="18"/>
                <w:szCs w:val="18"/>
              </w:rPr>
            </w:pPr>
            <w:r w:rsidRPr="00A241EC">
              <w:rPr>
                <w:sz w:val="18"/>
                <w:szCs w:val="18"/>
              </w:rPr>
              <w:t>572</w:t>
            </w:r>
          </w:p>
        </w:tc>
        <w:tc>
          <w:tcPr>
            <w:tcW w:w="1234" w:type="dxa"/>
            <w:tcBorders>
              <w:top w:val="nil"/>
              <w:left w:val="nil"/>
              <w:bottom w:val="single" w:sz="4" w:space="0" w:color="auto"/>
              <w:right w:val="single" w:sz="4" w:space="0" w:color="auto"/>
            </w:tcBorders>
            <w:shd w:val="clear" w:color="auto" w:fill="auto"/>
            <w:vAlign w:val="bottom"/>
          </w:tcPr>
          <w:p w:rsidR="00463D1F" w:rsidRPr="00A241EC" w:rsidRDefault="00463D1F" w:rsidP="00565C64">
            <w:pPr>
              <w:jc w:val="right"/>
              <w:rPr>
                <w:sz w:val="18"/>
                <w:szCs w:val="18"/>
              </w:rPr>
            </w:pPr>
            <w:r w:rsidRPr="00A241EC">
              <w:rPr>
                <w:sz w:val="18"/>
                <w:szCs w:val="18"/>
              </w:rPr>
              <w:t>564</w:t>
            </w:r>
          </w:p>
        </w:tc>
      </w:tr>
      <w:tr w:rsidR="00463D1F" w:rsidRPr="007E3897" w:rsidTr="00565C64">
        <w:trPr>
          <w:trHeight w:val="288"/>
          <w:jc w:val="center"/>
        </w:trPr>
        <w:tc>
          <w:tcPr>
            <w:tcW w:w="3402"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2127"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Proprietate privată</w:t>
            </w:r>
          </w:p>
        </w:tc>
        <w:tc>
          <w:tcPr>
            <w:tcW w:w="1233" w:type="dxa"/>
            <w:tcBorders>
              <w:top w:val="nil"/>
              <w:left w:val="nil"/>
              <w:bottom w:val="single" w:sz="4" w:space="0" w:color="auto"/>
              <w:right w:val="single" w:sz="4" w:space="0" w:color="auto"/>
            </w:tcBorders>
            <w:shd w:val="clear" w:color="auto" w:fill="auto"/>
            <w:vAlign w:val="center"/>
            <w:hideMark/>
          </w:tcPr>
          <w:p w:rsidR="00463D1F" w:rsidRPr="00A241EC" w:rsidRDefault="00463D1F" w:rsidP="00565C64">
            <w:pPr>
              <w:jc w:val="right"/>
              <w:rPr>
                <w:sz w:val="18"/>
                <w:szCs w:val="18"/>
              </w:rPr>
            </w:pPr>
            <w:r w:rsidRPr="00A241EC">
              <w:rPr>
                <w:sz w:val="18"/>
                <w:szCs w:val="18"/>
              </w:rPr>
              <w:t>137</w:t>
            </w:r>
          </w:p>
        </w:tc>
        <w:tc>
          <w:tcPr>
            <w:tcW w:w="1234" w:type="dxa"/>
            <w:tcBorders>
              <w:top w:val="nil"/>
              <w:left w:val="nil"/>
              <w:bottom w:val="single" w:sz="4" w:space="0" w:color="auto"/>
              <w:right w:val="single" w:sz="4" w:space="0" w:color="auto"/>
            </w:tcBorders>
            <w:shd w:val="clear" w:color="auto" w:fill="auto"/>
            <w:vAlign w:val="center"/>
            <w:hideMark/>
          </w:tcPr>
          <w:p w:rsidR="00463D1F" w:rsidRPr="00A241EC" w:rsidRDefault="00463D1F" w:rsidP="00565C64">
            <w:pPr>
              <w:jc w:val="right"/>
              <w:rPr>
                <w:sz w:val="18"/>
                <w:szCs w:val="18"/>
              </w:rPr>
            </w:pPr>
            <w:r w:rsidRPr="00A241EC">
              <w:rPr>
                <w:sz w:val="18"/>
                <w:szCs w:val="18"/>
              </w:rPr>
              <w:t>139</w:t>
            </w:r>
          </w:p>
        </w:tc>
        <w:tc>
          <w:tcPr>
            <w:tcW w:w="1233" w:type="dxa"/>
            <w:tcBorders>
              <w:top w:val="nil"/>
              <w:left w:val="nil"/>
              <w:bottom w:val="single" w:sz="4" w:space="0" w:color="auto"/>
              <w:right w:val="single" w:sz="4" w:space="0" w:color="auto"/>
            </w:tcBorders>
            <w:shd w:val="clear" w:color="auto" w:fill="auto"/>
            <w:vAlign w:val="bottom"/>
            <w:hideMark/>
          </w:tcPr>
          <w:p w:rsidR="00463D1F" w:rsidRPr="00A241EC" w:rsidRDefault="00463D1F" w:rsidP="00565C64">
            <w:pPr>
              <w:jc w:val="right"/>
              <w:rPr>
                <w:sz w:val="18"/>
                <w:szCs w:val="18"/>
              </w:rPr>
            </w:pPr>
            <w:r w:rsidRPr="00A241EC">
              <w:rPr>
                <w:sz w:val="18"/>
                <w:szCs w:val="18"/>
              </w:rPr>
              <w:t>139</w:t>
            </w:r>
          </w:p>
        </w:tc>
        <w:tc>
          <w:tcPr>
            <w:tcW w:w="1234" w:type="dxa"/>
            <w:tcBorders>
              <w:top w:val="nil"/>
              <w:left w:val="nil"/>
              <w:bottom w:val="single" w:sz="4" w:space="0" w:color="auto"/>
              <w:right w:val="single" w:sz="4" w:space="0" w:color="auto"/>
            </w:tcBorders>
            <w:shd w:val="clear" w:color="auto" w:fill="auto"/>
            <w:vAlign w:val="bottom"/>
          </w:tcPr>
          <w:p w:rsidR="00463D1F" w:rsidRPr="00A241EC" w:rsidRDefault="00463D1F" w:rsidP="00565C64">
            <w:pPr>
              <w:jc w:val="right"/>
              <w:rPr>
                <w:sz w:val="18"/>
                <w:szCs w:val="18"/>
              </w:rPr>
            </w:pPr>
            <w:r w:rsidRPr="00A241EC">
              <w:rPr>
                <w:sz w:val="18"/>
                <w:szCs w:val="18"/>
              </w:rPr>
              <w:t>151</w:t>
            </w:r>
          </w:p>
        </w:tc>
      </w:tr>
      <w:tr w:rsidR="00463D1F" w:rsidRPr="007E3897" w:rsidTr="00565C64">
        <w:trPr>
          <w:trHeight w:val="288"/>
          <w:jc w:val="center"/>
        </w:trPr>
        <w:tc>
          <w:tcPr>
            <w:tcW w:w="3402"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În centre de sănătate de spital</w:t>
            </w:r>
          </w:p>
        </w:tc>
        <w:tc>
          <w:tcPr>
            <w:tcW w:w="2127"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Total</w:t>
            </w:r>
          </w:p>
        </w:tc>
        <w:tc>
          <w:tcPr>
            <w:tcW w:w="1233" w:type="dxa"/>
            <w:tcBorders>
              <w:top w:val="nil"/>
              <w:left w:val="nil"/>
              <w:bottom w:val="single" w:sz="4" w:space="0" w:color="auto"/>
              <w:right w:val="single" w:sz="4" w:space="0" w:color="auto"/>
            </w:tcBorders>
            <w:shd w:val="clear" w:color="auto" w:fill="auto"/>
            <w:vAlign w:val="center"/>
            <w:hideMark/>
          </w:tcPr>
          <w:p w:rsidR="00463D1F" w:rsidRPr="00A241EC" w:rsidRDefault="00463D1F" w:rsidP="00565C64">
            <w:pPr>
              <w:jc w:val="right"/>
              <w:rPr>
                <w:sz w:val="18"/>
                <w:szCs w:val="18"/>
              </w:rPr>
            </w:pPr>
            <w:r w:rsidRPr="00A241EC">
              <w:rPr>
                <w:sz w:val="18"/>
                <w:szCs w:val="18"/>
              </w:rPr>
              <w:t>67</w:t>
            </w:r>
          </w:p>
        </w:tc>
        <w:tc>
          <w:tcPr>
            <w:tcW w:w="1234" w:type="dxa"/>
            <w:tcBorders>
              <w:top w:val="nil"/>
              <w:left w:val="nil"/>
              <w:bottom w:val="single" w:sz="4" w:space="0" w:color="auto"/>
              <w:right w:val="single" w:sz="4" w:space="0" w:color="auto"/>
            </w:tcBorders>
            <w:shd w:val="clear" w:color="auto" w:fill="auto"/>
            <w:vAlign w:val="center"/>
            <w:hideMark/>
          </w:tcPr>
          <w:p w:rsidR="00463D1F" w:rsidRPr="00A241EC" w:rsidRDefault="00463D1F" w:rsidP="00565C64">
            <w:pPr>
              <w:jc w:val="right"/>
              <w:rPr>
                <w:sz w:val="18"/>
                <w:szCs w:val="18"/>
              </w:rPr>
            </w:pPr>
            <w:r w:rsidRPr="00A241EC">
              <w:rPr>
                <w:sz w:val="18"/>
                <w:szCs w:val="18"/>
              </w:rPr>
              <w:t>67</w:t>
            </w:r>
          </w:p>
        </w:tc>
        <w:tc>
          <w:tcPr>
            <w:tcW w:w="1233" w:type="dxa"/>
            <w:tcBorders>
              <w:top w:val="nil"/>
              <w:left w:val="nil"/>
              <w:bottom w:val="single" w:sz="4" w:space="0" w:color="auto"/>
              <w:right w:val="single" w:sz="4" w:space="0" w:color="auto"/>
            </w:tcBorders>
            <w:shd w:val="clear" w:color="auto" w:fill="auto"/>
            <w:vAlign w:val="bottom"/>
            <w:hideMark/>
          </w:tcPr>
          <w:p w:rsidR="00463D1F" w:rsidRPr="00A241EC" w:rsidRDefault="00463D1F" w:rsidP="00565C64">
            <w:pPr>
              <w:jc w:val="right"/>
              <w:rPr>
                <w:sz w:val="18"/>
                <w:szCs w:val="18"/>
              </w:rPr>
            </w:pPr>
            <w:r w:rsidRPr="00A241EC">
              <w:rPr>
                <w:sz w:val="18"/>
                <w:szCs w:val="18"/>
              </w:rPr>
              <w:t>67</w:t>
            </w:r>
          </w:p>
        </w:tc>
        <w:tc>
          <w:tcPr>
            <w:tcW w:w="1234" w:type="dxa"/>
            <w:tcBorders>
              <w:top w:val="nil"/>
              <w:left w:val="nil"/>
              <w:bottom w:val="single" w:sz="4" w:space="0" w:color="auto"/>
              <w:right w:val="single" w:sz="4" w:space="0" w:color="auto"/>
            </w:tcBorders>
            <w:shd w:val="clear" w:color="auto" w:fill="auto"/>
            <w:vAlign w:val="bottom"/>
          </w:tcPr>
          <w:p w:rsidR="00463D1F" w:rsidRPr="00A241EC" w:rsidRDefault="00463D1F" w:rsidP="00565C64">
            <w:pPr>
              <w:jc w:val="right"/>
              <w:rPr>
                <w:sz w:val="18"/>
                <w:szCs w:val="18"/>
              </w:rPr>
            </w:pPr>
            <w:r w:rsidRPr="00A241EC">
              <w:rPr>
                <w:sz w:val="18"/>
                <w:szCs w:val="18"/>
              </w:rPr>
              <w:t>67</w:t>
            </w:r>
          </w:p>
        </w:tc>
      </w:tr>
      <w:tr w:rsidR="00463D1F" w:rsidRPr="007E3897" w:rsidTr="00565C64">
        <w:trPr>
          <w:trHeight w:val="288"/>
          <w:jc w:val="center"/>
        </w:trPr>
        <w:tc>
          <w:tcPr>
            <w:tcW w:w="3402"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2127"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Proprietate publică</w:t>
            </w:r>
          </w:p>
        </w:tc>
        <w:tc>
          <w:tcPr>
            <w:tcW w:w="1233" w:type="dxa"/>
            <w:tcBorders>
              <w:top w:val="nil"/>
              <w:left w:val="nil"/>
              <w:bottom w:val="single" w:sz="4" w:space="0" w:color="auto"/>
              <w:right w:val="single" w:sz="4" w:space="0" w:color="auto"/>
            </w:tcBorders>
            <w:shd w:val="clear" w:color="auto" w:fill="auto"/>
            <w:vAlign w:val="center"/>
            <w:hideMark/>
          </w:tcPr>
          <w:p w:rsidR="00463D1F" w:rsidRPr="00A241EC" w:rsidRDefault="00463D1F" w:rsidP="00565C64">
            <w:pPr>
              <w:jc w:val="right"/>
              <w:rPr>
                <w:sz w:val="18"/>
                <w:szCs w:val="18"/>
              </w:rPr>
            </w:pPr>
            <w:r w:rsidRPr="00A241EC">
              <w:rPr>
                <w:sz w:val="18"/>
                <w:szCs w:val="18"/>
              </w:rPr>
              <w:t>67</w:t>
            </w:r>
          </w:p>
        </w:tc>
        <w:tc>
          <w:tcPr>
            <w:tcW w:w="1234" w:type="dxa"/>
            <w:tcBorders>
              <w:top w:val="nil"/>
              <w:left w:val="nil"/>
              <w:bottom w:val="single" w:sz="4" w:space="0" w:color="auto"/>
              <w:right w:val="single" w:sz="4" w:space="0" w:color="auto"/>
            </w:tcBorders>
            <w:shd w:val="clear" w:color="auto" w:fill="auto"/>
            <w:vAlign w:val="center"/>
            <w:hideMark/>
          </w:tcPr>
          <w:p w:rsidR="00463D1F" w:rsidRPr="00A241EC" w:rsidRDefault="00463D1F" w:rsidP="00565C64">
            <w:pPr>
              <w:jc w:val="right"/>
              <w:rPr>
                <w:sz w:val="18"/>
                <w:szCs w:val="18"/>
              </w:rPr>
            </w:pPr>
            <w:r w:rsidRPr="00A241EC">
              <w:rPr>
                <w:sz w:val="18"/>
                <w:szCs w:val="18"/>
              </w:rPr>
              <w:t>67</w:t>
            </w:r>
          </w:p>
        </w:tc>
        <w:tc>
          <w:tcPr>
            <w:tcW w:w="1233" w:type="dxa"/>
            <w:tcBorders>
              <w:top w:val="nil"/>
              <w:left w:val="nil"/>
              <w:bottom w:val="single" w:sz="4" w:space="0" w:color="auto"/>
              <w:right w:val="single" w:sz="4" w:space="0" w:color="auto"/>
            </w:tcBorders>
            <w:shd w:val="clear" w:color="auto" w:fill="auto"/>
            <w:vAlign w:val="bottom"/>
            <w:hideMark/>
          </w:tcPr>
          <w:p w:rsidR="00463D1F" w:rsidRPr="00A241EC" w:rsidRDefault="00463D1F" w:rsidP="00565C64">
            <w:pPr>
              <w:jc w:val="right"/>
              <w:rPr>
                <w:sz w:val="18"/>
                <w:szCs w:val="18"/>
              </w:rPr>
            </w:pPr>
            <w:r w:rsidRPr="00A241EC">
              <w:rPr>
                <w:sz w:val="18"/>
                <w:szCs w:val="18"/>
              </w:rPr>
              <w:t>67</w:t>
            </w:r>
          </w:p>
        </w:tc>
        <w:tc>
          <w:tcPr>
            <w:tcW w:w="1234" w:type="dxa"/>
            <w:tcBorders>
              <w:top w:val="nil"/>
              <w:left w:val="nil"/>
              <w:bottom w:val="single" w:sz="4" w:space="0" w:color="auto"/>
              <w:right w:val="single" w:sz="4" w:space="0" w:color="auto"/>
            </w:tcBorders>
            <w:shd w:val="clear" w:color="auto" w:fill="auto"/>
            <w:vAlign w:val="bottom"/>
          </w:tcPr>
          <w:p w:rsidR="00463D1F" w:rsidRPr="00A241EC" w:rsidRDefault="00463D1F" w:rsidP="00565C64">
            <w:pPr>
              <w:jc w:val="right"/>
              <w:rPr>
                <w:sz w:val="18"/>
                <w:szCs w:val="18"/>
              </w:rPr>
            </w:pPr>
            <w:r w:rsidRPr="00A241EC">
              <w:rPr>
                <w:sz w:val="18"/>
                <w:szCs w:val="18"/>
              </w:rPr>
              <w:t>67</w:t>
            </w:r>
          </w:p>
        </w:tc>
      </w:tr>
      <w:tr w:rsidR="00463D1F" w:rsidRPr="007E3897" w:rsidTr="00565C64">
        <w:trPr>
          <w:trHeight w:val="288"/>
          <w:jc w:val="center"/>
        </w:trPr>
        <w:tc>
          <w:tcPr>
            <w:tcW w:w="3402"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În unităţi medico-sociale</w:t>
            </w:r>
          </w:p>
        </w:tc>
        <w:tc>
          <w:tcPr>
            <w:tcW w:w="2127"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Total</w:t>
            </w:r>
          </w:p>
        </w:tc>
        <w:tc>
          <w:tcPr>
            <w:tcW w:w="1233" w:type="dxa"/>
            <w:tcBorders>
              <w:top w:val="nil"/>
              <w:left w:val="nil"/>
              <w:bottom w:val="single" w:sz="4" w:space="0" w:color="auto"/>
              <w:right w:val="single" w:sz="4" w:space="0" w:color="auto"/>
            </w:tcBorders>
            <w:shd w:val="clear" w:color="auto" w:fill="auto"/>
            <w:vAlign w:val="center"/>
            <w:hideMark/>
          </w:tcPr>
          <w:p w:rsidR="00463D1F" w:rsidRPr="00A241EC" w:rsidRDefault="00463D1F" w:rsidP="00565C64">
            <w:pPr>
              <w:jc w:val="right"/>
              <w:rPr>
                <w:sz w:val="18"/>
                <w:szCs w:val="18"/>
              </w:rPr>
            </w:pPr>
            <w:r w:rsidRPr="00A241EC">
              <w:rPr>
                <w:sz w:val="18"/>
                <w:szCs w:val="18"/>
              </w:rPr>
              <w:t>80</w:t>
            </w:r>
          </w:p>
        </w:tc>
        <w:tc>
          <w:tcPr>
            <w:tcW w:w="1234" w:type="dxa"/>
            <w:tcBorders>
              <w:top w:val="nil"/>
              <w:left w:val="nil"/>
              <w:bottom w:val="single" w:sz="4" w:space="0" w:color="auto"/>
              <w:right w:val="single" w:sz="4" w:space="0" w:color="auto"/>
            </w:tcBorders>
            <w:shd w:val="clear" w:color="auto" w:fill="auto"/>
            <w:vAlign w:val="center"/>
            <w:hideMark/>
          </w:tcPr>
          <w:p w:rsidR="00463D1F" w:rsidRPr="00A241EC" w:rsidRDefault="00463D1F" w:rsidP="00565C64">
            <w:pPr>
              <w:jc w:val="right"/>
              <w:rPr>
                <w:sz w:val="18"/>
                <w:szCs w:val="18"/>
              </w:rPr>
            </w:pPr>
            <w:r w:rsidRPr="00A241EC">
              <w:rPr>
                <w:sz w:val="18"/>
                <w:szCs w:val="18"/>
              </w:rPr>
              <w:t>80</w:t>
            </w:r>
          </w:p>
        </w:tc>
        <w:tc>
          <w:tcPr>
            <w:tcW w:w="1233" w:type="dxa"/>
            <w:tcBorders>
              <w:top w:val="nil"/>
              <w:left w:val="nil"/>
              <w:bottom w:val="single" w:sz="4" w:space="0" w:color="auto"/>
              <w:right w:val="single" w:sz="4" w:space="0" w:color="auto"/>
            </w:tcBorders>
            <w:shd w:val="clear" w:color="auto" w:fill="auto"/>
            <w:vAlign w:val="bottom"/>
            <w:hideMark/>
          </w:tcPr>
          <w:p w:rsidR="00463D1F" w:rsidRPr="00A241EC" w:rsidRDefault="00463D1F" w:rsidP="00565C64">
            <w:pPr>
              <w:jc w:val="right"/>
              <w:rPr>
                <w:sz w:val="18"/>
                <w:szCs w:val="18"/>
              </w:rPr>
            </w:pPr>
            <w:r w:rsidRPr="00A241EC">
              <w:rPr>
                <w:sz w:val="18"/>
                <w:szCs w:val="18"/>
              </w:rPr>
              <w:t>80</w:t>
            </w:r>
          </w:p>
        </w:tc>
        <w:tc>
          <w:tcPr>
            <w:tcW w:w="1234" w:type="dxa"/>
            <w:tcBorders>
              <w:top w:val="nil"/>
              <w:left w:val="nil"/>
              <w:bottom w:val="single" w:sz="4" w:space="0" w:color="auto"/>
              <w:right w:val="single" w:sz="4" w:space="0" w:color="auto"/>
            </w:tcBorders>
            <w:shd w:val="clear" w:color="auto" w:fill="auto"/>
            <w:vAlign w:val="bottom"/>
          </w:tcPr>
          <w:p w:rsidR="00463D1F" w:rsidRPr="00A241EC" w:rsidRDefault="00463D1F" w:rsidP="00565C64">
            <w:pPr>
              <w:jc w:val="right"/>
              <w:rPr>
                <w:sz w:val="18"/>
                <w:szCs w:val="18"/>
              </w:rPr>
            </w:pPr>
            <w:r w:rsidRPr="00A241EC">
              <w:rPr>
                <w:sz w:val="18"/>
                <w:szCs w:val="18"/>
              </w:rPr>
              <w:t>80</w:t>
            </w:r>
          </w:p>
        </w:tc>
      </w:tr>
      <w:tr w:rsidR="00463D1F" w:rsidRPr="007E3897" w:rsidTr="00565C64">
        <w:trPr>
          <w:trHeight w:val="288"/>
          <w:jc w:val="center"/>
        </w:trPr>
        <w:tc>
          <w:tcPr>
            <w:tcW w:w="3402" w:type="dxa"/>
            <w:vMerge/>
            <w:tcBorders>
              <w:left w:val="single" w:sz="4" w:space="0" w:color="auto"/>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2127"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Proprietate publică</w:t>
            </w:r>
          </w:p>
        </w:tc>
        <w:tc>
          <w:tcPr>
            <w:tcW w:w="1233" w:type="dxa"/>
            <w:tcBorders>
              <w:top w:val="nil"/>
              <w:left w:val="nil"/>
              <w:bottom w:val="single" w:sz="4" w:space="0" w:color="auto"/>
              <w:right w:val="single" w:sz="4" w:space="0" w:color="auto"/>
            </w:tcBorders>
            <w:shd w:val="clear" w:color="auto" w:fill="auto"/>
            <w:vAlign w:val="center"/>
            <w:hideMark/>
          </w:tcPr>
          <w:p w:rsidR="00463D1F" w:rsidRPr="00A241EC" w:rsidRDefault="00463D1F" w:rsidP="00565C64">
            <w:pPr>
              <w:jc w:val="right"/>
              <w:rPr>
                <w:sz w:val="18"/>
                <w:szCs w:val="18"/>
              </w:rPr>
            </w:pPr>
            <w:r w:rsidRPr="00A241EC">
              <w:rPr>
                <w:sz w:val="18"/>
                <w:szCs w:val="18"/>
              </w:rPr>
              <w:t>80</w:t>
            </w:r>
          </w:p>
        </w:tc>
        <w:tc>
          <w:tcPr>
            <w:tcW w:w="1234" w:type="dxa"/>
            <w:tcBorders>
              <w:top w:val="nil"/>
              <w:left w:val="nil"/>
              <w:bottom w:val="single" w:sz="4" w:space="0" w:color="auto"/>
              <w:right w:val="single" w:sz="4" w:space="0" w:color="auto"/>
            </w:tcBorders>
            <w:shd w:val="clear" w:color="auto" w:fill="auto"/>
            <w:vAlign w:val="center"/>
            <w:hideMark/>
          </w:tcPr>
          <w:p w:rsidR="00463D1F" w:rsidRPr="00A241EC" w:rsidRDefault="00463D1F" w:rsidP="00565C64">
            <w:pPr>
              <w:jc w:val="right"/>
              <w:rPr>
                <w:sz w:val="18"/>
                <w:szCs w:val="18"/>
              </w:rPr>
            </w:pPr>
            <w:r w:rsidRPr="00A241EC">
              <w:rPr>
                <w:sz w:val="18"/>
                <w:szCs w:val="18"/>
              </w:rPr>
              <w:t>80</w:t>
            </w:r>
          </w:p>
        </w:tc>
        <w:tc>
          <w:tcPr>
            <w:tcW w:w="1233" w:type="dxa"/>
            <w:tcBorders>
              <w:top w:val="nil"/>
              <w:left w:val="nil"/>
              <w:bottom w:val="single" w:sz="4" w:space="0" w:color="auto"/>
              <w:right w:val="single" w:sz="4" w:space="0" w:color="auto"/>
            </w:tcBorders>
            <w:shd w:val="clear" w:color="auto" w:fill="auto"/>
            <w:vAlign w:val="bottom"/>
            <w:hideMark/>
          </w:tcPr>
          <w:p w:rsidR="00463D1F" w:rsidRPr="00A241EC" w:rsidRDefault="00463D1F" w:rsidP="00565C64">
            <w:pPr>
              <w:jc w:val="right"/>
              <w:rPr>
                <w:sz w:val="18"/>
                <w:szCs w:val="18"/>
              </w:rPr>
            </w:pPr>
            <w:r w:rsidRPr="00A241EC">
              <w:rPr>
                <w:sz w:val="18"/>
                <w:szCs w:val="18"/>
              </w:rPr>
              <w:t>80</w:t>
            </w:r>
          </w:p>
        </w:tc>
        <w:tc>
          <w:tcPr>
            <w:tcW w:w="1234" w:type="dxa"/>
            <w:tcBorders>
              <w:top w:val="nil"/>
              <w:left w:val="nil"/>
              <w:bottom w:val="single" w:sz="4" w:space="0" w:color="auto"/>
              <w:right w:val="single" w:sz="4" w:space="0" w:color="auto"/>
            </w:tcBorders>
            <w:shd w:val="clear" w:color="auto" w:fill="auto"/>
            <w:vAlign w:val="bottom"/>
          </w:tcPr>
          <w:p w:rsidR="00463D1F" w:rsidRPr="00A241EC" w:rsidRDefault="00463D1F" w:rsidP="00565C64">
            <w:pPr>
              <w:jc w:val="right"/>
              <w:rPr>
                <w:sz w:val="18"/>
                <w:szCs w:val="18"/>
              </w:rPr>
            </w:pPr>
            <w:r w:rsidRPr="00A241EC">
              <w:rPr>
                <w:sz w:val="18"/>
                <w:szCs w:val="18"/>
              </w:rPr>
              <w:t>80</w:t>
            </w:r>
          </w:p>
        </w:tc>
      </w:tr>
    </w:tbl>
    <w:p w:rsidR="007E3897" w:rsidRPr="007E3897" w:rsidRDefault="007E3897" w:rsidP="00A77970">
      <w:pPr>
        <w:rPr>
          <w:b/>
          <w:kern w:val="28"/>
          <w:sz w:val="22"/>
          <w:szCs w:val="22"/>
          <w:lang w:eastAsia="en-US"/>
        </w:rPr>
      </w:pPr>
    </w:p>
    <w:p w:rsidR="007E3897" w:rsidRPr="00207B87" w:rsidRDefault="007E3897" w:rsidP="00A77970">
      <w:pPr>
        <w:jc w:val="both"/>
        <w:outlineLvl w:val="1"/>
        <w:rPr>
          <w:b/>
          <w:kern w:val="28"/>
          <w:lang w:val="en-US" w:eastAsia="en-US"/>
        </w:rPr>
      </w:pPr>
      <w:bookmarkStart w:id="24" w:name="_Toc445282798"/>
      <w:r w:rsidRPr="00825379">
        <w:rPr>
          <w:b/>
          <w:kern w:val="28"/>
          <w:lang w:eastAsia="en-US"/>
        </w:rPr>
        <w:t xml:space="preserve">Personalul medico-sanitar pe categorii, sexe şi forme de proprietate, la începutul </w:t>
      </w:r>
      <w:bookmarkEnd w:id="24"/>
      <w:r w:rsidR="00207B87" w:rsidRPr="00825379">
        <w:rPr>
          <w:b/>
          <w:kern w:val="28"/>
          <w:lang w:eastAsia="en-US"/>
        </w:rPr>
        <w:t xml:space="preserve">la începutul </w:t>
      </w:r>
      <w:r w:rsidR="00207B87">
        <w:rPr>
          <w:b/>
          <w:kern w:val="28"/>
          <w:lang w:eastAsia="en-US"/>
        </w:rPr>
        <w:t>fiecărui an:</w:t>
      </w:r>
    </w:p>
    <w:p w:rsidR="007E3897" w:rsidRPr="007E3897" w:rsidRDefault="007E3897" w:rsidP="00A77970">
      <w:pPr>
        <w:jc w:val="right"/>
        <w:rPr>
          <w:kern w:val="28"/>
          <w:sz w:val="18"/>
          <w:szCs w:val="18"/>
          <w:lang w:eastAsia="en-US"/>
        </w:rPr>
      </w:pPr>
      <w:r w:rsidRPr="007E3897">
        <w:rPr>
          <w:kern w:val="28"/>
          <w:sz w:val="18"/>
          <w:szCs w:val="18"/>
          <w:lang w:eastAsia="en-US"/>
        </w:rPr>
        <w:t xml:space="preserve">- persoane - </w:t>
      </w:r>
    </w:p>
    <w:tbl>
      <w:tblPr>
        <w:tblW w:w="10387" w:type="dxa"/>
        <w:jc w:val="center"/>
        <w:tblInd w:w="69" w:type="dxa"/>
        <w:tblLayout w:type="fixed"/>
        <w:tblLook w:val="04A0"/>
      </w:tblPr>
      <w:tblGrid>
        <w:gridCol w:w="2620"/>
        <w:gridCol w:w="1984"/>
        <w:gridCol w:w="1276"/>
        <w:gridCol w:w="1126"/>
        <w:gridCol w:w="1127"/>
        <w:gridCol w:w="1127"/>
        <w:gridCol w:w="1127"/>
      </w:tblGrid>
      <w:tr w:rsidR="007E3897" w:rsidRPr="007E3897" w:rsidTr="001066E3">
        <w:trPr>
          <w:trHeight w:val="288"/>
          <w:jc w:val="center"/>
        </w:trPr>
        <w:tc>
          <w:tcPr>
            <w:tcW w:w="2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3897" w:rsidRPr="007E3897" w:rsidRDefault="007E3897" w:rsidP="00A77970">
            <w:pPr>
              <w:jc w:val="center"/>
              <w:rPr>
                <w:b/>
                <w:bCs/>
                <w:sz w:val="18"/>
                <w:szCs w:val="18"/>
                <w:lang w:val="en-US" w:eastAsia="en-US"/>
              </w:rPr>
            </w:pPr>
            <w:r w:rsidRPr="007E3897">
              <w:rPr>
                <w:b/>
                <w:bCs/>
                <w:sz w:val="18"/>
                <w:szCs w:val="18"/>
                <w:lang w:val="en-US" w:eastAsia="en-US"/>
              </w:rPr>
              <w:t>Categorii de personal sanitar</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3897" w:rsidRPr="007E3897" w:rsidRDefault="007E3897" w:rsidP="00A77970">
            <w:pPr>
              <w:jc w:val="center"/>
              <w:rPr>
                <w:b/>
                <w:bCs/>
                <w:sz w:val="18"/>
                <w:szCs w:val="18"/>
                <w:lang w:val="en-US" w:eastAsia="en-US"/>
              </w:rPr>
            </w:pPr>
            <w:r w:rsidRPr="007E3897">
              <w:rPr>
                <w:b/>
                <w:bCs/>
                <w:sz w:val="18"/>
                <w:szCs w:val="18"/>
                <w:lang w:val="en-US" w:eastAsia="en-US"/>
              </w:rPr>
              <w:t>Forme de proprietate</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3897" w:rsidRPr="007E3897" w:rsidRDefault="007E3897" w:rsidP="00A77970">
            <w:pPr>
              <w:jc w:val="center"/>
              <w:rPr>
                <w:b/>
                <w:bCs/>
                <w:sz w:val="18"/>
                <w:szCs w:val="18"/>
                <w:lang w:val="en-US" w:eastAsia="en-US"/>
              </w:rPr>
            </w:pPr>
            <w:r w:rsidRPr="007E3897">
              <w:rPr>
                <w:b/>
                <w:bCs/>
                <w:sz w:val="18"/>
                <w:szCs w:val="18"/>
                <w:lang w:val="en-US" w:eastAsia="en-US"/>
              </w:rPr>
              <w:t>Sexe</w:t>
            </w:r>
          </w:p>
        </w:tc>
        <w:tc>
          <w:tcPr>
            <w:tcW w:w="4507" w:type="dxa"/>
            <w:gridSpan w:val="4"/>
            <w:tcBorders>
              <w:top w:val="single" w:sz="4" w:space="0" w:color="auto"/>
              <w:left w:val="nil"/>
              <w:bottom w:val="single" w:sz="4" w:space="0" w:color="auto"/>
              <w:right w:val="single" w:sz="4" w:space="0" w:color="auto"/>
            </w:tcBorders>
            <w:shd w:val="clear" w:color="auto" w:fill="auto"/>
            <w:vAlign w:val="center"/>
            <w:hideMark/>
          </w:tcPr>
          <w:p w:rsidR="007E3897" w:rsidRPr="007E3897" w:rsidRDefault="007E3897" w:rsidP="00A77970">
            <w:pPr>
              <w:jc w:val="center"/>
              <w:rPr>
                <w:b/>
                <w:bCs/>
                <w:sz w:val="18"/>
                <w:szCs w:val="18"/>
                <w:lang w:val="en-US" w:eastAsia="en-US"/>
              </w:rPr>
            </w:pPr>
            <w:r w:rsidRPr="007E3897">
              <w:rPr>
                <w:b/>
                <w:bCs/>
                <w:sz w:val="18"/>
                <w:szCs w:val="18"/>
                <w:lang w:val="en-US" w:eastAsia="en-US"/>
              </w:rPr>
              <w:t>Ani</w:t>
            </w:r>
          </w:p>
        </w:tc>
      </w:tr>
      <w:tr w:rsidR="007E3897" w:rsidRPr="007E3897" w:rsidTr="001066E3">
        <w:trPr>
          <w:trHeight w:val="288"/>
          <w:jc w:val="center"/>
        </w:trPr>
        <w:tc>
          <w:tcPr>
            <w:tcW w:w="262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7E3897" w:rsidRPr="007E3897" w:rsidRDefault="007E3897" w:rsidP="00A77970">
            <w:pPr>
              <w:rPr>
                <w:b/>
                <w:bCs/>
                <w:sz w:val="18"/>
                <w:szCs w:val="18"/>
                <w:lang w:val="en-US" w:eastAsia="en-US"/>
              </w:rPr>
            </w:pPr>
          </w:p>
        </w:tc>
        <w:tc>
          <w:tcPr>
            <w:tcW w:w="198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7E3897" w:rsidRPr="007E3897" w:rsidRDefault="007E3897" w:rsidP="00A77970">
            <w:pPr>
              <w:rPr>
                <w:b/>
                <w:bCs/>
                <w:sz w:val="18"/>
                <w:szCs w:val="18"/>
                <w:lang w:val="en-US" w:eastAsia="en-US"/>
              </w:rPr>
            </w:pPr>
          </w:p>
        </w:tc>
        <w:tc>
          <w:tcPr>
            <w:tcW w:w="127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7E3897" w:rsidRPr="007E3897" w:rsidRDefault="007E3897" w:rsidP="00A77970">
            <w:pPr>
              <w:rPr>
                <w:b/>
                <w:bCs/>
                <w:sz w:val="18"/>
                <w:szCs w:val="18"/>
                <w:lang w:val="en-US" w:eastAsia="en-US"/>
              </w:rPr>
            </w:pPr>
          </w:p>
        </w:tc>
        <w:tc>
          <w:tcPr>
            <w:tcW w:w="1126" w:type="dxa"/>
            <w:tcBorders>
              <w:top w:val="nil"/>
              <w:left w:val="nil"/>
              <w:bottom w:val="single" w:sz="4" w:space="0" w:color="auto"/>
              <w:right w:val="single" w:sz="4" w:space="0" w:color="auto"/>
            </w:tcBorders>
            <w:shd w:val="clear" w:color="auto" w:fill="auto"/>
            <w:vAlign w:val="center"/>
            <w:hideMark/>
          </w:tcPr>
          <w:p w:rsidR="007E3897" w:rsidRPr="007E3897" w:rsidRDefault="007E3897" w:rsidP="00463D1F">
            <w:pPr>
              <w:jc w:val="center"/>
              <w:rPr>
                <w:b/>
                <w:bCs/>
                <w:sz w:val="18"/>
                <w:szCs w:val="18"/>
                <w:lang w:val="en-US" w:eastAsia="en-US"/>
              </w:rPr>
            </w:pPr>
            <w:r w:rsidRPr="007E3897">
              <w:rPr>
                <w:b/>
                <w:bCs/>
                <w:sz w:val="18"/>
                <w:szCs w:val="18"/>
                <w:lang w:val="en-US" w:eastAsia="en-US"/>
              </w:rPr>
              <w:t>201</w:t>
            </w:r>
            <w:r w:rsidR="00463D1F">
              <w:rPr>
                <w:b/>
                <w:bCs/>
                <w:sz w:val="18"/>
                <w:szCs w:val="18"/>
                <w:lang w:val="en-US" w:eastAsia="en-US"/>
              </w:rPr>
              <w:t>5</w:t>
            </w:r>
          </w:p>
        </w:tc>
        <w:tc>
          <w:tcPr>
            <w:tcW w:w="1127" w:type="dxa"/>
            <w:tcBorders>
              <w:top w:val="nil"/>
              <w:left w:val="nil"/>
              <w:bottom w:val="single" w:sz="4" w:space="0" w:color="auto"/>
              <w:right w:val="single" w:sz="4" w:space="0" w:color="auto"/>
            </w:tcBorders>
            <w:shd w:val="clear" w:color="auto" w:fill="auto"/>
            <w:vAlign w:val="center"/>
            <w:hideMark/>
          </w:tcPr>
          <w:p w:rsidR="007E3897" w:rsidRPr="007E3897" w:rsidRDefault="007E3897" w:rsidP="00463D1F">
            <w:pPr>
              <w:jc w:val="center"/>
              <w:rPr>
                <w:b/>
                <w:bCs/>
                <w:sz w:val="18"/>
                <w:szCs w:val="18"/>
                <w:lang w:val="en-US" w:eastAsia="en-US"/>
              </w:rPr>
            </w:pPr>
            <w:r w:rsidRPr="007E3897">
              <w:rPr>
                <w:b/>
                <w:bCs/>
                <w:sz w:val="18"/>
                <w:szCs w:val="18"/>
                <w:lang w:val="en-US" w:eastAsia="en-US"/>
              </w:rPr>
              <w:t>201</w:t>
            </w:r>
            <w:r w:rsidR="00463D1F">
              <w:rPr>
                <w:b/>
                <w:bCs/>
                <w:sz w:val="18"/>
                <w:szCs w:val="18"/>
                <w:lang w:val="en-US" w:eastAsia="en-US"/>
              </w:rPr>
              <w:t>6</w:t>
            </w:r>
          </w:p>
        </w:tc>
        <w:tc>
          <w:tcPr>
            <w:tcW w:w="1127" w:type="dxa"/>
            <w:tcBorders>
              <w:top w:val="nil"/>
              <w:left w:val="nil"/>
              <w:bottom w:val="single" w:sz="4" w:space="0" w:color="auto"/>
              <w:right w:val="single" w:sz="4" w:space="0" w:color="auto"/>
            </w:tcBorders>
            <w:shd w:val="clear" w:color="auto" w:fill="auto"/>
            <w:vAlign w:val="center"/>
            <w:hideMark/>
          </w:tcPr>
          <w:p w:rsidR="007E3897" w:rsidRPr="007E3897" w:rsidRDefault="007E3897" w:rsidP="00463D1F">
            <w:pPr>
              <w:jc w:val="center"/>
              <w:rPr>
                <w:b/>
                <w:bCs/>
                <w:sz w:val="18"/>
                <w:szCs w:val="18"/>
                <w:lang w:val="en-US" w:eastAsia="en-US"/>
              </w:rPr>
            </w:pPr>
            <w:r w:rsidRPr="007E3897">
              <w:rPr>
                <w:b/>
                <w:bCs/>
                <w:sz w:val="18"/>
                <w:szCs w:val="18"/>
                <w:lang w:val="en-US" w:eastAsia="en-US"/>
              </w:rPr>
              <w:t>201</w:t>
            </w:r>
            <w:r w:rsidR="00463D1F">
              <w:rPr>
                <w:b/>
                <w:bCs/>
                <w:sz w:val="18"/>
                <w:szCs w:val="18"/>
                <w:lang w:val="en-US" w:eastAsia="en-US"/>
              </w:rPr>
              <w:t>7</w:t>
            </w:r>
          </w:p>
        </w:tc>
        <w:tc>
          <w:tcPr>
            <w:tcW w:w="1127" w:type="dxa"/>
            <w:tcBorders>
              <w:top w:val="nil"/>
              <w:left w:val="nil"/>
              <w:bottom w:val="single" w:sz="4" w:space="0" w:color="auto"/>
              <w:right w:val="single" w:sz="4" w:space="0" w:color="auto"/>
            </w:tcBorders>
            <w:shd w:val="clear" w:color="auto" w:fill="auto"/>
            <w:vAlign w:val="center"/>
          </w:tcPr>
          <w:p w:rsidR="007E3897" w:rsidRPr="007E3897" w:rsidRDefault="007E3897" w:rsidP="00463D1F">
            <w:pPr>
              <w:jc w:val="center"/>
              <w:rPr>
                <w:b/>
                <w:bCs/>
                <w:sz w:val="18"/>
                <w:szCs w:val="18"/>
                <w:lang w:val="en-US" w:eastAsia="en-US"/>
              </w:rPr>
            </w:pPr>
            <w:r w:rsidRPr="007E3897">
              <w:rPr>
                <w:b/>
                <w:bCs/>
                <w:sz w:val="18"/>
                <w:szCs w:val="18"/>
                <w:lang w:val="en-US" w:eastAsia="en-US"/>
              </w:rPr>
              <w:t>201</w:t>
            </w:r>
            <w:r w:rsidR="00463D1F">
              <w:rPr>
                <w:b/>
                <w:bCs/>
                <w:sz w:val="18"/>
                <w:szCs w:val="18"/>
                <w:lang w:val="en-US" w:eastAsia="en-US"/>
              </w:rPr>
              <w:t>8</w:t>
            </w:r>
          </w:p>
        </w:tc>
      </w:tr>
      <w:tr w:rsidR="00463D1F" w:rsidRPr="007E3897" w:rsidTr="00187A4E">
        <w:trPr>
          <w:trHeight w:val="288"/>
          <w:jc w:val="center"/>
        </w:trPr>
        <w:tc>
          <w:tcPr>
            <w:tcW w:w="2620"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Medici (exclusiv stomatologi)</w:t>
            </w:r>
          </w:p>
        </w:tc>
        <w:tc>
          <w:tcPr>
            <w:tcW w:w="1984" w:type="dxa"/>
            <w:vMerge w:val="restart"/>
            <w:tcBorders>
              <w:top w:val="nil"/>
              <w:left w:val="nil"/>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Total</w:t>
            </w: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Total</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11904</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12092</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bCs/>
                <w:sz w:val="18"/>
                <w:szCs w:val="18"/>
              </w:rPr>
            </w:pPr>
            <w:r w:rsidRPr="006C6851">
              <w:rPr>
                <w:bCs/>
                <w:sz w:val="18"/>
                <w:szCs w:val="18"/>
              </w:rPr>
              <w:t>12537</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12724</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tcBorders>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Feminin</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8204</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8422</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8779</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9026</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val="restart"/>
            <w:tcBorders>
              <w:top w:val="nil"/>
              <w:left w:val="nil"/>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Proprietate publică</w:t>
            </w: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Total</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8795</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7959</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8050</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8392</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tcBorders>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Feminin</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6059</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5429</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5513</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5791</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val="restart"/>
            <w:tcBorders>
              <w:top w:val="nil"/>
              <w:left w:val="nil"/>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Proprietate privată</w:t>
            </w: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Total</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3109</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4133</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4487</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4332</w:t>
            </w:r>
          </w:p>
        </w:tc>
      </w:tr>
      <w:tr w:rsidR="00463D1F" w:rsidRPr="007E3897" w:rsidTr="00187A4E">
        <w:trPr>
          <w:trHeight w:val="288"/>
          <w:jc w:val="center"/>
        </w:trPr>
        <w:tc>
          <w:tcPr>
            <w:tcW w:w="2620" w:type="dxa"/>
            <w:vMerge/>
            <w:tcBorders>
              <w:left w:val="single" w:sz="4" w:space="0" w:color="auto"/>
              <w:bottom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tcBorders>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Feminin</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2145</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2993</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3266</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3235</w:t>
            </w:r>
          </w:p>
        </w:tc>
      </w:tr>
      <w:tr w:rsidR="00463D1F" w:rsidRPr="007E3897" w:rsidTr="00187A4E">
        <w:trPr>
          <w:trHeight w:val="288"/>
          <w:jc w:val="center"/>
        </w:trPr>
        <w:tc>
          <w:tcPr>
            <w:tcW w:w="2620"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din care: medici de familie</w:t>
            </w:r>
          </w:p>
        </w:tc>
        <w:tc>
          <w:tcPr>
            <w:tcW w:w="1984" w:type="dxa"/>
            <w:vMerge w:val="restart"/>
            <w:tcBorders>
              <w:top w:val="nil"/>
              <w:left w:val="nil"/>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Total</w:t>
            </w: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Total</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1698</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1677</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1763</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1771</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tcBorders>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Feminin</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1341</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1328</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1401</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1394</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val="restart"/>
            <w:tcBorders>
              <w:top w:val="nil"/>
              <w:left w:val="nil"/>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Proprietate publică</w:t>
            </w: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Total</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983</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242</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267</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265</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tcBorders>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Feminin</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796</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171</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195</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191</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val="restart"/>
            <w:tcBorders>
              <w:top w:val="nil"/>
              <w:left w:val="nil"/>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Proprietate privată</w:t>
            </w: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Total</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715</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1435</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1496</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1506</w:t>
            </w:r>
          </w:p>
        </w:tc>
      </w:tr>
      <w:tr w:rsidR="00463D1F" w:rsidRPr="007E3897" w:rsidTr="00187A4E">
        <w:trPr>
          <w:trHeight w:val="288"/>
          <w:jc w:val="center"/>
        </w:trPr>
        <w:tc>
          <w:tcPr>
            <w:tcW w:w="2620" w:type="dxa"/>
            <w:vMerge/>
            <w:tcBorders>
              <w:left w:val="single" w:sz="4" w:space="0" w:color="auto"/>
              <w:bottom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tcBorders>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Feminin</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545</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1157</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1206</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1203</w:t>
            </w:r>
          </w:p>
        </w:tc>
      </w:tr>
      <w:tr w:rsidR="00463D1F" w:rsidRPr="007E3897" w:rsidTr="00187A4E">
        <w:trPr>
          <w:trHeight w:val="288"/>
          <w:jc w:val="center"/>
        </w:trPr>
        <w:tc>
          <w:tcPr>
            <w:tcW w:w="2620"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Stomatologi</w:t>
            </w:r>
          </w:p>
        </w:tc>
        <w:tc>
          <w:tcPr>
            <w:tcW w:w="1984" w:type="dxa"/>
            <w:vMerge w:val="restart"/>
            <w:tcBorders>
              <w:top w:val="nil"/>
              <w:left w:val="nil"/>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Total</w:t>
            </w: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Total</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2668</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2680</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2930</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2864</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tcBorders>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Feminin</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1801</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1806</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1973</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1915</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val="restart"/>
            <w:tcBorders>
              <w:top w:val="nil"/>
              <w:left w:val="nil"/>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Proprietate publică</w:t>
            </w: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Total</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715</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424</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385</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356</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tcBorders>
              <w:left w:val="nil"/>
              <w:bottom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Feminin</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563</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338</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320</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288</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val="restart"/>
            <w:tcBorders>
              <w:top w:val="nil"/>
              <w:left w:val="nil"/>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Proprietate privată</w:t>
            </w: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Total</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1953</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2256</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2545</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2508</w:t>
            </w:r>
          </w:p>
        </w:tc>
      </w:tr>
      <w:tr w:rsidR="00463D1F" w:rsidRPr="007E3897" w:rsidTr="00187A4E">
        <w:trPr>
          <w:trHeight w:val="288"/>
          <w:jc w:val="center"/>
        </w:trPr>
        <w:tc>
          <w:tcPr>
            <w:tcW w:w="2620" w:type="dxa"/>
            <w:vMerge/>
            <w:tcBorders>
              <w:left w:val="single" w:sz="4" w:space="0" w:color="auto"/>
              <w:bottom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tcBorders>
              <w:left w:val="nil"/>
              <w:bottom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Feminin</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1238</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1468</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1653</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1627</w:t>
            </w:r>
          </w:p>
        </w:tc>
      </w:tr>
      <w:tr w:rsidR="00463D1F" w:rsidRPr="007E3897" w:rsidTr="00187A4E">
        <w:trPr>
          <w:trHeight w:val="288"/>
          <w:jc w:val="center"/>
        </w:trPr>
        <w:tc>
          <w:tcPr>
            <w:tcW w:w="2620"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lastRenderedPageBreak/>
              <w:t>Farmacişti</w:t>
            </w:r>
          </w:p>
        </w:tc>
        <w:tc>
          <w:tcPr>
            <w:tcW w:w="1984" w:type="dxa"/>
            <w:vMerge w:val="restart"/>
            <w:tcBorders>
              <w:top w:val="nil"/>
              <w:left w:val="nil"/>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Total</w:t>
            </w: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Total</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4543</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4555</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4168</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4408</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tcBorders>
              <w:left w:val="nil"/>
              <w:bottom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Feminin</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4076</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4076</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3690</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3924</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val="restart"/>
            <w:tcBorders>
              <w:top w:val="nil"/>
              <w:left w:val="nil"/>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Proprietate publică</w:t>
            </w: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Total</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220</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206</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243</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259</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tcBorders>
              <w:left w:val="nil"/>
              <w:bottom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Feminin</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191</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181</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214</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228</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val="restart"/>
            <w:tcBorders>
              <w:top w:val="nil"/>
              <w:left w:val="nil"/>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Proprietate privată</w:t>
            </w: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Total</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4323</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4349</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3925</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4149</w:t>
            </w:r>
          </w:p>
        </w:tc>
      </w:tr>
      <w:tr w:rsidR="00463D1F" w:rsidRPr="007E3897" w:rsidTr="00187A4E">
        <w:trPr>
          <w:trHeight w:val="288"/>
          <w:jc w:val="center"/>
        </w:trPr>
        <w:tc>
          <w:tcPr>
            <w:tcW w:w="2620" w:type="dxa"/>
            <w:vMerge/>
            <w:tcBorders>
              <w:left w:val="single" w:sz="4" w:space="0" w:color="auto"/>
              <w:bottom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tcBorders>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Feminin</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3885</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3895</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3476</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3696</w:t>
            </w:r>
          </w:p>
        </w:tc>
      </w:tr>
      <w:tr w:rsidR="00463D1F" w:rsidRPr="007E3897" w:rsidTr="00187A4E">
        <w:trPr>
          <w:trHeight w:val="576"/>
          <w:jc w:val="center"/>
        </w:trPr>
        <w:tc>
          <w:tcPr>
            <w:tcW w:w="2620"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Alte tipuri de personal sanitar cu studii superioare</w:t>
            </w:r>
          </w:p>
        </w:tc>
        <w:tc>
          <w:tcPr>
            <w:tcW w:w="1984" w:type="dxa"/>
            <w:vMerge w:val="restart"/>
            <w:tcBorders>
              <w:top w:val="nil"/>
              <w:left w:val="nil"/>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Total</w:t>
            </w: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Total</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3743</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3904</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4118</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tcBorders>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Feminin</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3314</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3466</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3666</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val="restart"/>
            <w:tcBorders>
              <w:top w:val="nil"/>
              <w:left w:val="nil"/>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Proprietate publică</w:t>
            </w: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Total</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3134</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3230</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3322</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tcBorders>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Feminin</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2836</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2916</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2987</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val="restart"/>
            <w:tcBorders>
              <w:top w:val="nil"/>
              <w:left w:val="nil"/>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Proprietate privată</w:t>
            </w: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Total</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609</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674</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796</w:t>
            </w:r>
          </w:p>
        </w:tc>
      </w:tr>
      <w:tr w:rsidR="00463D1F" w:rsidRPr="007E3897" w:rsidTr="00187A4E">
        <w:trPr>
          <w:trHeight w:val="288"/>
          <w:jc w:val="center"/>
        </w:trPr>
        <w:tc>
          <w:tcPr>
            <w:tcW w:w="2620" w:type="dxa"/>
            <w:vMerge/>
            <w:tcBorders>
              <w:left w:val="single" w:sz="4" w:space="0" w:color="auto"/>
              <w:bottom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tcBorders>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Feminin</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478</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550</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679</w:t>
            </w:r>
          </w:p>
        </w:tc>
      </w:tr>
      <w:tr w:rsidR="00463D1F" w:rsidRPr="007E3897" w:rsidTr="00187A4E">
        <w:trPr>
          <w:trHeight w:val="576"/>
          <w:jc w:val="center"/>
        </w:trPr>
        <w:tc>
          <w:tcPr>
            <w:tcW w:w="2620"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Din care: asistenţi medicali cu studii superioare</w:t>
            </w:r>
          </w:p>
        </w:tc>
        <w:tc>
          <w:tcPr>
            <w:tcW w:w="1984" w:type="dxa"/>
            <w:vMerge w:val="restart"/>
            <w:tcBorders>
              <w:top w:val="nil"/>
              <w:left w:val="nil"/>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Total</w:t>
            </w: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Total</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2755</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2821</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2887</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tcBorders>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Feminin</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2534</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2586</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2678</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val="restart"/>
            <w:tcBorders>
              <w:top w:val="nil"/>
              <w:left w:val="nil"/>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Proprietate publică</w:t>
            </w: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Total</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2408</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2444</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2462</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tcBorders>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Feminin</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2263</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2291</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2305</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val="restart"/>
            <w:tcBorders>
              <w:top w:val="nil"/>
              <w:left w:val="nil"/>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Proprietate privată</w:t>
            </w: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Total</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347</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377</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425</w:t>
            </w:r>
          </w:p>
        </w:tc>
      </w:tr>
      <w:tr w:rsidR="00463D1F" w:rsidRPr="007E3897" w:rsidTr="00187A4E">
        <w:trPr>
          <w:trHeight w:val="288"/>
          <w:jc w:val="center"/>
        </w:trPr>
        <w:tc>
          <w:tcPr>
            <w:tcW w:w="2620" w:type="dxa"/>
            <w:vMerge/>
            <w:tcBorders>
              <w:left w:val="single" w:sz="4" w:space="0" w:color="auto"/>
              <w:bottom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tcBorders>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Feminin</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271</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295</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373</w:t>
            </w:r>
          </w:p>
        </w:tc>
      </w:tr>
      <w:tr w:rsidR="00463D1F" w:rsidRPr="007E3897" w:rsidTr="00187A4E">
        <w:trPr>
          <w:trHeight w:val="288"/>
          <w:jc w:val="center"/>
        </w:trPr>
        <w:tc>
          <w:tcPr>
            <w:tcW w:w="2620"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Personal sanitar mediu</w:t>
            </w:r>
          </w:p>
        </w:tc>
        <w:tc>
          <w:tcPr>
            <w:tcW w:w="1984" w:type="dxa"/>
            <w:vMerge w:val="restart"/>
            <w:tcBorders>
              <w:top w:val="nil"/>
              <w:left w:val="nil"/>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Total</w:t>
            </w: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Total</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17902</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19370</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20782</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21521</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tcBorders>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Feminin</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16408</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16975</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18073</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18605</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val="restart"/>
            <w:tcBorders>
              <w:top w:val="nil"/>
              <w:left w:val="nil"/>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Proprietate publică</w:t>
            </w: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Total</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14641</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13992</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14702</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15199</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tcBorders>
              <w:left w:val="nil"/>
              <w:bottom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Feminin</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13460</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12822</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13363</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13692</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val="restart"/>
            <w:tcBorders>
              <w:top w:val="nil"/>
              <w:left w:val="nil"/>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Proprietate privată</w:t>
            </w: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Total</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3261</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5378</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6080</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6322</w:t>
            </w:r>
          </w:p>
        </w:tc>
      </w:tr>
      <w:tr w:rsidR="00463D1F" w:rsidRPr="007E3897" w:rsidTr="00187A4E">
        <w:trPr>
          <w:trHeight w:val="288"/>
          <w:jc w:val="center"/>
        </w:trPr>
        <w:tc>
          <w:tcPr>
            <w:tcW w:w="2620" w:type="dxa"/>
            <w:vMerge/>
            <w:tcBorders>
              <w:left w:val="single" w:sz="4" w:space="0" w:color="auto"/>
              <w:bottom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tcBorders>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Feminin</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2948</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4153</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4710</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4913</w:t>
            </w:r>
          </w:p>
        </w:tc>
      </w:tr>
      <w:tr w:rsidR="00463D1F" w:rsidRPr="007E3897" w:rsidTr="00187A4E">
        <w:trPr>
          <w:trHeight w:val="288"/>
          <w:jc w:val="center"/>
        </w:trPr>
        <w:tc>
          <w:tcPr>
            <w:tcW w:w="2620"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din care: asistenţi medicali</w:t>
            </w:r>
          </w:p>
        </w:tc>
        <w:tc>
          <w:tcPr>
            <w:tcW w:w="1984" w:type="dxa"/>
            <w:vMerge w:val="restart"/>
            <w:tcBorders>
              <w:top w:val="nil"/>
              <w:left w:val="nil"/>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Total</w:t>
            </w: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Total</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17227</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18525</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19182</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tcBorders>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Feminin</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15256</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16310</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16777</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val="restart"/>
            <w:tcBorders>
              <w:top w:val="nil"/>
              <w:left w:val="nil"/>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Proprietate publică</w:t>
            </w: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Total</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12409</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13018</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13444</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tcBorders>
              <w:left w:val="nil"/>
              <w:bottom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Feminin</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11385</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11870</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12171</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val="restart"/>
            <w:tcBorders>
              <w:top w:val="nil"/>
              <w:left w:val="nil"/>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Proprietate privată</w:t>
            </w: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Total</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4818</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5507</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5738</w:t>
            </w:r>
          </w:p>
        </w:tc>
      </w:tr>
      <w:tr w:rsidR="00463D1F" w:rsidRPr="007E3897" w:rsidTr="00187A4E">
        <w:trPr>
          <w:trHeight w:val="288"/>
          <w:jc w:val="center"/>
        </w:trPr>
        <w:tc>
          <w:tcPr>
            <w:tcW w:w="2620" w:type="dxa"/>
            <w:vMerge/>
            <w:tcBorders>
              <w:left w:val="single" w:sz="4" w:space="0" w:color="auto"/>
              <w:bottom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tcBorders>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Feminin</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3871</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4440</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4606</w:t>
            </w:r>
          </w:p>
        </w:tc>
      </w:tr>
      <w:tr w:rsidR="00463D1F" w:rsidRPr="007E3897" w:rsidTr="00187A4E">
        <w:trPr>
          <w:trHeight w:val="576"/>
          <w:jc w:val="center"/>
        </w:trPr>
        <w:tc>
          <w:tcPr>
            <w:tcW w:w="2620"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Asistenţi medicali obstetrică - ginecologie (Moaşe)</w:t>
            </w:r>
          </w:p>
        </w:tc>
        <w:tc>
          <w:tcPr>
            <w:tcW w:w="1984" w:type="dxa"/>
            <w:vMerge w:val="restart"/>
            <w:tcBorders>
              <w:top w:val="nil"/>
              <w:left w:val="nil"/>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Total</w:t>
            </w: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Total</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279</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289</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299</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239</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tcBorders>
              <w:left w:val="nil"/>
              <w:bottom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Feminin</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278</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286</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297</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239</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val="restart"/>
            <w:tcBorders>
              <w:top w:val="nil"/>
              <w:left w:val="nil"/>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Proprietate publică</w:t>
            </w: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Total</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227</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216</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155</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146</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tcBorders>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Feminin</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227</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216</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155</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146</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val="restart"/>
            <w:tcBorders>
              <w:top w:val="nil"/>
              <w:left w:val="nil"/>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Proprietate privată</w:t>
            </w: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Total</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52</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73</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144</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93</w:t>
            </w:r>
          </w:p>
        </w:tc>
      </w:tr>
      <w:tr w:rsidR="00463D1F" w:rsidRPr="007E3897" w:rsidTr="00187A4E">
        <w:trPr>
          <w:trHeight w:val="288"/>
          <w:jc w:val="center"/>
        </w:trPr>
        <w:tc>
          <w:tcPr>
            <w:tcW w:w="2620" w:type="dxa"/>
            <w:vMerge/>
            <w:tcBorders>
              <w:left w:val="single" w:sz="4" w:space="0" w:color="auto"/>
              <w:bottom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tcBorders>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Feminin</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51</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70</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142</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93</w:t>
            </w:r>
          </w:p>
        </w:tc>
      </w:tr>
      <w:tr w:rsidR="00463D1F" w:rsidRPr="007E3897" w:rsidTr="00187A4E">
        <w:trPr>
          <w:trHeight w:val="288"/>
          <w:jc w:val="center"/>
        </w:trPr>
        <w:tc>
          <w:tcPr>
            <w:tcW w:w="2620" w:type="dxa"/>
            <w:vMerge w:val="restart"/>
            <w:tcBorders>
              <w:top w:val="nil"/>
              <w:left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Personal sanitar auxiliar</w:t>
            </w:r>
          </w:p>
        </w:tc>
        <w:tc>
          <w:tcPr>
            <w:tcW w:w="1984" w:type="dxa"/>
            <w:vMerge w:val="restart"/>
            <w:tcBorders>
              <w:top w:val="nil"/>
              <w:left w:val="nil"/>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Total</w:t>
            </w: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Total</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8469</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9134</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9857</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10218</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tcBorders>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Feminin</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7212</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7892</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8532</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8821</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val="restart"/>
            <w:tcBorders>
              <w:top w:val="nil"/>
              <w:left w:val="nil"/>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Proprietate publică</w:t>
            </w: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Total</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8034</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8637</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9096</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9450</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tcBorders>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Feminin</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6884</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7483</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7900</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8156</w:t>
            </w:r>
          </w:p>
        </w:tc>
      </w:tr>
      <w:tr w:rsidR="00463D1F" w:rsidRPr="007E3897" w:rsidTr="00187A4E">
        <w:trPr>
          <w:trHeight w:val="288"/>
          <w:jc w:val="center"/>
        </w:trPr>
        <w:tc>
          <w:tcPr>
            <w:tcW w:w="2620" w:type="dxa"/>
            <w:vMerge/>
            <w:tcBorders>
              <w:left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val="restart"/>
            <w:tcBorders>
              <w:top w:val="nil"/>
              <w:left w:val="nil"/>
              <w:right w:val="single" w:sz="4" w:space="0" w:color="auto"/>
            </w:tcBorders>
            <w:shd w:val="clear" w:color="auto" w:fill="auto"/>
            <w:vAlign w:val="center"/>
            <w:hideMark/>
          </w:tcPr>
          <w:p w:rsidR="00463D1F" w:rsidRPr="007E3897" w:rsidRDefault="00463D1F" w:rsidP="00A77970">
            <w:pPr>
              <w:rPr>
                <w:b/>
                <w:bCs/>
                <w:sz w:val="18"/>
                <w:szCs w:val="18"/>
                <w:lang w:val="en-US" w:eastAsia="en-US"/>
              </w:rPr>
            </w:pPr>
            <w:r w:rsidRPr="007E3897">
              <w:rPr>
                <w:b/>
                <w:bCs/>
                <w:sz w:val="18"/>
                <w:szCs w:val="18"/>
                <w:lang w:val="en-US" w:eastAsia="en-US"/>
              </w:rPr>
              <w:t>Proprietate privată</w:t>
            </w: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Total</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435</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497</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761</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768</w:t>
            </w:r>
          </w:p>
        </w:tc>
      </w:tr>
      <w:tr w:rsidR="00463D1F" w:rsidRPr="007E3897" w:rsidTr="00187A4E">
        <w:trPr>
          <w:trHeight w:val="288"/>
          <w:jc w:val="center"/>
        </w:trPr>
        <w:tc>
          <w:tcPr>
            <w:tcW w:w="2620" w:type="dxa"/>
            <w:vMerge/>
            <w:tcBorders>
              <w:left w:val="single" w:sz="4" w:space="0" w:color="auto"/>
              <w:bottom w:val="single" w:sz="4" w:space="0" w:color="auto"/>
              <w:right w:val="single" w:sz="4" w:space="0" w:color="auto"/>
            </w:tcBorders>
            <w:shd w:val="clear" w:color="auto" w:fill="auto"/>
            <w:vAlign w:val="center"/>
          </w:tcPr>
          <w:p w:rsidR="00463D1F" w:rsidRPr="007E3897" w:rsidRDefault="00463D1F" w:rsidP="00A77970">
            <w:pPr>
              <w:rPr>
                <w:b/>
                <w:bCs/>
                <w:sz w:val="18"/>
                <w:szCs w:val="18"/>
                <w:lang w:val="en-US" w:eastAsia="en-US"/>
              </w:rPr>
            </w:pPr>
          </w:p>
        </w:tc>
        <w:tc>
          <w:tcPr>
            <w:tcW w:w="1984" w:type="dxa"/>
            <w:vMerge/>
            <w:tcBorders>
              <w:left w:val="nil"/>
              <w:bottom w:val="single" w:sz="4" w:space="0" w:color="auto"/>
              <w:right w:val="single" w:sz="4" w:space="0" w:color="auto"/>
            </w:tcBorders>
            <w:shd w:val="clear" w:color="auto" w:fill="auto"/>
            <w:vAlign w:val="center"/>
            <w:hideMark/>
          </w:tcPr>
          <w:p w:rsidR="00463D1F" w:rsidRPr="007E3897" w:rsidRDefault="00463D1F" w:rsidP="00A77970">
            <w:pPr>
              <w:rPr>
                <w:b/>
                <w:bCs/>
                <w:sz w:val="18"/>
                <w:szCs w:val="18"/>
                <w:lang w:val="en-US" w:eastAsia="en-US"/>
              </w:rPr>
            </w:pPr>
          </w:p>
        </w:tc>
        <w:tc>
          <w:tcPr>
            <w:tcW w:w="1276" w:type="dxa"/>
            <w:tcBorders>
              <w:top w:val="nil"/>
              <w:left w:val="nil"/>
              <w:bottom w:val="single" w:sz="4" w:space="0" w:color="auto"/>
              <w:right w:val="single" w:sz="4" w:space="0" w:color="auto"/>
            </w:tcBorders>
            <w:shd w:val="clear" w:color="auto" w:fill="auto"/>
            <w:vAlign w:val="center"/>
            <w:hideMark/>
          </w:tcPr>
          <w:p w:rsidR="00463D1F" w:rsidRPr="007E3897" w:rsidRDefault="00463D1F" w:rsidP="00A77970">
            <w:pPr>
              <w:jc w:val="center"/>
              <w:rPr>
                <w:b/>
                <w:bCs/>
                <w:sz w:val="18"/>
                <w:szCs w:val="18"/>
                <w:lang w:val="en-US" w:eastAsia="en-US"/>
              </w:rPr>
            </w:pPr>
            <w:r w:rsidRPr="007E3897">
              <w:rPr>
                <w:b/>
                <w:bCs/>
                <w:sz w:val="18"/>
                <w:szCs w:val="18"/>
                <w:lang w:val="en-US" w:eastAsia="en-US"/>
              </w:rPr>
              <w:t>Feminin</w:t>
            </w:r>
          </w:p>
        </w:tc>
        <w:tc>
          <w:tcPr>
            <w:tcW w:w="1126"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328</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409</w:t>
            </w:r>
          </w:p>
        </w:tc>
        <w:tc>
          <w:tcPr>
            <w:tcW w:w="1127" w:type="dxa"/>
            <w:tcBorders>
              <w:top w:val="nil"/>
              <w:left w:val="nil"/>
              <w:bottom w:val="single" w:sz="4" w:space="0" w:color="auto"/>
              <w:right w:val="single" w:sz="4" w:space="0" w:color="auto"/>
            </w:tcBorders>
            <w:shd w:val="clear" w:color="auto" w:fill="auto"/>
            <w:vAlign w:val="bottom"/>
            <w:hideMark/>
          </w:tcPr>
          <w:p w:rsidR="00463D1F" w:rsidRPr="006C6851" w:rsidRDefault="00463D1F" w:rsidP="00565C64">
            <w:pPr>
              <w:jc w:val="right"/>
              <w:rPr>
                <w:sz w:val="18"/>
                <w:szCs w:val="18"/>
              </w:rPr>
            </w:pPr>
            <w:r w:rsidRPr="006C6851">
              <w:rPr>
                <w:sz w:val="18"/>
                <w:szCs w:val="18"/>
              </w:rPr>
              <w:t>632</w:t>
            </w:r>
          </w:p>
        </w:tc>
        <w:tc>
          <w:tcPr>
            <w:tcW w:w="1127" w:type="dxa"/>
            <w:tcBorders>
              <w:top w:val="nil"/>
              <w:left w:val="nil"/>
              <w:bottom w:val="single" w:sz="4" w:space="0" w:color="auto"/>
              <w:right w:val="single" w:sz="4" w:space="0" w:color="auto"/>
            </w:tcBorders>
            <w:shd w:val="clear" w:color="auto" w:fill="auto"/>
            <w:vAlign w:val="bottom"/>
          </w:tcPr>
          <w:p w:rsidR="00463D1F" w:rsidRPr="006C6851" w:rsidRDefault="00463D1F" w:rsidP="00565C64">
            <w:pPr>
              <w:jc w:val="right"/>
              <w:rPr>
                <w:sz w:val="18"/>
                <w:szCs w:val="18"/>
              </w:rPr>
            </w:pPr>
            <w:r w:rsidRPr="006C6851">
              <w:rPr>
                <w:sz w:val="18"/>
                <w:szCs w:val="18"/>
              </w:rPr>
              <w:t>665</w:t>
            </w:r>
          </w:p>
        </w:tc>
      </w:tr>
    </w:tbl>
    <w:p w:rsidR="007E3897" w:rsidRPr="007E3897" w:rsidRDefault="007E3897" w:rsidP="00A77970">
      <w:pPr>
        <w:rPr>
          <w:kern w:val="28"/>
          <w:sz w:val="18"/>
          <w:szCs w:val="18"/>
          <w:lang w:eastAsia="en-US"/>
        </w:rPr>
      </w:pPr>
      <w:r w:rsidRPr="007E3897">
        <w:rPr>
          <w:kern w:val="28"/>
          <w:sz w:val="18"/>
          <w:szCs w:val="18"/>
          <w:lang w:eastAsia="en-US"/>
        </w:rPr>
        <w:t>: = lipsă date</w:t>
      </w:r>
    </w:p>
    <w:p w:rsidR="00976FB1" w:rsidRPr="005A6616" w:rsidRDefault="00207B87" w:rsidP="00A77970">
      <w:pPr>
        <w:ind w:left="142"/>
        <w:jc w:val="both"/>
        <w:rPr>
          <w:b/>
        </w:rPr>
      </w:pPr>
      <w:r w:rsidRPr="005A6616">
        <w:rPr>
          <w:b/>
          <w:kern w:val="28"/>
          <w:lang w:val="en-US" w:eastAsia="en-US"/>
        </w:rPr>
        <w:lastRenderedPageBreak/>
        <w:t xml:space="preserve">Principalele </w:t>
      </w:r>
      <w:r w:rsidR="00CE7644" w:rsidRPr="005A6616">
        <w:rPr>
          <w:b/>
          <w:kern w:val="28"/>
          <w:lang w:val="en-US" w:eastAsia="en-US"/>
        </w:rPr>
        <w:t xml:space="preserve">obiective și </w:t>
      </w:r>
      <w:r w:rsidRPr="005A6616">
        <w:rPr>
          <w:b/>
          <w:kern w:val="28"/>
          <w:lang w:val="en-US" w:eastAsia="en-US"/>
        </w:rPr>
        <w:t xml:space="preserve">realizări, </w:t>
      </w:r>
      <w:r w:rsidRPr="005A6616">
        <w:rPr>
          <w:b/>
          <w:kern w:val="28"/>
          <w:lang w:eastAsia="en-US"/>
        </w:rPr>
        <w:t>în anul 201</w:t>
      </w:r>
      <w:r w:rsidR="00463D1F" w:rsidRPr="005A6616">
        <w:rPr>
          <w:b/>
          <w:kern w:val="28"/>
          <w:lang w:eastAsia="en-US"/>
        </w:rPr>
        <w:t>8</w:t>
      </w:r>
      <w:r w:rsidRPr="005A6616">
        <w:rPr>
          <w:b/>
          <w:kern w:val="28"/>
          <w:lang w:eastAsia="en-US"/>
        </w:rPr>
        <w:t>,</w:t>
      </w:r>
      <w:r w:rsidRPr="005A6616">
        <w:rPr>
          <w:b/>
          <w:kern w:val="28"/>
          <w:lang w:val="en-US" w:eastAsia="en-US"/>
        </w:rPr>
        <w:t xml:space="preserve"> ale </w:t>
      </w:r>
      <w:r w:rsidRPr="005A6616">
        <w:rPr>
          <w:b/>
        </w:rPr>
        <w:t>Direcți</w:t>
      </w:r>
      <w:r w:rsidR="00471218" w:rsidRPr="005A6616">
        <w:rPr>
          <w:b/>
        </w:rPr>
        <w:t>ei</w:t>
      </w:r>
      <w:r w:rsidRPr="005A6616">
        <w:rPr>
          <w:b/>
        </w:rPr>
        <w:t xml:space="preserve"> de Sănătate Publică a Municipiului București (DSP)</w:t>
      </w:r>
      <w:r w:rsidR="00CE7644" w:rsidRPr="005A6616">
        <w:rPr>
          <w:b/>
        </w:rPr>
        <w:t xml:space="preserve"> </w:t>
      </w:r>
    </w:p>
    <w:p w:rsidR="00976FB1" w:rsidRPr="005A6616" w:rsidRDefault="00976FB1" w:rsidP="00A77970">
      <w:pPr>
        <w:jc w:val="both"/>
        <w:rPr>
          <w:b/>
          <w:u w:val="single"/>
          <w:lang w:val="it-IT" w:eastAsia="en-US"/>
        </w:rPr>
      </w:pPr>
    </w:p>
    <w:p w:rsidR="00131906" w:rsidRPr="005A6616" w:rsidRDefault="00976FB1" w:rsidP="00A77970">
      <w:pPr>
        <w:jc w:val="both"/>
        <w:rPr>
          <w:b/>
          <w:u w:val="single"/>
          <w:lang w:val="it-IT" w:eastAsia="en-US"/>
        </w:rPr>
      </w:pPr>
      <w:r w:rsidRPr="005A6616">
        <w:rPr>
          <w:b/>
          <w:lang w:val="it-IT" w:eastAsia="en-US"/>
        </w:rPr>
        <w:tab/>
      </w:r>
      <w:r w:rsidR="00131906" w:rsidRPr="005A6616">
        <w:rPr>
          <w:b/>
          <w:u w:val="single"/>
          <w:lang w:val="it-IT" w:eastAsia="en-US"/>
        </w:rPr>
        <w:t xml:space="preserve">Supravegherea morbidității prin boli transmisibile </w:t>
      </w:r>
    </w:p>
    <w:p w:rsidR="00131906" w:rsidRPr="005A6616" w:rsidRDefault="00131906" w:rsidP="00A77970">
      <w:pPr>
        <w:jc w:val="both"/>
        <w:rPr>
          <w:lang w:val="it-IT" w:eastAsia="en-US"/>
        </w:rPr>
      </w:pPr>
      <w:r w:rsidRPr="005A6616">
        <w:rPr>
          <w:lang w:val="it-IT" w:eastAsia="en-US"/>
        </w:rPr>
        <w:tab/>
      </w:r>
      <w:r w:rsidRPr="005A6616">
        <w:rPr>
          <w:b/>
          <w:lang w:val="it-IT" w:eastAsia="en-US"/>
        </w:rPr>
        <w:t>Misiune:</w:t>
      </w:r>
      <w:r w:rsidRPr="005A6616">
        <w:rPr>
          <w:lang w:val="it-IT" w:eastAsia="en-US"/>
        </w:rPr>
        <w:t xml:space="preserve"> monitorizarea numărului de îmbolnăviri noi declarate de către  furnizorii de servicii medicale pentru stabilirea ratelor de atac în populație, pe unitatea de timp, analiza evoluției incidentelor  și depistarea tendințelor în vederea adoptării stategiilor de prevenire și evaluării eficienței măsurilor  implementate.  </w:t>
      </w:r>
    </w:p>
    <w:p w:rsidR="00732423" w:rsidRPr="00732423" w:rsidRDefault="00732423" w:rsidP="00732423">
      <w:pPr>
        <w:jc w:val="both"/>
        <w:rPr>
          <w:lang w:val="it-IT" w:eastAsia="en-US"/>
        </w:rPr>
      </w:pPr>
      <w:r>
        <w:rPr>
          <w:lang w:val="it-IT" w:eastAsia="en-US"/>
        </w:rPr>
        <w:tab/>
      </w:r>
      <w:r w:rsidRPr="00732423">
        <w:rPr>
          <w:lang w:val="it-IT" w:eastAsia="en-US"/>
        </w:rPr>
        <w:t>Incidența prin boli transmisibile în anul 2018 (316,57 %.ooo) a crescut față de valoarea calculată în anul 2017 (303,12 %.ooo) cu 13,45 procentimile sau cu 4,43 %</w:t>
      </w:r>
    </w:p>
    <w:p w:rsidR="00732423" w:rsidRPr="00732423" w:rsidRDefault="00732423" w:rsidP="00732423">
      <w:pPr>
        <w:jc w:val="both"/>
        <w:rPr>
          <w:lang w:val="it-IT" w:eastAsia="en-US"/>
        </w:rPr>
      </w:pPr>
      <w:r w:rsidRPr="00732423">
        <w:rPr>
          <w:lang w:val="it-IT" w:eastAsia="en-US"/>
        </w:rPr>
        <w:t>a)    au scăzut incidentele prin: hepatite acute virale (- 26,9 %), infecții determinate de streptococ grup A (- 26,8 %), mononucleoză infecțioasă (- 23,8 %), boală diareică acută (- 18,9 %) și meningite acute (- 13,2 %);</w:t>
      </w:r>
    </w:p>
    <w:p w:rsidR="00732423" w:rsidRPr="00732423" w:rsidRDefault="00732423" w:rsidP="00732423">
      <w:pPr>
        <w:jc w:val="both"/>
        <w:rPr>
          <w:lang w:val="it-IT" w:eastAsia="en-US"/>
        </w:rPr>
      </w:pPr>
      <w:r w:rsidRPr="00732423">
        <w:rPr>
          <w:lang w:val="it-IT" w:eastAsia="en-US"/>
        </w:rPr>
        <w:t>b)    au crescut incidentele prin: legioneloze (+ 198,4 %), boli transmise prin artropode (+ 134,5 %), gripă (+ 118,4 %), rujeolă (+ 56,6 %), ȚIA, să;moneloze și botulism (+ 35,59%), varicelă (+ 18,9 %) și tuse convilsiva (+ 10,5 %);</w:t>
      </w:r>
    </w:p>
    <w:p w:rsidR="00732423" w:rsidRDefault="00732423" w:rsidP="00732423">
      <w:pPr>
        <w:jc w:val="both"/>
        <w:rPr>
          <w:lang w:val="it-IT" w:eastAsia="en-US"/>
        </w:rPr>
      </w:pPr>
      <w:r>
        <w:rPr>
          <w:lang w:val="it-IT" w:eastAsia="en-US"/>
        </w:rPr>
        <w:tab/>
      </w:r>
      <w:r w:rsidRPr="00732423">
        <w:rPr>
          <w:lang w:val="it-IT" w:eastAsia="en-US"/>
        </w:rPr>
        <w:t>De subliniat faptul că în anul 2018 a evoluat cea mai mare epidemie de neuroinfectii West Nile, după epidemia din anul 1996 – detalii sunt inserate în capitalul West Nile din prezentul raport; de asemen</w:t>
      </w:r>
      <w:r>
        <w:rPr>
          <w:lang w:val="it-IT" w:eastAsia="en-US"/>
        </w:rPr>
        <w:t>ea, este</w:t>
      </w:r>
      <w:r w:rsidRPr="00732423">
        <w:rPr>
          <w:lang w:val="it-IT" w:eastAsia="en-US"/>
        </w:rPr>
        <w:t xml:space="preserve"> de notat faptul că în anul 2018 a continuat evoluția epidemiei de rujeo</w:t>
      </w:r>
      <w:r>
        <w:rPr>
          <w:lang w:val="it-IT" w:eastAsia="en-US"/>
        </w:rPr>
        <w:t>lă care a debutat în anul 2016.</w:t>
      </w:r>
    </w:p>
    <w:p w:rsidR="00732423" w:rsidRPr="00732423" w:rsidRDefault="00732423" w:rsidP="00732423">
      <w:pPr>
        <w:jc w:val="both"/>
        <w:rPr>
          <w:lang w:val="it-IT" w:eastAsia="en-US"/>
        </w:rPr>
      </w:pPr>
      <w:r>
        <w:rPr>
          <w:lang w:val="it-IT" w:eastAsia="en-US"/>
        </w:rPr>
        <w:tab/>
        <w:t>În anul 2018 în București</w:t>
      </w:r>
      <w:r w:rsidRPr="00732423">
        <w:rPr>
          <w:lang w:val="it-IT" w:eastAsia="en-US"/>
        </w:rPr>
        <w:t xml:space="preserve"> s-a menținut statusul de eredicare a poliomielitei cu virus sălba</w:t>
      </w:r>
      <w:r>
        <w:rPr>
          <w:lang w:val="it-IT" w:eastAsia="en-US"/>
        </w:rPr>
        <w:t>tic (dobândit în 2002),</w:t>
      </w:r>
      <w:r w:rsidRPr="00732423">
        <w:rPr>
          <w:lang w:val="it-IT" w:eastAsia="en-US"/>
        </w:rPr>
        <w:t xml:space="preserve"> s-a menținut statusul de eliminare a tetanosului neonatorum, difteriei respiratorii și a hepatitei B la popualtia care a beneficiat de vaccinarea universală la </w:t>
      </w:r>
      <w:r>
        <w:rPr>
          <w:lang w:val="it-IT" w:eastAsia="en-US"/>
        </w:rPr>
        <w:t>naștere (începând cu anul 1995),</w:t>
      </w:r>
      <w:r w:rsidRPr="00732423">
        <w:rPr>
          <w:lang w:val="it-IT" w:eastAsia="en-US"/>
        </w:rPr>
        <w:t xml:space="preserve"> s-a menținut statusul de întrerupere a transmisiei indigene a malariei.         </w:t>
      </w:r>
    </w:p>
    <w:p w:rsidR="00131906" w:rsidRPr="00732423" w:rsidRDefault="00732423" w:rsidP="00A77970">
      <w:pPr>
        <w:jc w:val="both"/>
        <w:rPr>
          <w:lang w:val="it-IT" w:eastAsia="en-US"/>
        </w:rPr>
      </w:pPr>
      <w:r w:rsidRPr="00732423">
        <w:rPr>
          <w:lang w:val="it-IT" w:eastAsia="en-US"/>
        </w:rPr>
        <w:t xml:space="preserve">  </w:t>
      </w:r>
      <w:r w:rsidR="00131906" w:rsidRPr="00306F64">
        <w:rPr>
          <w:highlight w:val="yellow"/>
          <w:lang w:val="it-IT" w:eastAsia="en-US"/>
        </w:rPr>
        <w:t xml:space="preserve">  </w:t>
      </w:r>
    </w:p>
    <w:p w:rsidR="00131906" w:rsidRPr="00732423" w:rsidRDefault="00131906" w:rsidP="00A77970">
      <w:pPr>
        <w:jc w:val="both"/>
        <w:rPr>
          <w:b/>
          <w:u w:val="single"/>
          <w:lang w:val="it-IT" w:eastAsia="en-US"/>
        </w:rPr>
      </w:pPr>
      <w:r w:rsidRPr="00732423">
        <w:rPr>
          <w:lang w:val="it-IT" w:eastAsia="en-US"/>
        </w:rPr>
        <w:tab/>
      </w:r>
      <w:r w:rsidRPr="00732423">
        <w:rPr>
          <w:b/>
          <w:u w:val="single"/>
          <w:lang w:val="it-IT" w:eastAsia="en-US"/>
        </w:rPr>
        <w:t xml:space="preserve">Coordonarea activității de imunoprofilaxie rutinieră și selectivă </w:t>
      </w:r>
    </w:p>
    <w:p w:rsidR="00131906" w:rsidRPr="00732423" w:rsidRDefault="00131906" w:rsidP="00A77970">
      <w:pPr>
        <w:jc w:val="both"/>
        <w:rPr>
          <w:lang w:val="it-IT" w:eastAsia="en-US"/>
        </w:rPr>
      </w:pPr>
      <w:r w:rsidRPr="00732423">
        <w:rPr>
          <w:lang w:val="it-IT" w:eastAsia="en-US"/>
        </w:rPr>
        <w:tab/>
      </w:r>
      <w:r w:rsidRPr="00732423">
        <w:rPr>
          <w:b/>
          <w:lang w:val="it-IT" w:eastAsia="en-US"/>
        </w:rPr>
        <w:t>Misiune:</w:t>
      </w:r>
      <w:r w:rsidRPr="00732423">
        <w:rPr>
          <w:lang w:val="it-IT" w:eastAsia="en-US"/>
        </w:rPr>
        <w:t xml:space="preserve"> primirea și distribuiea de vaccinuri, materiale de administrare parenterală pentru vaccinurile injectabile și materiale de scoatere din uz, fără risc biologic, a acelor și seringilor utilizate pentru administrarea parenterală a vaccinurilor;  </w:t>
      </w:r>
    </w:p>
    <w:p w:rsidR="00131906" w:rsidRPr="00732423" w:rsidRDefault="00131906" w:rsidP="00A77970">
      <w:pPr>
        <w:jc w:val="both"/>
        <w:rPr>
          <w:lang w:val="it-IT" w:eastAsia="en-US"/>
        </w:rPr>
      </w:pPr>
      <w:r w:rsidRPr="00732423">
        <w:rPr>
          <w:lang w:val="it-IT" w:eastAsia="en-US"/>
        </w:rPr>
        <w:t xml:space="preserve">-gestionarea/monitorizarea dozelor de vaccin și a altor materiale utilizate în vaccinare precum și evidența persoanelor vaccinate.  </w:t>
      </w:r>
    </w:p>
    <w:p w:rsidR="00131906" w:rsidRPr="00732423" w:rsidRDefault="00131906" w:rsidP="00A77970">
      <w:pPr>
        <w:jc w:val="both"/>
        <w:rPr>
          <w:lang w:val="it-IT" w:eastAsia="en-US"/>
        </w:rPr>
      </w:pPr>
      <w:r w:rsidRPr="00732423">
        <w:rPr>
          <w:lang w:val="it-IT" w:eastAsia="en-US"/>
        </w:rPr>
        <w:t xml:space="preserve">  </w:t>
      </w:r>
      <w:r w:rsidRPr="00732423">
        <w:rPr>
          <w:lang w:val="it-IT" w:eastAsia="en-US"/>
        </w:rPr>
        <w:tab/>
      </w:r>
      <w:r w:rsidR="00732423" w:rsidRPr="00732423">
        <w:rPr>
          <w:color w:val="000000"/>
          <w:lang w:val="it-IT" w:eastAsia="en-GB"/>
        </w:rPr>
        <w:t>În anul 2018, acoperirea vaccinală a variat între 95,1 % la vaccinarea cu vaccin Hepatită B pediatric administrat la naștere și respectiv 4,0 % la bivaccinul diftero-tetanic administrat la vârstă de 14 ani.</w:t>
      </w:r>
      <w:r w:rsidRPr="00732423">
        <w:rPr>
          <w:lang w:val="it-IT" w:eastAsia="en-US"/>
        </w:rPr>
        <w:tab/>
      </w:r>
    </w:p>
    <w:p w:rsidR="00131906" w:rsidRPr="00732423" w:rsidRDefault="00131906" w:rsidP="00A77970">
      <w:pPr>
        <w:jc w:val="both"/>
        <w:rPr>
          <w:b/>
          <w:u w:val="single"/>
          <w:lang w:val="it-IT" w:eastAsia="en-US"/>
        </w:rPr>
      </w:pPr>
      <w:r w:rsidRPr="00732423">
        <w:rPr>
          <w:lang w:val="it-IT" w:eastAsia="en-US"/>
        </w:rPr>
        <w:tab/>
      </w:r>
      <w:r w:rsidRPr="00732423">
        <w:rPr>
          <w:b/>
          <w:u w:val="single"/>
          <w:lang w:val="it-IT" w:eastAsia="en-US"/>
        </w:rPr>
        <w:t xml:space="preserve">Supravegherea virozelor respiratorii în sezonul de gripă </w:t>
      </w:r>
    </w:p>
    <w:p w:rsidR="00131906" w:rsidRPr="00732423" w:rsidRDefault="00131906" w:rsidP="00A77970">
      <w:pPr>
        <w:jc w:val="both"/>
        <w:rPr>
          <w:lang w:val="it-IT" w:eastAsia="en-US"/>
        </w:rPr>
      </w:pPr>
      <w:r w:rsidRPr="00732423">
        <w:rPr>
          <w:lang w:val="it-IT" w:eastAsia="en-US"/>
        </w:rPr>
        <w:t xml:space="preserve">  </w:t>
      </w:r>
      <w:r w:rsidRPr="00732423">
        <w:rPr>
          <w:lang w:val="it-IT" w:eastAsia="en-US"/>
        </w:rPr>
        <w:tab/>
      </w:r>
      <w:r w:rsidRPr="00732423">
        <w:rPr>
          <w:b/>
          <w:lang w:val="it-IT" w:eastAsia="en-US"/>
        </w:rPr>
        <w:t>Misiune:</w:t>
      </w:r>
      <w:r w:rsidRPr="00732423">
        <w:rPr>
          <w:lang w:val="it-IT" w:eastAsia="en-US"/>
        </w:rPr>
        <w:t xml:space="preserve"> monitorizarea indicatorilor sanitari care semnalează prezența circulației virusurilor gripale în populația municipiului București (în sezonul de gripă) și identificarea/ anticiparea perioadei transmiterii  virusurilor gripale în populația generală în vederea  implementării  măsurilor de profilaxie adecvate. </w:t>
      </w:r>
    </w:p>
    <w:p w:rsidR="00732423" w:rsidRDefault="00732423" w:rsidP="00732423">
      <w:pPr>
        <w:jc w:val="both"/>
        <w:rPr>
          <w:lang w:val="it-IT" w:eastAsia="en-US"/>
        </w:rPr>
      </w:pPr>
      <w:r>
        <w:rPr>
          <w:lang w:val="it-IT" w:eastAsia="en-US"/>
        </w:rPr>
        <w:tab/>
      </w:r>
      <w:r w:rsidRPr="00732423">
        <w:rPr>
          <w:lang w:val="it-IT" w:eastAsia="en-US"/>
        </w:rPr>
        <w:t xml:space="preserve">În România începând cu săptămâna S6 incidența prin cazurile de gripă diagnosticate clinic (ILI) </w:t>
      </w:r>
      <w:r>
        <w:rPr>
          <w:lang w:val="it-IT" w:eastAsia="en-US"/>
        </w:rPr>
        <w:t xml:space="preserve">și </w:t>
      </w:r>
      <w:r w:rsidRPr="00732423">
        <w:rPr>
          <w:lang w:val="it-IT" w:eastAsia="en-US"/>
        </w:rPr>
        <w:t>prin infecții acute respiratorii au dep</w:t>
      </w:r>
      <w:r>
        <w:rPr>
          <w:lang w:val="it-IT" w:eastAsia="en-US"/>
        </w:rPr>
        <w:t>asit pragul epidemic.</w:t>
      </w:r>
    </w:p>
    <w:p w:rsidR="00732423" w:rsidRDefault="00732423" w:rsidP="00732423">
      <w:pPr>
        <w:jc w:val="both"/>
        <w:rPr>
          <w:lang w:val="it-IT" w:eastAsia="en-US"/>
        </w:rPr>
      </w:pPr>
      <w:r>
        <w:rPr>
          <w:lang w:val="it-IT" w:eastAsia="en-US"/>
        </w:rPr>
        <w:tab/>
      </w:r>
      <w:r w:rsidRPr="00732423">
        <w:rPr>
          <w:lang w:val="it-IT" w:eastAsia="en-US"/>
        </w:rPr>
        <w:t xml:space="preserve">În municipiul București incidența prin “viroze respiratorii” raportate de către toți furnizorii de servicii medicale a atins un maxim de 160 cazuri la </w:t>
      </w:r>
      <w:r>
        <w:rPr>
          <w:lang w:val="it-IT" w:eastAsia="en-US"/>
        </w:rPr>
        <w:t>100.000</w:t>
      </w:r>
      <w:r w:rsidRPr="00732423">
        <w:rPr>
          <w:lang w:val="it-IT" w:eastAsia="en-US"/>
        </w:rPr>
        <w:t xml:space="preserve"> locuitori în S7</w:t>
      </w:r>
      <w:r>
        <w:rPr>
          <w:lang w:val="it-IT" w:eastAsia="en-US"/>
        </w:rPr>
        <w:t>.</w:t>
      </w:r>
      <w:r w:rsidRPr="00732423">
        <w:rPr>
          <w:lang w:val="it-IT" w:eastAsia="en-US"/>
        </w:rPr>
        <w:t xml:space="preserve">  </w:t>
      </w:r>
    </w:p>
    <w:p w:rsidR="00732423" w:rsidRPr="00732423" w:rsidRDefault="00732423" w:rsidP="00732423">
      <w:pPr>
        <w:jc w:val="both"/>
        <w:rPr>
          <w:lang w:val="it-IT" w:eastAsia="en-US"/>
        </w:rPr>
      </w:pPr>
      <w:r>
        <w:rPr>
          <w:noProof/>
        </w:rPr>
        <w:lastRenderedPageBreak/>
        <w:drawing>
          <wp:inline distT="0" distB="0" distL="0" distR="0">
            <wp:extent cx="6524625" cy="2771775"/>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6524625" cy="2771775"/>
                    </a:xfrm>
                    <a:prstGeom prst="rect">
                      <a:avLst/>
                    </a:prstGeom>
                    <a:noFill/>
                    <a:ln w="9525">
                      <a:noFill/>
                      <a:miter lim="800000"/>
                      <a:headEnd/>
                      <a:tailEnd/>
                    </a:ln>
                  </pic:spPr>
                </pic:pic>
              </a:graphicData>
            </a:graphic>
          </wp:inline>
        </w:drawing>
      </w:r>
    </w:p>
    <w:p w:rsidR="00732423" w:rsidRDefault="00732423" w:rsidP="00732423">
      <w:pPr>
        <w:jc w:val="both"/>
        <w:rPr>
          <w:lang w:val="it-IT" w:eastAsia="en-US"/>
        </w:rPr>
      </w:pPr>
      <w:r>
        <w:rPr>
          <w:lang w:val="it-IT" w:eastAsia="en-US"/>
        </w:rPr>
        <w:tab/>
      </w:r>
    </w:p>
    <w:p w:rsidR="00732423" w:rsidRDefault="00732423" w:rsidP="00732423">
      <w:pPr>
        <w:jc w:val="both"/>
        <w:rPr>
          <w:lang w:val="it-IT" w:eastAsia="en-US"/>
        </w:rPr>
      </w:pPr>
      <w:r w:rsidRPr="00732423">
        <w:rPr>
          <w:lang w:val="it-IT" w:eastAsia="en-US"/>
        </w:rPr>
        <w:t>În spital sentinelă de boli infecțioase (SVB) proporția morbidității specifice pri</w:t>
      </w:r>
      <w:r>
        <w:rPr>
          <w:lang w:val="it-IT" w:eastAsia="en-US"/>
        </w:rPr>
        <w:t>n gripă a fost de ~ 70% în S7.</w:t>
      </w:r>
    </w:p>
    <w:p w:rsidR="00732423" w:rsidRPr="00306F64" w:rsidRDefault="00732423" w:rsidP="00732423">
      <w:pPr>
        <w:jc w:val="both"/>
        <w:rPr>
          <w:highlight w:val="yellow"/>
          <w:lang w:val="it-IT" w:eastAsia="en-US"/>
        </w:rPr>
      </w:pPr>
      <w:r>
        <w:rPr>
          <w:noProof/>
        </w:rPr>
        <w:drawing>
          <wp:inline distT="0" distB="0" distL="0" distR="0">
            <wp:extent cx="6524625" cy="2695575"/>
            <wp:effectExtent l="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6524625" cy="2695575"/>
                    </a:xfrm>
                    <a:prstGeom prst="rect">
                      <a:avLst/>
                    </a:prstGeom>
                    <a:noFill/>
                    <a:ln w="9525">
                      <a:noFill/>
                      <a:miter lim="800000"/>
                      <a:headEnd/>
                      <a:tailEnd/>
                    </a:ln>
                  </pic:spPr>
                </pic:pic>
              </a:graphicData>
            </a:graphic>
          </wp:inline>
        </w:drawing>
      </w:r>
    </w:p>
    <w:p w:rsidR="00E32EE5" w:rsidRPr="00FE31A2" w:rsidRDefault="00131906" w:rsidP="00A77970">
      <w:pPr>
        <w:jc w:val="both"/>
        <w:rPr>
          <w:highlight w:val="yellow"/>
          <w:lang w:val="pt-BR" w:eastAsia="en-US"/>
        </w:rPr>
      </w:pPr>
      <w:r w:rsidRPr="00306F64">
        <w:rPr>
          <w:b/>
          <w:highlight w:val="yellow"/>
          <w:u w:val="single"/>
          <w:lang w:val="it-IT" w:eastAsia="en-US"/>
        </w:rPr>
        <w:t xml:space="preserve">  </w:t>
      </w:r>
    </w:p>
    <w:p w:rsidR="00C07765" w:rsidRPr="00FE31A2" w:rsidRDefault="00C07765" w:rsidP="00A77970">
      <w:pPr>
        <w:jc w:val="both"/>
        <w:rPr>
          <w:b/>
          <w:u w:val="single"/>
        </w:rPr>
      </w:pPr>
      <w:r w:rsidRPr="00FE31A2">
        <w:rPr>
          <w:b/>
          <w:lang w:val="pt-BR" w:eastAsia="en-US"/>
        </w:rPr>
        <w:tab/>
      </w:r>
      <w:r w:rsidRPr="00FE31A2">
        <w:rPr>
          <w:b/>
          <w:u w:val="single"/>
        </w:rPr>
        <w:t xml:space="preserve">Supravegherea infecțiilor asociate asistenței medicale (IAAM) </w:t>
      </w:r>
    </w:p>
    <w:p w:rsidR="00732423" w:rsidRDefault="00732423" w:rsidP="00A77970">
      <w:pPr>
        <w:jc w:val="both"/>
        <w:rPr>
          <w:color w:val="000000"/>
          <w:lang w:val="it-IT" w:eastAsia="en-GB"/>
        </w:rPr>
      </w:pPr>
      <w:r>
        <w:rPr>
          <w:color w:val="000000"/>
          <w:lang w:val="it-IT" w:eastAsia="en-GB"/>
        </w:rPr>
        <w:tab/>
        <w:t>Î</w:t>
      </w:r>
      <w:r w:rsidRPr="00431C6B">
        <w:rPr>
          <w:color w:val="000000"/>
          <w:lang w:val="it-IT" w:eastAsia="en-GB"/>
        </w:rPr>
        <w:t>n profil temporal</w:t>
      </w:r>
      <w:r>
        <w:rPr>
          <w:color w:val="000000"/>
          <w:lang w:val="it-IT" w:eastAsia="en-GB"/>
        </w:rPr>
        <w:t>,</w:t>
      </w:r>
      <w:r w:rsidRPr="00431C6B">
        <w:rPr>
          <w:color w:val="000000"/>
          <w:lang w:val="it-IT" w:eastAsia="en-GB"/>
        </w:rPr>
        <w:t xml:space="preserve"> în București</w:t>
      </w:r>
      <w:r>
        <w:rPr>
          <w:color w:val="000000"/>
          <w:lang w:val="it-IT" w:eastAsia="en-GB"/>
        </w:rPr>
        <w:t>,</w:t>
      </w:r>
      <w:r w:rsidRPr="00431C6B">
        <w:rPr>
          <w:color w:val="000000"/>
          <w:lang w:val="it-IT" w:eastAsia="en-GB"/>
        </w:rPr>
        <w:t xml:space="preserve"> incidența cazurilor de IAAM raportate de către spitalele publice din municipiul București a cresct de la 1,9 cazuri la 10</w:t>
      </w:r>
      <w:r w:rsidRPr="00431C6B">
        <w:rPr>
          <w:color w:val="000000"/>
          <w:vertAlign w:val="superscript"/>
          <w:lang w:val="it-IT" w:eastAsia="en-GB"/>
        </w:rPr>
        <w:t>3</w:t>
      </w:r>
      <w:r w:rsidRPr="00431C6B">
        <w:rPr>
          <w:color w:val="000000"/>
          <w:lang w:val="it-IT" w:eastAsia="en-GB"/>
        </w:rPr>
        <w:t> de pacienți externați în anul 2010 la 7,4 cazuri la 10</w:t>
      </w:r>
      <w:r w:rsidRPr="00431C6B">
        <w:rPr>
          <w:color w:val="000000"/>
          <w:vertAlign w:val="superscript"/>
          <w:lang w:val="it-IT" w:eastAsia="en-GB"/>
        </w:rPr>
        <w:t>3</w:t>
      </w:r>
      <w:r w:rsidRPr="00431C6B">
        <w:rPr>
          <w:color w:val="000000"/>
          <w:lang w:val="it-IT" w:eastAsia="en-GB"/>
        </w:rPr>
        <w:t> pacienți externați în anul 2017; o discretă diminuare (7,1 cazuri la 10</w:t>
      </w:r>
      <w:r w:rsidRPr="00431C6B">
        <w:rPr>
          <w:color w:val="000000"/>
          <w:vertAlign w:val="superscript"/>
          <w:lang w:val="it-IT" w:eastAsia="en-GB"/>
        </w:rPr>
        <w:t>3</w:t>
      </w:r>
      <w:r w:rsidRPr="00431C6B">
        <w:rPr>
          <w:color w:val="000000"/>
          <w:lang w:val="it-IT" w:eastAsia="en-GB"/>
        </w:rPr>
        <w:t> pacienți externați se prefigurează pentru anu</w:t>
      </w:r>
      <w:r>
        <w:rPr>
          <w:color w:val="000000"/>
          <w:lang w:val="it-IT" w:eastAsia="en-GB"/>
        </w:rPr>
        <w:t>l 2018.</w:t>
      </w:r>
    </w:p>
    <w:p w:rsidR="00732423" w:rsidRPr="00732423" w:rsidRDefault="00732423" w:rsidP="00A77970">
      <w:pPr>
        <w:jc w:val="both"/>
        <w:rPr>
          <w:highlight w:val="yellow"/>
        </w:rPr>
      </w:pPr>
      <w:r>
        <w:rPr>
          <w:noProof/>
        </w:rPr>
        <w:lastRenderedPageBreak/>
        <w:drawing>
          <wp:inline distT="0" distB="0" distL="0" distR="0">
            <wp:extent cx="5753100" cy="2238375"/>
            <wp:effectExtent l="0" t="0" r="0"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5753100" cy="2238375"/>
                    </a:xfrm>
                    <a:prstGeom prst="rect">
                      <a:avLst/>
                    </a:prstGeom>
                    <a:noFill/>
                    <a:ln w="9525">
                      <a:noFill/>
                      <a:miter lim="800000"/>
                      <a:headEnd/>
                      <a:tailEnd/>
                    </a:ln>
                  </pic:spPr>
                </pic:pic>
              </a:graphicData>
            </a:graphic>
          </wp:inline>
        </w:drawing>
      </w:r>
    </w:p>
    <w:p w:rsidR="00C07765" w:rsidRPr="00306F64" w:rsidRDefault="00C07765" w:rsidP="00A77970">
      <w:pPr>
        <w:jc w:val="both"/>
        <w:rPr>
          <w:highlight w:val="yellow"/>
        </w:rPr>
      </w:pPr>
    </w:p>
    <w:p w:rsidR="00C07765" w:rsidRPr="00FE31A2" w:rsidRDefault="00C07765" w:rsidP="00A77970">
      <w:pPr>
        <w:jc w:val="both"/>
        <w:rPr>
          <w:u w:val="single"/>
        </w:rPr>
      </w:pPr>
      <w:r w:rsidRPr="00FE31A2">
        <w:t xml:space="preserve">  </w:t>
      </w:r>
      <w:r w:rsidRPr="00FE31A2">
        <w:tab/>
      </w:r>
      <w:r w:rsidRPr="00FE31A2">
        <w:rPr>
          <w:u w:val="single"/>
        </w:rPr>
        <w:t>Boala diareică acută – morbi</w:t>
      </w:r>
      <w:r w:rsidR="00732423" w:rsidRPr="00FE31A2">
        <w:rPr>
          <w:u w:val="single"/>
        </w:rPr>
        <w:t>ditate și etiologie – vara 2018</w:t>
      </w:r>
    </w:p>
    <w:p w:rsidR="00732423" w:rsidRDefault="00C07765" w:rsidP="00732423">
      <w:pPr>
        <w:jc w:val="both"/>
      </w:pPr>
      <w:r w:rsidRPr="00FE31A2">
        <w:t xml:space="preserve">  </w:t>
      </w:r>
      <w:r w:rsidRPr="00FE31A2">
        <w:tab/>
      </w:r>
      <w:r w:rsidR="00732423" w:rsidRPr="00FE31A2">
        <w:t>Compartimentul a fost implicat în supravegherea BDA (morbiditatea sapatamanala și etiologia) în 6 unități sanitare cu paturi din București, unități selectate de ISPB</w:t>
      </w:r>
      <w:r w:rsidR="00732423">
        <w:t xml:space="preserve">  </w:t>
      </w:r>
    </w:p>
    <w:p w:rsidR="00732423" w:rsidRDefault="00732423" w:rsidP="00732423">
      <w:pPr>
        <w:jc w:val="both"/>
      </w:pPr>
      <w:r>
        <w:t xml:space="preserve"> Analiză informațiilor acumulate pe baza rapoartelor a 6 spitale privind frecvența săptămânală pe grupe de vârstă a cazurilor de boală diareica acută internate și a etiologiei asociate cu aceste cazuri arată următoarele:</w:t>
      </w:r>
    </w:p>
    <w:p w:rsidR="00C07765" w:rsidRPr="00306F64" w:rsidRDefault="00732423" w:rsidP="00732423">
      <w:pPr>
        <w:jc w:val="both"/>
        <w:rPr>
          <w:highlight w:val="yellow"/>
        </w:rPr>
      </w:pPr>
      <w:r>
        <w:tab/>
        <w:t xml:space="preserve"> Principala caracteristică a BDA estivală este distribuția specifică a etiologiei în funcție de vârstă îmbolnăvirii cu etiologie prioritară constituită din rotavirus, și Campylobacter la vârstă de 1-4 ani și respectiv cu Clostridium difficile prioritar la vârstă de &gt; 34 de ani</w:t>
      </w:r>
    </w:p>
    <w:p w:rsidR="00C07765" w:rsidRPr="00306F64" w:rsidRDefault="00C07765" w:rsidP="00A77970">
      <w:pPr>
        <w:jc w:val="center"/>
        <w:rPr>
          <w:bCs/>
          <w:sz w:val="20"/>
          <w:szCs w:val="20"/>
          <w:highlight w:val="yellow"/>
          <w:lang w:val="it-IT" w:eastAsia="en-US"/>
        </w:rPr>
      </w:pPr>
    </w:p>
    <w:p w:rsidR="00BB4666" w:rsidRDefault="00732423" w:rsidP="00A77970">
      <w:pPr>
        <w:jc w:val="both"/>
        <w:rPr>
          <w:highlight w:val="yellow"/>
        </w:rPr>
      </w:pPr>
      <w:r>
        <w:rPr>
          <w:noProof/>
        </w:rPr>
        <w:drawing>
          <wp:inline distT="0" distB="0" distL="0" distR="0">
            <wp:extent cx="6419850" cy="2752725"/>
            <wp:effectExtent l="0" t="0" r="0"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6419850" cy="2752725"/>
                    </a:xfrm>
                    <a:prstGeom prst="rect">
                      <a:avLst/>
                    </a:prstGeom>
                    <a:noFill/>
                    <a:ln w="9525">
                      <a:noFill/>
                      <a:miter lim="800000"/>
                      <a:headEnd/>
                      <a:tailEnd/>
                    </a:ln>
                  </pic:spPr>
                </pic:pic>
              </a:graphicData>
            </a:graphic>
          </wp:inline>
        </w:drawing>
      </w:r>
    </w:p>
    <w:p w:rsidR="00732423" w:rsidRDefault="00732423" w:rsidP="00A77970">
      <w:pPr>
        <w:jc w:val="both"/>
        <w:rPr>
          <w:color w:val="000000"/>
          <w:shd w:val="clear" w:color="auto" w:fill="FFFFFF"/>
        </w:rPr>
      </w:pPr>
      <w:r>
        <w:rPr>
          <w:color w:val="000000"/>
          <w:shd w:val="clear" w:color="auto" w:fill="FFFFFF"/>
        </w:rPr>
        <w:tab/>
        <w:t>P</w:t>
      </w:r>
      <w:r w:rsidRPr="00301049">
        <w:rPr>
          <w:color w:val="000000"/>
          <w:shd w:val="clear" w:color="auto" w:fill="FFFFFF"/>
        </w:rPr>
        <w:t>e primele locuri în etiologia cazurilor de BDA sunt rotavirusurile (33 %) urmat de Clostridium difficile (29 %) și respectiv de Campylobacter spp (17 %) - aceste trei etiologii întrunesc ~ 80 % dn toate cazurile constituind baza pentru recomandările DSPMB</w:t>
      </w:r>
      <w:r>
        <w:rPr>
          <w:color w:val="000000"/>
          <w:shd w:val="clear" w:color="auto" w:fill="FFFFFF"/>
        </w:rPr>
        <w:t>.</w:t>
      </w:r>
    </w:p>
    <w:p w:rsidR="00FE31A2" w:rsidRPr="00FE31A2" w:rsidRDefault="00732423" w:rsidP="00A77970">
      <w:pPr>
        <w:jc w:val="both"/>
        <w:rPr>
          <w:color w:val="000000"/>
          <w:shd w:val="clear" w:color="auto" w:fill="FFFFFF"/>
          <w:lang w:val="it-IT"/>
        </w:rPr>
      </w:pPr>
      <w:r>
        <w:rPr>
          <w:b/>
          <w:bCs/>
          <w:i/>
          <w:iCs/>
          <w:color w:val="000000"/>
          <w:shd w:val="clear" w:color="auto" w:fill="FFFFFF"/>
          <w:lang w:val="it-IT"/>
        </w:rPr>
        <w:tab/>
      </w:r>
      <w:r w:rsidRPr="00301049">
        <w:rPr>
          <w:b/>
          <w:bCs/>
          <w:i/>
          <w:iCs/>
          <w:color w:val="000000"/>
          <w:shd w:val="clear" w:color="auto" w:fill="FFFFFF"/>
          <w:lang w:val="it-IT"/>
        </w:rPr>
        <w:t>Pozitivitatea în funcție de specialitatea medicală</w:t>
      </w:r>
      <w:r w:rsidRPr="00301049">
        <w:rPr>
          <w:color w:val="000000"/>
          <w:shd w:val="clear" w:color="auto" w:fill="FFFFFF"/>
          <w:lang w:val="it-IT"/>
        </w:rPr>
        <w:t> – la cazurile de BDA spitalizate la boli infecțioase rată de pozitivitate a fost mai mare decât la pediatrie probabil datorită faptului că copii etiologia virală a fost mai frecvența a determinat clinicianul să se bazeze mai des pe diagnosticul clinic</w:t>
      </w:r>
      <w:r>
        <w:rPr>
          <w:color w:val="000000"/>
          <w:shd w:val="clear" w:color="auto" w:fill="FFFFFF"/>
          <w:lang w:val="it-IT"/>
        </w:rPr>
        <w:t>.</w:t>
      </w:r>
      <w:r w:rsidRPr="00301049">
        <w:rPr>
          <w:color w:val="000000"/>
          <w:shd w:val="clear" w:color="auto" w:fill="FFFFFF"/>
          <w:lang w:val="it-IT"/>
        </w:rPr>
        <w:t> </w:t>
      </w:r>
    </w:p>
    <w:p w:rsidR="00732423" w:rsidRDefault="00732423" w:rsidP="00A77970">
      <w:pPr>
        <w:jc w:val="both"/>
        <w:rPr>
          <w:b/>
          <w:u w:val="single"/>
          <w:lang w:eastAsia="en-US"/>
        </w:rPr>
      </w:pPr>
      <w:r w:rsidRPr="00732423">
        <w:rPr>
          <w:lang w:eastAsia="en-US"/>
        </w:rPr>
        <w:tab/>
      </w:r>
      <w:r w:rsidRPr="00732423">
        <w:rPr>
          <w:b/>
          <w:u w:val="single"/>
          <w:lang w:eastAsia="en-US"/>
        </w:rPr>
        <w:t>Coordonarea activității de imunoprofilaxie rutinieră și selectivă</w:t>
      </w:r>
    </w:p>
    <w:p w:rsidR="00732423" w:rsidRPr="00732423" w:rsidRDefault="00732423" w:rsidP="00A77970">
      <w:pPr>
        <w:jc w:val="both"/>
        <w:rPr>
          <w:lang w:eastAsia="en-US"/>
        </w:rPr>
      </w:pPr>
      <w:r>
        <w:rPr>
          <w:color w:val="000000"/>
          <w:lang w:val="it-IT" w:eastAsia="en-GB"/>
        </w:rPr>
        <w:tab/>
      </w:r>
      <w:r w:rsidRPr="00273D98">
        <w:rPr>
          <w:color w:val="000000"/>
          <w:lang w:val="it-IT" w:eastAsia="en-GB"/>
        </w:rPr>
        <w:t>În anul 2018, acoperirea vaccinală a variat între 95,1 % la vaccinarea cu vaccin Hepatită B pediatric administrat la naștere și respectiv 4,0 % la bivaccinul diftero-tetanic administrat la vârstă de 14 ani</w:t>
      </w:r>
      <w:r>
        <w:rPr>
          <w:color w:val="000000"/>
          <w:lang w:val="it-IT" w:eastAsia="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1800"/>
        <w:gridCol w:w="1440"/>
        <w:gridCol w:w="1440"/>
        <w:gridCol w:w="1548"/>
      </w:tblGrid>
      <w:tr w:rsidR="00732423" w:rsidRPr="00732423" w:rsidTr="00732423">
        <w:trPr>
          <w:jc w:val="center"/>
        </w:trPr>
        <w:tc>
          <w:tcPr>
            <w:tcW w:w="2628" w:type="dxa"/>
            <w:vMerge w:val="restart"/>
          </w:tcPr>
          <w:p w:rsidR="00732423" w:rsidRPr="00732423" w:rsidRDefault="00732423" w:rsidP="00732423">
            <w:pPr>
              <w:jc w:val="center"/>
              <w:rPr>
                <w:lang w:val="it-IT" w:eastAsia="en-US"/>
              </w:rPr>
            </w:pPr>
            <w:r w:rsidRPr="00732423">
              <w:rPr>
                <w:lang w:val="it-IT" w:eastAsia="en-US"/>
              </w:rPr>
              <w:lastRenderedPageBreak/>
              <w:t>Produs</w:t>
            </w:r>
          </w:p>
          <w:p w:rsidR="00732423" w:rsidRPr="00732423" w:rsidRDefault="00732423" w:rsidP="00732423">
            <w:pPr>
              <w:jc w:val="center"/>
              <w:rPr>
                <w:lang w:val="it-IT" w:eastAsia="en-US"/>
              </w:rPr>
            </w:pPr>
            <w:r w:rsidRPr="00732423">
              <w:rPr>
                <w:lang w:val="it-IT" w:eastAsia="en-US"/>
              </w:rPr>
              <w:t>imunobiologic</w:t>
            </w:r>
          </w:p>
        </w:tc>
        <w:tc>
          <w:tcPr>
            <w:tcW w:w="1800" w:type="dxa"/>
            <w:vMerge w:val="restart"/>
          </w:tcPr>
          <w:p w:rsidR="00732423" w:rsidRPr="00732423" w:rsidRDefault="00732423" w:rsidP="00732423">
            <w:pPr>
              <w:jc w:val="center"/>
              <w:rPr>
                <w:lang w:val="it-IT" w:eastAsia="en-US"/>
              </w:rPr>
            </w:pPr>
            <w:r w:rsidRPr="00732423">
              <w:rPr>
                <w:lang w:val="it-IT" w:eastAsia="en-US"/>
              </w:rPr>
              <w:t>Varsta</w:t>
            </w:r>
          </w:p>
          <w:p w:rsidR="00732423" w:rsidRPr="00732423" w:rsidRDefault="00732423" w:rsidP="00732423">
            <w:pPr>
              <w:jc w:val="center"/>
              <w:rPr>
                <w:lang w:val="it-IT" w:eastAsia="en-US"/>
              </w:rPr>
            </w:pPr>
            <w:r w:rsidRPr="00732423">
              <w:rPr>
                <w:lang w:val="it-IT" w:eastAsia="en-US"/>
              </w:rPr>
              <w:t>Eligibili</w:t>
            </w:r>
          </w:p>
        </w:tc>
        <w:tc>
          <w:tcPr>
            <w:tcW w:w="4428" w:type="dxa"/>
            <w:gridSpan w:val="3"/>
          </w:tcPr>
          <w:p w:rsidR="00732423" w:rsidRPr="00732423" w:rsidRDefault="00732423" w:rsidP="00732423">
            <w:pPr>
              <w:jc w:val="center"/>
              <w:rPr>
                <w:lang w:val="it-IT" w:eastAsia="en-US"/>
              </w:rPr>
            </w:pPr>
            <w:r w:rsidRPr="00732423">
              <w:rPr>
                <w:rFonts w:eastAsia="MS Mincho"/>
                <w:lang w:eastAsia="ja-JP" w:bidi="th-TH"/>
              </w:rPr>
              <w:t>Acoperire vaccinala</w:t>
            </w:r>
          </w:p>
        </w:tc>
      </w:tr>
      <w:tr w:rsidR="00732423" w:rsidRPr="00732423" w:rsidTr="00732423">
        <w:trPr>
          <w:jc w:val="center"/>
        </w:trPr>
        <w:tc>
          <w:tcPr>
            <w:tcW w:w="2628" w:type="dxa"/>
            <w:vMerge/>
          </w:tcPr>
          <w:p w:rsidR="00732423" w:rsidRPr="00732423" w:rsidRDefault="00732423" w:rsidP="00732423">
            <w:pPr>
              <w:jc w:val="center"/>
              <w:rPr>
                <w:lang w:val="it-IT" w:eastAsia="en-US"/>
              </w:rPr>
            </w:pPr>
          </w:p>
        </w:tc>
        <w:tc>
          <w:tcPr>
            <w:tcW w:w="1800" w:type="dxa"/>
            <w:vMerge/>
          </w:tcPr>
          <w:p w:rsidR="00732423" w:rsidRPr="00732423" w:rsidRDefault="00732423" w:rsidP="00732423">
            <w:pPr>
              <w:jc w:val="center"/>
              <w:rPr>
                <w:lang w:val="it-IT" w:eastAsia="en-US"/>
              </w:rPr>
            </w:pPr>
          </w:p>
        </w:tc>
        <w:tc>
          <w:tcPr>
            <w:tcW w:w="1440" w:type="dxa"/>
            <w:tcBorders>
              <w:bottom w:val="single" w:sz="4" w:space="0" w:color="auto"/>
            </w:tcBorders>
          </w:tcPr>
          <w:p w:rsidR="00732423" w:rsidRPr="00732423" w:rsidRDefault="00732423" w:rsidP="00732423">
            <w:pPr>
              <w:rPr>
                <w:lang w:val="it-IT" w:eastAsia="en-US"/>
              </w:rPr>
            </w:pPr>
            <w:r w:rsidRPr="00732423">
              <w:rPr>
                <w:rFonts w:eastAsia="MS Mincho"/>
                <w:lang w:eastAsia="ja-JP" w:bidi="th-TH"/>
              </w:rPr>
              <w:t>Total</w:t>
            </w:r>
          </w:p>
        </w:tc>
        <w:tc>
          <w:tcPr>
            <w:tcW w:w="1440" w:type="dxa"/>
            <w:tcBorders>
              <w:bottom w:val="single" w:sz="4" w:space="0" w:color="auto"/>
            </w:tcBorders>
          </w:tcPr>
          <w:p w:rsidR="00732423" w:rsidRPr="00732423" w:rsidRDefault="00732423" w:rsidP="00732423">
            <w:pPr>
              <w:rPr>
                <w:lang w:val="it-IT" w:eastAsia="en-US"/>
              </w:rPr>
            </w:pPr>
            <w:r w:rsidRPr="00732423">
              <w:rPr>
                <w:rFonts w:eastAsia="MS Mincho"/>
                <w:lang w:eastAsia="ja-JP" w:bidi="th-TH"/>
              </w:rPr>
              <w:t>Lot baza</w:t>
            </w:r>
          </w:p>
        </w:tc>
        <w:tc>
          <w:tcPr>
            <w:tcW w:w="1548" w:type="dxa"/>
            <w:tcBorders>
              <w:bottom w:val="single" w:sz="4" w:space="0" w:color="auto"/>
            </w:tcBorders>
          </w:tcPr>
          <w:p w:rsidR="00732423" w:rsidRPr="00732423" w:rsidRDefault="00732423" w:rsidP="00732423">
            <w:pPr>
              <w:rPr>
                <w:lang w:val="it-IT" w:eastAsia="en-US"/>
              </w:rPr>
            </w:pPr>
            <w:r w:rsidRPr="00732423">
              <w:rPr>
                <w:rFonts w:eastAsia="MS Mincho"/>
                <w:lang w:eastAsia="ja-JP" w:bidi="th-TH"/>
              </w:rPr>
              <w:t>Restantieri</w:t>
            </w:r>
          </w:p>
        </w:tc>
      </w:tr>
      <w:tr w:rsidR="00732423" w:rsidRPr="00732423" w:rsidTr="00732423">
        <w:trPr>
          <w:jc w:val="center"/>
        </w:trPr>
        <w:tc>
          <w:tcPr>
            <w:tcW w:w="2628" w:type="dxa"/>
          </w:tcPr>
          <w:p w:rsidR="00732423" w:rsidRPr="00732423" w:rsidRDefault="00732423" w:rsidP="00732423">
            <w:pPr>
              <w:rPr>
                <w:b/>
                <w:bCs/>
                <w:lang w:val="it-IT" w:eastAsia="en-US"/>
              </w:rPr>
            </w:pPr>
            <w:r w:rsidRPr="00732423">
              <w:rPr>
                <w:rFonts w:eastAsia="MS Mincho"/>
                <w:b/>
                <w:bCs/>
                <w:lang w:eastAsia="ja-JP" w:bidi="th-TH"/>
              </w:rPr>
              <w:t>Hep B pediatric</w:t>
            </w:r>
          </w:p>
        </w:tc>
        <w:tc>
          <w:tcPr>
            <w:tcW w:w="1800" w:type="dxa"/>
          </w:tcPr>
          <w:p w:rsidR="00732423" w:rsidRPr="00732423" w:rsidRDefault="00732423" w:rsidP="00732423">
            <w:pPr>
              <w:jc w:val="center"/>
              <w:rPr>
                <w:lang w:val="it-IT" w:eastAsia="en-US"/>
              </w:rPr>
            </w:pPr>
            <w:r w:rsidRPr="00732423">
              <w:rPr>
                <w:rFonts w:eastAsia="MS Mincho"/>
                <w:lang w:eastAsia="ja-JP" w:bidi="th-TH"/>
              </w:rPr>
              <w:t>24 h</w:t>
            </w:r>
          </w:p>
        </w:tc>
        <w:tc>
          <w:tcPr>
            <w:tcW w:w="1440" w:type="dxa"/>
            <w:shd w:val="clear" w:color="auto" w:fill="FF6600"/>
          </w:tcPr>
          <w:p w:rsidR="00732423" w:rsidRPr="00732423" w:rsidRDefault="00732423" w:rsidP="00732423">
            <w:pPr>
              <w:jc w:val="center"/>
              <w:rPr>
                <w:lang w:val="it-IT" w:eastAsia="en-US"/>
              </w:rPr>
            </w:pPr>
            <w:r w:rsidRPr="00732423">
              <w:rPr>
                <w:rFonts w:eastAsia="MS Mincho"/>
                <w:lang w:eastAsia="ja-JP" w:bidi="th-TH"/>
              </w:rPr>
              <w:t>95,1</w:t>
            </w:r>
          </w:p>
        </w:tc>
        <w:tc>
          <w:tcPr>
            <w:tcW w:w="1440" w:type="dxa"/>
            <w:shd w:val="clear" w:color="auto" w:fill="00FFFF"/>
          </w:tcPr>
          <w:p w:rsidR="00732423" w:rsidRPr="00732423" w:rsidRDefault="00732423" w:rsidP="00732423">
            <w:pPr>
              <w:jc w:val="center"/>
              <w:rPr>
                <w:lang w:val="it-IT" w:eastAsia="en-US"/>
              </w:rPr>
            </w:pPr>
            <w:r w:rsidRPr="00732423">
              <w:rPr>
                <w:rFonts w:eastAsia="MS Mincho"/>
                <w:lang w:eastAsia="ja-JP" w:bidi="th-TH"/>
              </w:rPr>
              <w:t>96,8</w:t>
            </w:r>
          </w:p>
        </w:tc>
        <w:tc>
          <w:tcPr>
            <w:tcW w:w="1548" w:type="dxa"/>
            <w:shd w:val="clear" w:color="auto" w:fill="FFCC00"/>
          </w:tcPr>
          <w:p w:rsidR="00732423" w:rsidRPr="00732423" w:rsidRDefault="00732423" w:rsidP="00732423">
            <w:pPr>
              <w:jc w:val="center"/>
              <w:rPr>
                <w:lang w:val="it-IT" w:eastAsia="en-US"/>
              </w:rPr>
            </w:pPr>
            <w:r w:rsidRPr="00732423">
              <w:rPr>
                <w:rFonts w:eastAsia="MS Mincho"/>
                <w:lang w:eastAsia="ja-JP" w:bidi="th-TH"/>
              </w:rPr>
              <w:t>23,5</w:t>
            </w:r>
          </w:p>
        </w:tc>
      </w:tr>
      <w:tr w:rsidR="00732423" w:rsidRPr="00732423" w:rsidTr="00732423">
        <w:trPr>
          <w:jc w:val="center"/>
        </w:trPr>
        <w:tc>
          <w:tcPr>
            <w:tcW w:w="2628" w:type="dxa"/>
          </w:tcPr>
          <w:p w:rsidR="00732423" w:rsidRPr="00732423" w:rsidRDefault="00732423" w:rsidP="00732423">
            <w:pPr>
              <w:rPr>
                <w:lang w:val="it-IT" w:eastAsia="en-US"/>
              </w:rPr>
            </w:pPr>
          </w:p>
        </w:tc>
        <w:tc>
          <w:tcPr>
            <w:tcW w:w="1800" w:type="dxa"/>
          </w:tcPr>
          <w:p w:rsidR="00732423" w:rsidRPr="00732423" w:rsidRDefault="00732423" w:rsidP="00732423">
            <w:pPr>
              <w:rPr>
                <w:lang w:val="it-IT" w:eastAsia="en-US"/>
              </w:rPr>
            </w:pPr>
          </w:p>
        </w:tc>
        <w:tc>
          <w:tcPr>
            <w:tcW w:w="1440" w:type="dxa"/>
            <w:shd w:val="clear" w:color="auto" w:fill="FF6600"/>
          </w:tcPr>
          <w:p w:rsidR="00732423" w:rsidRPr="00732423" w:rsidRDefault="00732423" w:rsidP="00732423">
            <w:pPr>
              <w:rPr>
                <w:lang w:val="it-IT" w:eastAsia="en-US"/>
              </w:rPr>
            </w:pPr>
          </w:p>
        </w:tc>
        <w:tc>
          <w:tcPr>
            <w:tcW w:w="1440" w:type="dxa"/>
            <w:shd w:val="clear" w:color="auto" w:fill="00FFFF"/>
          </w:tcPr>
          <w:p w:rsidR="00732423" w:rsidRPr="00732423" w:rsidRDefault="00732423" w:rsidP="00732423">
            <w:pPr>
              <w:rPr>
                <w:lang w:val="it-IT" w:eastAsia="en-US"/>
              </w:rPr>
            </w:pPr>
          </w:p>
        </w:tc>
        <w:tc>
          <w:tcPr>
            <w:tcW w:w="1548" w:type="dxa"/>
            <w:shd w:val="clear" w:color="auto" w:fill="FFCC00"/>
          </w:tcPr>
          <w:p w:rsidR="00732423" w:rsidRPr="00732423" w:rsidRDefault="00732423" w:rsidP="00732423">
            <w:pPr>
              <w:rPr>
                <w:lang w:val="it-IT" w:eastAsia="en-US"/>
              </w:rPr>
            </w:pPr>
          </w:p>
        </w:tc>
      </w:tr>
      <w:tr w:rsidR="00732423" w:rsidRPr="00732423" w:rsidTr="00732423">
        <w:trPr>
          <w:jc w:val="center"/>
        </w:trPr>
        <w:tc>
          <w:tcPr>
            <w:tcW w:w="2628" w:type="dxa"/>
          </w:tcPr>
          <w:p w:rsidR="00732423" w:rsidRPr="00732423" w:rsidRDefault="00732423" w:rsidP="00732423">
            <w:pPr>
              <w:rPr>
                <w:b/>
                <w:bCs/>
                <w:lang w:val="it-IT" w:eastAsia="en-US"/>
              </w:rPr>
            </w:pPr>
            <w:r w:rsidRPr="00732423">
              <w:rPr>
                <w:rFonts w:eastAsia="MS Mincho"/>
                <w:b/>
                <w:bCs/>
                <w:lang w:eastAsia="ja-JP" w:bidi="th-TH"/>
              </w:rPr>
              <w:t>BCG</w:t>
            </w:r>
          </w:p>
        </w:tc>
        <w:tc>
          <w:tcPr>
            <w:tcW w:w="1800" w:type="dxa"/>
          </w:tcPr>
          <w:p w:rsidR="00732423" w:rsidRPr="00732423" w:rsidRDefault="00732423" w:rsidP="00732423">
            <w:pPr>
              <w:rPr>
                <w:lang w:val="it-IT" w:eastAsia="en-US"/>
              </w:rPr>
            </w:pPr>
            <w:r w:rsidRPr="00732423">
              <w:rPr>
                <w:rFonts w:eastAsia="MS Mincho"/>
                <w:lang w:eastAsia="ja-JP" w:bidi="th-TH"/>
              </w:rPr>
              <w:t>2-7 zile</w:t>
            </w:r>
          </w:p>
        </w:tc>
        <w:tc>
          <w:tcPr>
            <w:tcW w:w="1440" w:type="dxa"/>
            <w:shd w:val="clear" w:color="auto" w:fill="FF6600"/>
            <w:vAlign w:val="bottom"/>
          </w:tcPr>
          <w:p w:rsidR="00732423" w:rsidRPr="00732423" w:rsidRDefault="00732423" w:rsidP="00732423">
            <w:pPr>
              <w:jc w:val="center"/>
              <w:rPr>
                <w:rFonts w:eastAsia="MS Mincho"/>
                <w:lang w:eastAsia="ja-JP" w:bidi="th-TH"/>
              </w:rPr>
            </w:pPr>
            <w:r w:rsidRPr="00732423">
              <w:rPr>
                <w:rFonts w:eastAsia="MS Mincho"/>
                <w:lang w:eastAsia="ja-JP" w:bidi="th-TH"/>
              </w:rPr>
              <w:t>34,7</w:t>
            </w:r>
          </w:p>
        </w:tc>
        <w:tc>
          <w:tcPr>
            <w:tcW w:w="1440" w:type="dxa"/>
            <w:shd w:val="clear" w:color="auto" w:fill="00FFFF"/>
            <w:vAlign w:val="bottom"/>
          </w:tcPr>
          <w:p w:rsidR="00732423" w:rsidRPr="00732423" w:rsidRDefault="00732423" w:rsidP="00732423">
            <w:pPr>
              <w:jc w:val="center"/>
              <w:rPr>
                <w:rFonts w:eastAsia="MS Mincho"/>
                <w:lang w:eastAsia="ja-JP" w:bidi="th-TH"/>
              </w:rPr>
            </w:pPr>
            <w:r w:rsidRPr="00732423">
              <w:rPr>
                <w:rFonts w:eastAsia="MS Mincho"/>
                <w:lang w:eastAsia="ja-JP" w:bidi="th-TH"/>
              </w:rPr>
              <w:t>87,0</w:t>
            </w:r>
          </w:p>
        </w:tc>
        <w:tc>
          <w:tcPr>
            <w:tcW w:w="1548" w:type="dxa"/>
            <w:shd w:val="clear" w:color="auto" w:fill="FFCC00"/>
            <w:vAlign w:val="bottom"/>
          </w:tcPr>
          <w:p w:rsidR="00732423" w:rsidRPr="00732423" w:rsidRDefault="00732423" w:rsidP="00732423">
            <w:pPr>
              <w:jc w:val="center"/>
              <w:rPr>
                <w:rFonts w:eastAsia="MS Mincho"/>
                <w:lang w:eastAsia="ja-JP" w:bidi="th-TH"/>
              </w:rPr>
            </w:pPr>
            <w:r w:rsidRPr="00732423">
              <w:rPr>
                <w:rFonts w:eastAsia="MS Mincho"/>
                <w:lang w:eastAsia="ja-JP" w:bidi="th-TH"/>
              </w:rPr>
              <w:t>4,9</w:t>
            </w:r>
          </w:p>
        </w:tc>
      </w:tr>
      <w:tr w:rsidR="00732423" w:rsidRPr="00732423" w:rsidTr="00732423">
        <w:trPr>
          <w:jc w:val="center"/>
        </w:trPr>
        <w:tc>
          <w:tcPr>
            <w:tcW w:w="2628" w:type="dxa"/>
          </w:tcPr>
          <w:p w:rsidR="00732423" w:rsidRPr="00732423" w:rsidRDefault="00732423" w:rsidP="00732423">
            <w:pPr>
              <w:rPr>
                <w:lang w:val="it-IT" w:eastAsia="en-US"/>
              </w:rPr>
            </w:pPr>
          </w:p>
        </w:tc>
        <w:tc>
          <w:tcPr>
            <w:tcW w:w="1800" w:type="dxa"/>
          </w:tcPr>
          <w:p w:rsidR="00732423" w:rsidRPr="00732423" w:rsidRDefault="00732423" w:rsidP="00732423">
            <w:pPr>
              <w:rPr>
                <w:lang w:val="it-IT" w:eastAsia="en-US"/>
              </w:rPr>
            </w:pPr>
          </w:p>
        </w:tc>
        <w:tc>
          <w:tcPr>
            <w:tcW w:w="1440" w:type="dxa"/>
            <w:shd w:val="clear" w:color="auto" w:fill="FF6600"/>
          </w:tcPr>
          <w:p w:rsidR="00732423" w:rsidRPr="00732423" w:rsidRDefault="00732423" w:rsidP="00732423">
            <w:pPr>
              <w:rPr>
                <w:lang w:val="it-IT" w:eastAsia="en-US"/>
              </w:rPr>
            </w:pPr>
          </w:p>
        </w:tc>
        <w:tc>
          <w:tcPr>
            <w:tcW w:w="1440" w:type="dxa"/>
            <w:shd w:val="clear" w:color="auto" w:fill="00FFFF"/>
          </w:tcPr>
          <w:p w:rsidR="00732423" w:rsidRPr="00732423" w:rsidRDefault="00732423" w:rsidP="00732423">
            <w:pPr>
              <w:rPr>
                <w:lang w:val="it-IT" w:eastAsia="en-US"/>
              </w:rPr>
            </w:pPr>
          </w:p>
        </w:tc>
        <w:tc>
          <w:tcPr>
            <w:tcW w:w="1548" w:type="dxa"/>
            <w:shd w:val="clear" w:color="auto" w:fill="FFCC00"/>
          </w:tcPr>
          <w:p w:rsidR="00732423" w:rsidRPr="00732423" w:rsidRDefault="00732423" w:rsidP="00732423">
            <w:pPr>
              <w:rPr>
                <w:lang w:val="it-IT" w:eastAsia="en-US"/>
              </w:rPr>
            </w:pPr>
          </w:p>
        </w:tc>
      </w:tr>
      <w:tr w:rsidR="00732423" w:rsidRPr="00732423" w:rsidTr="00732423">
        <w:trPr>
          <w:jc w:val="center"/>
        </w:trPr>
        <w:tc>
          <w:tcPr>
            <w:tcW w:w="2628" w:type="dxa"/>
          </w:tcPr>
          <w:p w:rsidR="00732423" w:rsidRPr="00732423" w:rsidRDefault="00732423" w:rsidP="00732423">
            <w:pPr>
              <w:rPr>
                <w:b/>
                <w:bCs/>
                <w:lang w:val="it-IT" w:eastAsia="en-US"/>
              </w:rPr>
            </w:pPr>
            <w:r w:rsidRPr="00732423">
              <w:rPr>
                <w:rFonts w:eastAsia="MS Mincho"/>
                <w:b/>
                <w:bCs/>
                <w:lang w:eastAsia="ja-JP" w:bidi="th-TH"/>
              </w:rPr>
              <w:t>DTPa-VPI-Hib-HB</w:t>
            </w:r>
          </w:p>
        </w:tc>
        <w:tc>
          <w:tcPr>
            <w:tcW w:w="1800" w:type="dxa"/>
            <w:vAlign w:val="bottom"/>
          </w:tcPr>
          <w:p w:rsidR="00732423" w:rsidRPr="00732423" w:rsidRDefault="00732423" w:rsidP="00732423">
            <w:pPr>
              <w:rPr>
                <w:rFonts w:eastAsia="MS Mincho"/>
                <w:lang w:eastAsia="ja-JP" w:bidi="th-TH"/>
              </w:rPr>
            </w:pPr>
            <w:r w:rsidRPr="00732423">
              <w:rPr>
                <w:rFonts w:eastAsia="MS Mincho"/>
                <w:lang w:eastAsia="ja-JP" w:bidi="th-TH"/>
              </w:rPr>
              <w:t>2 luni</w:t>
            </w:r>
          </w:p>
        </w:tc>
        <w:tc>
          <w:tcPr>
            <w:tcW w:w="1440" w:type="dxa"/>
            <w:shd w:val="clear" w:color="auto" w:fill="FF6600"/>
            <w:vAlign w:val="bottom"/>
          </w:tcPr>
          <w:p w:rsidR="00732423" w:rsidRPr="00732423" w:rsidRDefault="00732423" w:rsidP="00732423">
            <w:pPr>
              <w:jc w:val="center"/>
              <w:rPr>
                <w:rFonts w:eastAsia="MS Mincho"/>
                <w:lang w:eastAsia="ja-JP" w:bidi="th-TH"/>
              </w:rPr>
            </w:pPr>
            <w:r w:rsidRPr="00732423">
              <w:rPr>
                <w:rFonts w:eastAsia="MS Mincho"/>
                <w:lang w:eastAsia="ja-JP" w:bidi="th-TH"/>
              </w:rPr>
              <w:t>53,3</w:t>
            </w:r>
          </w:p>
        </w:tc>
        <w:tc>
          <w:tcPr>
            <w:tcW w:w="1440" w:type="dxa"/>
            <w:shd w:val="clear" w:color="auto" w:fill="00FFFF"/>
            <w:vAlign w:val="bottom"/>
          </w:tcPr>
          <w:p w:rsidR="00732423" w:rsidRPr="00732423" w:rsidRDefault="00732423" w:rsidP="00732423">
            <w:pPr>
              <w:jc w:val="center"/>
              <w:rPr>
                <w:rFonts w:eastAsia="MS Mincho"/>
                <w:lang w:eastAsia="ja-JP" w:bidi="th-TH"/>
              </w:rPr>
            </w:pPr>
            <w:r w:rsidRPr="00732423">
              <w:rPr>
                <w:rFonts w:eastAsia="MS Mincho"/>
                <w:lang w:eastAsia="ja-JP" w:bidi="th-TH"/>
              </w:rPr>
              <w:t>73,7</w:t>
            </w:r>
          </w:p>
        </w:tc>
        <w:tc>
          <w:tcPr>
            <w:tcW w:w="1548" w:type="dxa"/>
            <w:shd w:val="clear" w:color="auto" w:fill="FFCC00"/>
            <w:vAlign w:val="bottom"/>
          </w:tcPr>
          <w:p w:rsidR="00732423" w:rsidRPr="00732423" w:rsidRDefault="00732423" w:rsidP="00732423">
            <w:pPr>
              <w:jc w:val="center"/>
              <w:rPr>
                <w:rFonts w:eastAsia="MS Mincho"/>
                <w:lang w:eastAsia="ja-JP" w:bidi="th-TH"/>
              </w:rPr>
            </w:pPr>
            <w:r w:rsidRPr="00732423">
              <w:rPr>
                <w:rFonts w:eastAsia="MS Mincho"/>
                <w:lang w:eastAsia="ja-JP" w:bidi="th-TH"/>
              </w:rPr>
              <w:t>40,3</w:t>
            </w:r>
          </w:p>
        </w:tc>
      </w:tr>
      <w:tr w:rsidR="00732423" w:rsidRPr="00732423" w:rsidTr="00732423">
        <w:trPr>
          <w:jc w:val="center"/>
        </w:trPr>
        <w:tc>
          <w:tcPr>
            <w:tcW w:w="2628" w:type="dxa"/>
          </w:tcPr>
          <w:p w:rsidR="00732423" w:rsidRPr="00732423" w:rsidRDefault="00732423" w:rsidP="00732423">
            <w:pPr>
              <w:rPr>
                <w:lang w:val="it-IT" w:eastAsia="en-US"/>
              </w:rPr>
            </w:pPr>
          </w:p>
        </w:tc>
        <w:tc>
          <w:tcPr>
            <w:tcW w:w="1800" w:type="dxa"/>
            <w:vAlign w:val="bottom"/>
          </w:tcPr>
          <w:p w:rsidR="00732423" w:rsidRPr="00732423" w:rsidRDefault="00732423" w:rsidP="00732423">
            <w:pPr>
              <w:rPr>
                <w:rFonts w:eastAsia="MS Mincho"/>
                <w:lang w:eastAsia="ja-JP" w:bidi="th-TH"/>
              </w:rPr>
            </w:pPr>
            <w:r w:rsidRPr="00732423">
              <w:rPr>
                <w:rFonts w:eastAsia="MS Mincho"/>
                <w:lang w:eastAsia="ja-JP" w:bidi="th-TH"/>
              </w:rPr>
              <w:t>4 luni</w:t>
            </w:r>
          </w:p>
        </w:tc>
        <w:tc>
          <w:tcPr>
            <w:tcW w:w="1440" w:type="dxa"/>
            <w:shd w:val="clear" w:color="auto" w:fill="FF6600"/>
            <w:vAlign w:val="bottom"/>
          </w:tcPr>
          <w:p w:rsidR="00732423" w:rsidRPr="00732423" w:rsidRDefault="00732423" w:rsidP="00732423">
            <w:pPr>
              <w:jc w:val="center"/>
              <w:rPr>
                <w:rFonts w:eastAsia="MS Mincho"/>
                <w:lang w:eastAsia="ja-JP" w:bidi="th-TH"/>
              </w:rPr>
            </w:pPr>
            <w:r w:rsidRPr="00732423">
              <w:rPr>
                <w:rFonts w:eastAsia="MS Mincho"/>
                <w:lang w:eastAsia="ja-JP" w:bidi="th-TH"/>
              </w:rPr>
              <w:t>44,0</w:t>
            </w:r>
          </w:p>
        </w:tc>
        <w:tc>
          <w:tcPr>
            <w:tcW w:w="1440" w:type="dxa"/>
            <w:shd w:val="clear" w:color="auto" w:fill="00FFFF"/>
            <w:vAlign w:val="bottom"/>
          </w:tcPr>
          <w:p w:rsidR="00732423" w:rsidRPr="00732423" w:rsidRDefault="00732423" w:rsidP="00732423">
            <w:pPr>
              <w:jc w:val="center"/>
              <w:rPr>
                <w:rFonts w:eastAsia="MS Mincho"/>
                <w:lang w:eastAsia="ja-JP" w:bidi="th-TH"/>
              </w:rPr>
            </w:pPr>
            <w:r w:rsidRPr="00732423">
              <w:rPr>
                <w:rFonts w:eastAsia="MS Mincho"/>
                <w:lang w:eastAsia="ja-JP" w:bidi="th-TH"/>
              </w:rPr>
              <w:t>69,7</w:t>
            </w:r>
          </w:p>
        </w:tc>
        <w:tc>
          <w:tcPr>
            <w:tcW w:w="1548" w:type="dxa"/>
            <w:shd w:val="clear" w:color="auto" w:fill="FFCC00"/>
            <w:vAlign w:val="bottom"/>
          </w:tcPr>
          <w:p w:rsidR="00732423" w:rsidRPr="00732423" w:rsidRDefault="00732423" w:rsidP="00732423">
            <w:pPr>
              <w:jc w:val="center"/>
              <w:rPr>
                <w:rFonts w:eastAsia="MS Mincho"/>
                <w:lang w:eastAsia="ja-JP" w:bidi="th-TH"/>
              </w:rPr>
            </w:pPr>
            <w:r w:rsidRPr="00732423">
              <w:rPr>
                <w:rFonts w:eastAsia="MS Mincho"/>
                <w:lang w:eastAsia="ja-JP" w:bidi="th-TH"/>
              </w:rPr>
              <w:t>32,4</w:t>
            </w:r>
          </w:p>
        </w:tc>
      </w:tr>
      <w:tr w:rsidR="00732423" w:rsidRPr="00732423" w:rsidTr="00732423">
        <w:trPr>
          <w:jc w:val="center"/>
        </w:trPr>
        <w:tc>
          <w:tcPr>
            <w:tcW w:w="2628" w:type="dxa"/>
          </w:tcPr>
          <w:p w:rsidR="00732423" w:rsidRPr="00732423" w:rsidRDefault="00732423" w:rsidP="00732423">
            <w:pPr>
              <w:rPr>
                <w:lang w:val="it-IT" w:eastAsia="en-US"/>
              </w:rPr>
            </w:pPr>
          </w:p>
        </w:tc>
        <w:tc>
          <w:tcPr>
            <w:tcW w:w="1800" w:type="dxa"/>
            <w:vAlign w:val="bottom"/>
          </w:tcPr>
          <w:p w:rsidR="00732423" w:rsidRPr="00732423" w:rsidRDefault="00732423" w:rsidP="00732423">
            <w:pPr>
              <w:rPr>
                <w:rFonts w:eastAsia="MS Mincho"/>
                <w:lang w:eastAsia="ja-JP" w:bidi="th-TH"/>
              </w:rPr>
            </w:pPr>
            <w:r w:rsidRPr="00732423">
              <w:rPr>
                <w:rFonts w:eastAsia="MS Mincho"/>
                <w:lang w:eastAsia="ja-JP" w:bidi="th-TH"/>
              </w:rPr>
              <w:t>11 luni</w:t>
            </w:r>
          </w:p>
        </w:tc>
        <w:tc>
          <w:tcPr>
            <w:tcW w:w="1440" w:type="dxa"/>
            <w:shd w:val="clear" w:color="auto" w:fill="FF6600"/>
            <w:vAlign w:val="bottom"/>
          </w:tcPr>
          <w:p w:rsidR="00732423" w:rsidRPr="00732423" w:rsidRDefault="00732423" w:rsidP="00732423">
            <w:pPr>
              <w:jc w:val="center"/>
              <w:rPr>
                <w:rFonts w:eastAsia="MS Mincho"/>
                <w:lang w:eastAsia="ja-JP" w:bidi="th-TH"/>
              </w:rPr>
            </w:pPr>
            <w:r w:rsidRPr="00732423">
              <w:rPr>
                <w:rFonts w:eastAsia="MS Mincho"/>
                <w:lang w:eastAsia="ja-JP" w:bidi="th-TH"/>
              </w:rPr>
              <w:t>32,5</w:t>
            </w:r>
          </w:p>
        </w:tc>
        <w:tc>
          <w:tcPr>
            <w:tcW w:w="1440" w:type="dxa"/>
            <w:shd w:val="clear" w:color="auto" w:fill="00FFFF"/>
            <w:vAlign w:val="bottom"/>
          </w:tcPr>
          <w:p w:rsidR="00732423" w:rsidRPr="00732423" w:rsidRDefault="00732423" w:rsidP="00732423">
            <w:pPr>
              <w:jc w:val="center"/>
              <w:rPr>
                <w:rFonts w:eastAsia="MS Mincho"/>
                <w:lang w:eastAsia="ja-JP" w:bidi="th-TH"/>
              </w:rPr>
            </w:pPr>
            <w:r w:rsidRPr="00732423">
              <w:rPr>
                <w:rFonts w:eastAsia="MS Mincho"/>
                <w:lang w:eastAsia="ja-JP" w:bidi="th-TH"/>
              </w:rPr>
              <w:t>61,2</w:t>
            </w:r>
          </w:p>
        </w:tc>
        <w:tc>
          <w:tcPr>
            <w:tcW w:w="1548" w:type="dxa"/>
            <w:shd w:val="clear" w:color="auto" w:fill="FFCC00"/>
            <w:vAlign w:val="bottom"/>
          </w:tcPr>
          <w:p w:rsidR="00732423" w:rsidRPr="00732423" w:rsidRDefault="00732423" w:rsidP="00732423">
            <w:pPr>
              <w:jc w:val="center"/>
              <w:rPr>
                <w:rFonts w:eastAsia="MS Mincho"/>
                <w:lang w:eastAsia="ja-JP" w:bidi="th-TH"/>
              </w:rPr>
            </w:pPr>
            <w:r w:rsidRPr="00732423">
              <w:rPr>
                <w:rFonts w:eastAsia="MS Mincho"/>
                <w:lang w:eastAsia="ja-JP" w:bidi="th-TH"/>
              </w:rPr>
              <w:t>24,9</w:t>
            </w:r>
          </w:p>
        </w:tc>
      </w:tr>
      <w:tr w:rsidR="00732423" w:rsidRPr="00732423" w:rsidTr="00732423">
        <w:trPr>
          <w:jc w:val="center"/>
        </w:trPr>
        <w:tc>
          <w:tcPr>
            <w:tcW w:w="2628" w:type="dxa"/>
          </w:tcPr>
          <w:p w:rsidR="00732423" w:rsidRPr="00732423" w:rsidRDefault="00732423" w:rsidP="00732423">
            <w:pPr>
              <w:rPr>
                <w:color w:val="FFFF00"/>
                <w:lang w:val="it-IT" w:eastAsia="en-US"/>
              </w:rPr>
            </w:pPr>
          </w:p>
        </w:tc>
        <w:tc>
          <w:tcPr>
            <w:tcW w:w="1800" w:type="dxa"/>
          </w:tcPr>
          <w:p w:rsidR="00732423" w:rsidRPr="00732423" w:rsidRDefault="00732423" w:rsidP="00732423">
            <w:pPr>
              <w:rPr>
                <w:color w:val="FFFF00"/>
                <w:lang w:val="it-IT" w:eastAsia="en-US"/>
              </w:rPr>
            </w:pPr>
          </w:p>
        </w:tc>
        <w:tc>
          <w:tcPr>
            <w:tcW w:w="1440" w:type="dxa"/>
            <w:shd w:val="clear" w:color="auto" w:fill="FF6600"/>
          </w:tcPr>
          <w:p w:rsidR="00732423" w:rsidRPr="00732423" w:rsidRDefault="00732423" w:rsidP="00732423">
            <w:pPr>
              <w:rPr>
                <w:color w:val="FFFF00"/>
                <w:lang w:val="it-IT" w:eastAsia="en-US"/>
              </w:rPr>
            </w:pPr>
          </w:p>
        </w:tc>
        <w:tc>
          <w:tcPr>
            <w:tcW w:w="1440" w:type="dxa"/>
            <w:shd w:val="clear" w:color="auto" w:fill="00FFFF"/>
          </w:tcPr>
          <w:p w:rsidR="00732423" w:rsidRPr="00732423" w:rsidRDefault="00732423" w:rsidP="00732423">
            <w:pPr>
              <w:rPr>
                <w:color w:val="FFFF00"/>
                <w:lang w:val="it-IT" w:eastAsia="en-US"/>
              </w:rPr>
            </w:pPr>
          </w:p>
        </w:tc>
        <w:tc>
          <w:tcPr>
            <w:tcW w:w="1548" w:type="dxa"/>
            <w:shd w:val="clear" w:color="auto" w:fill="FFCC00"/>
          </w:tcPr>
          <w:p w:rsidR="00732423" w:rsidRPr="00732423" w:rsidRDefault="00732423" w:rsidP="00732423">
            <w:pPr>
              <w:rPr>
                <w:color w:val="FFFF00"/>
                <w:lang w:val="it-IT" w:eastAsia="en-US"/>
              </w:rPr>
            </w:pPr>
          </w:p>
        </w:tc>
      </w:tr>
      <w:tr w:rsidR="00732423" w:rsidRPr="00732423" w:rsidTr="00732423">
        <w:trPr>
          <w:jc w:val="center"/>
        </w:trPr>
        <w:tc>
          <w:tcPr>
            <w:tcW w:w="2628" w:type="dxa"/>
          </w:tcPr>
          <w:p w:rsidR="00732423" w:rsidRPr="00732423" w:rsidRDefault="00732423" w:rsidP="00732423">
            <w:pPr>
              <w:rPr>
                <w:b/>
                <w:bCs/>
                <w:lang w:val="it-IT" w:eastAsia="en-US"/>
              </w:rPr>
            </w:pPr>
            <w:r w:rsidRPr="00732423">
              <w:rPr>
                <w:rFonts w:eastAsia="MS Mincho"/>
                <w:b/>
                <w:bCs/>
                <w:lang w:eastAsia="ja-JP" w:bidi="th-TH"/>
              </w:rPr>
              <w:t>Pneumococic</w:t>
            </w:r>
          </w:p>
        </w:tc>
        <w:tc>
          <w:tcPr>
            <w:tcW w:w="1800" w:type="dxa"/>
            <w:vAlign w:val="bottom"/>
          </w:tcPr>
          <w:p w:rsidR="00732423" w:rsidRPr="00732423" w:rsidRDefault="00732423" w:rsidP="00732423">
            <w:pPr>
              <w:rPr>
                <w:rFonts w:eastAsia="MS Mincho"/>
                <w:lang w:eastAsia="ja-JP" w:bidi="th-TH"/>
              </w:rPr>
            </w:pPr>
            <w:r w:rsidRPr="00732423">
              <w:rPr>
                <w:rFonts w:eastAsia="MS Mincho"/>
                <w:lang w:eastAsia="ja-JP" w:bidi="th-TH"/>
              </w:rPr>
              <w:t>2 luni</w:t>
            </w:r>
          </w:p>
        </w:tc>
        <w:tc>
          <w:tcPr>
            <w:tcW w:w="1440" w:type="dxa"/>
            <w:shd w:val="clear" w:color="auto" w:fill="FF6600"/>
            <w:vAlign w:val="bottom"/>
          </w:tcPr>
          <w:p w:rsidR="00732423" w:rsidRPr="00732423" w:rsidRDefault="00732423" w:rsidP="00732423">
            <w:pPr>
              <w:jc w:val="center"/>
              <w:rPr>
                <w:rFonts w:eastAsia="MS Mincho"/>
                <w:lang w:eastAsia="ja-JP" w:bidi="th-TH"/>
              </w:rPr>
            </w:pPr>
            <w:r w:rsidRPr="00732423">
              <w:rPr>
                <w:rFonts w:eastAsia="MS Mincho"/>
                <w:lang w:eastAsia="ja-JP" w:bidi="th-TH"/>
              </w:rPr>
              <w:t>61,0</w:t>
            </w:r>
          </w:p>
        </w:tc>
        <w:tc>
          <w:tcPr>
            <w:tcW w:w="1440" w:type="dxa"/>
            <w:shd w:val="clear" w:color="auto" w:fill="00FFFF"/>
            <w:vAlign w:val="bottom"/>
          </w:tcPr>
          <w:p w:rsidR="00732423" w:rsidRPr="00732423" w:rsidRDefault="00732423" w:rsidP="00732423">
            <w:pPr>
              <w:jc w:val="center"/>
              <w:rPr>
                <w:rFonts w:eastAsia="MS Mincho"/>
                <w:lang w:eastAsia="ja-JP" w:bidi="th-TH"/>
              </w:rPr>
            </w:pPr>
            <w:r w:rsidRPr="00732423">
              <w:rPr>
                <w:rFonts w:eastAsia="MS Mincho"/>
                <w:lang w:eastAsia="ja-JP" w:bidi="th-TH"/>
              </w:rPr>
              <w:t>74,3</w:t>
            </w:r>
          </w:p>
        </w:tc>
        <w:tc>
          <w:tcPr>
            <w:tcW w:w="1548" w:type="dxa"/>
            <w:shd w:val="clear" w:color="auto" w:fill="FFCC00"/>
            <w:vAlign w:val="bottom"/>
          </w:tcPr>
          <w:p w:rsidR="00732423" w:rsidRPr="00732423" w:rsidRDefault="00732423" w:rsidP="00732423">
            <w:pPr>
              <w:jc w:val="center"/>
              <w:rPr>
                <w:rFonts w:eastAsia="MS Mincho"/>
                <w:lang w:eastAsia="ja-JP" w:bidi="th-TH"/>
              </w:rPr>
            </w:pPr>
            <w:r w:rsidRPr="00732423">
              <w:rPr>
                <w:rFonts w:eastAsia="MS Mincho"/>
                <w:lang w:eastAsia="ja-JP" w:bidi="th-TH"/>
              </w:rPr>
              <w:t>41,3</w:t>
            </w:r>
          </w:p>
        </w:tc>
      </w:tr>
      <w:tr w:rsidR="00732423" w:rsidRPr="00732423" w:rsidTr="00732423">
        <w:trPr>
          <w:jc w:val="center"/>
        </w:trPr>
        <w:tc>
          <w:tcPr>
            <w:tcW w:w="2628" w:type="dxa"/>
          </w:tcPr>
          <w:p w:rsidR="00732423" w:rsidRPr="00732423" w:rsidRDefault="00732423" w:rsidP="00732423">
            <w:pPr>
              <w:rPr>
                <w:lang w:val="it-IT" w:eastAsia="en-US"/>
              </w:rPr>
            </w:pPr>
          </w:p>
        </w:tc>
        <w:tc>
          <w:tcPr>
            <w:tcW w:w="1800" w:type="dxa"/>
            <w:vAlign w:val="bottom"/>
          </w:tcPr>
          <w:p w:rsidR="00732423" w:rsidRPr="00732423" w:rsidRDefault="00732423" w:rsidP="00732423">
            <w:pPr>
              <w:rPr>
                <w:rFonts w:eastAsia="MS Mincho"/>
                <w:lang w:eastAsia="ja-JP" w:bidi="th-TH"/>
              </w:rPr>
            </w:pPr>
            <w:r w:rsidRPr="00732423">
              <w:rPr>
                <w:rFonts w:eastAsia="MS Mincho"/>
                <w:lang w:eastAsia="ja-JP" w:bidi="th-TH"/>
              </w:rPr>
              <w:t>4 luni</w:t>
            </w:r>
          </w:p>
        </w:tc>
        <w:tc>
          <w:tcPr>
            <w:tcW w:w="1440" w:type="dxa"/>
            <w:shd w:val="clear" w:color="auto" w:fill="FF6600"/>
            <w:vAlign w:val="bottom"/>
          </w:tcPr>
          <w:p w:rsidR="00732423" w:rsidRPr="00732423" w:rsidRDefault="00732423" w:rsidP="00732423">
            <w:pPr>
              <w:jc w:val="center"/>
              <w:rPr>
                <w:rFonts w:eastAsia="MS Mincho"/>
                <w:lang w:eastAsia="ja-JP" w:bidi="th-TH"/>
              </w:rPr>
            </w:pPr>
            <w:r w:rsidRPr="00732423">
              <w:rPr>
                <w:rFonts w:eastAsia="MS Mincho"/>
                <w:lang w:eastAsia="ja-JP" w:bidi="th-TH"/>
              </w:rPr>
              <w:t>58,5</w:t>
            </w:r>
          </w:p>
        </w:tc>
        <w:tc>
          <w:tcPr>
            <w:tcW w:w="1440" w:type="dxa"/>
            <w:shd w:val="clear" w:color="auto" w:fill="00FFFF"/>
            <w:vAlign w:val="bottom"/>
          </w:tcPr>
          <w:p w:rsidR="00732423" w:rsidRPr="00732423" w:rsidRDefault="00732423" w:rsidP="00732423">
            <w:pPr>
              <w:jc w:val="center"/>
              <w:rPr>
                <w:rFonts w:eastAsia="MS Mincho"/>
                <w:lang w:eastAsia="ja-JP" w:bidi="th-TH"/>
              </w:rPr>
            </w:pPr>
            <w:r w:rsidRPr="00732423">
              <w:rPr>
                <w:rFonts w:eastAsia="MS Mincho"/>
                <w:lang w:eastAsia="ja-JP" w:bidi="th-TH"/>
              </w:rPr>
              <w:t>71,9</w:t>
            </w:r>
          </w:p>
        </w:tc>
        <w:tc>
          <w:tcPr>
            <w:tcW w:w="1548" w:type="dxa"/>
            <w:shd w:val="clear" w:color="auto" w:fill="FFCC00"/>
            <w:vAlign w:val="bottom"/>
          </w:tcPr>
          <w:p w:rsidR="00732423" w:rsidRPr="00732423" w:rsidRDefault="00732423" w:rsidP="00732423">
            <w:pPr>
              <w:jc w:val="center"/>
              <w:rPr>
                <w:rFonts w:eastAsia="MS Mincho"/>
                <w:lang w:eastAsia="ja-JP" w:bidi="th-TH"/>
              </w:rPr>
            </w:pPr>
            <w:r w:rsidRPr="00732423">
              <w:rPr>
                <w:rFonts w:eastAsia="MS Mincho"/>
                <w:lang w:eastAsia="ja-JP" w:bidi="th-TH"/>
              </w:rPr>
              <w:t>42,8</w:t>
            </w:r>
          </w:p>
        </w:tc>
      </w:tr>
      <w:tr w:rsidR="00732423" w:rsidRPr="00732423" w:rsidTr="00732423">
        <w:trPr>
          <w:jc w:val="center"/>
        </w:trPr>
        <w:tc>
          <w:tcPr>
            <w:tcW w:w="2628" w:type="dxa"/>
          </w:tcPr>
          <w:p w:rsidR="00732423" w:rsidRPr="00732423" w:rsidRDefault="00732423" w:rsidP="00732423">
            <w:pPr>
              <w:rPr>
                <w:lang w:val="it-IT" w:eastAsia="en-US"/>
              </w:rPr>
            </w:pPr>
          </w:p>
        </w:tc>
        <w:tc>
          <w:tcPr>
            <w:tcW w:w="1800" w:type="dxa"/>
            <w:vAlign w:val="bottom"/>
          </w:tcPr>
          <w:p w:rsidR="00732423" w:rsidRPr="00732423" w:rsidRDefault="00732423" w:rsidP="00732423">
            <w:pPr>
              <w:rPr>
                <w:rFonts w:eastAsia="MS Mincho"/>
                <w:lang w:eastAsia="ja-JP" w:bidi="th-TH"/>
              </w:rPr>
            </w:pPr>
            <w:r w:rsidRPr="00732423">
              <w:rPr>
                <w:rFonts w:eastAsia="MS Mincho"/>
                <w:lang w:eastAsia="ja-JP" w:bidi="th-TH"/>
              </w:rPr>
              <w:t>11 luni</w:t>
            </w:r>
          </w:p>
        </w:tc>
        <w:tc>
          <w:tcPr>
            <w:tcW w:w="1440" w:type="dxa"/>
            <w:shd w:val="clear" w:color="auto" w:fill="FF6600"/>
            <w:vAlign w:val="bottom"/>
          </w:tcPr>
          <w:p w:rsidR="00732423" w:rsidRPr="00732423" w:rsidRDefault="00732423" w:rsidP="00732423">
            <w:pPr>
              <w:jc w:val="center"/>
              <w:rPr>
                <w:rFonts w:eastAsia="MS Mincho"/>
                <w:lang w:eastAsia="ja-JP" w:bidi="th-TH"/>
              </w:rPr>
            </w:pPr>
            <w:r w:rsidRPr="00732423">
              <w:rPr>
                <w:rFonts w:eastAsia="MS Mincho"/>
                <w:lang w:eastAsia="ja-JP" w:bidi="th-TH"/>
              </w:rPr>
              <w:t>51,5</w:t>
            </w:r>
          </w:p>
        </w:tc>
        <w:tc>
          <w:tcPr>
            <w:tcW w:w="1440" w:type="dxa"/>
            <w:shd w:val="clear" w:color="auto" w:fill="00FFFF"/>
            <w:vAlign w:val="bottom"/>
          </w:tcPr>
          <w:p w:rsidR="00732423" w:rsidRPr="00732423" w:rsidRDefault="00732423" w:rsidP="00732423">
            <w:pPr>
              <w:jc w:val="center"/>
              <w:rPr>
                <w:rFonts w:eastAsia="MS Mincho"/>
                <w:lang w:eastAsia="ja-JP" w:bidi="th-TH"/>
              </w:rPr>
            </w:pPr>
            <w:r w:rsidRPr="00732423">
              <w:rPr>
                <w:rFonts w:eastAsia="MS Mincho"/>
                <w:lang w:eastAsia="ja-JP" w:bidi="th-TH"/>
              </w:rPr>
              <w:t>62,0</w:t>
            </w:r>
          </w:p>
        </w:tc>
        <w:tc>
          <w:tcPr>
            <w:tcW w:w="1548" w:type="dxa"/>
            <w:shd w:val="clear" w:color="auto" w:fill="FFCC00"/>
            <w:vAlign w:val="bottom"/>
          </w:tcPr>
          <w:p w:rsidR="00732423" w:rsidRPr="00732423" w:rsidRDefault="00732423" w:rsidP="00732423">
            <w:pPr>
              <w:jc w:val="center"/>
              <w:rPr>
                <w:rFonts w:eastAsia="MS Mincho"/>
                <w:lang w:eastAsia="ja-JP" w:bidi="th-TH"/>
              </w:rPr>
            </w:pPr>
            <w:r w:rsidRPr="00732423">
              <w:rPr>
                <w:rFonts w:eastAsia="MS Mincho"/>
                <w:lang w:eastAsia="ja-JP" w:bidi="th-TH"/>
              </w:rPr>
              <w:t>41,3</w:t>
            </w:r>
          </w:p>
        </w:tc>
      </w:tr>
      <w:tr w:rsidR="00732423" w:rsidRPr="00732423" w:rsidTr="00732423">
        <w:trPr>
          <w:jc w:val="center"/>
        </w:trPr>
        <w:tc>
          <w:tcPr>
            <w:tcW w:w="2628" w:type="dxa"/>
          </w:tcPr>
          <w:p w:rsidR="00732423" w:rsidRPr="00732423" w:rsidRDefault="00732423" w:rsidP="00732423">
            <w:pPr>
              <w:rPr>
                <w:lang w:val="it-IT" w:eastAsia="en-US"/>
              </w:rPr>
            </w:pPr>
          </w:p>
        </w:tc>
        <w:tc>
          <w:tcPr>
            <w:tcW w:w="1800" w:type="dxa"/>
          </w:tcPr>
          <w:p w:rsidR="00732423" w:rsidRPr="00732423" w:rsidRDefault="00732423" w:rsidP="00732423">
            <w:pPr>
              <w:rPr>
                <w:lang w:val="it-IT" w:eastAsia="en-US"/>
              </w:rPr>
            </w:pPr>
          </w:p>
        </w:tc>
        <w:tc>
          <w:tcPr>
            <w:tcW w:w="1440" w:type="dxa"/>
            <w:shd w:val="clear" w:color="auto" w:fill="FF6600"/>
          </w:tcPr>
          <w:p w:rsidR="00732423" w:rsidRPr="00732423" w:rsidRDefault="00732423" w:rsidP="00732423">
            <w:pPr>
              <w:rPr>
                <w:lang w:val="it-IT" w:eastAsia="en-US"/>
              </w:rPr>
            </w:pPr>
          </w:p>
        </w:tc>
        <w:tc>
          <w:tcPr>
            <w:tcW w:w="1440" w:type="dxa"/>
            <w:shd w:val="clear" w:color="auto" w:fill="00FFFF"/>
          </w:tcPr>
          <w:p w:rsidR="00732423" w:rsidRPr="00732423" w:rsidRDefault="00732423" w:rsidP="00732423">
            <w:pPr>
              <w:rPr>
                <w:lang w:val="it-IT" w:eastAsia="en-US"/>
              </w:rPr>
            </w:pPr>
          </w:p>
        </w:tc>
        <w:tc>
          <w:tcPr>
            <w:tcW w:w="1548" w:type="dxa"/>
            <w:shd w:val="clear" w:color="auto" w:fill="FFCC00"/>
          </w:tcPr>
          <w:p w:rsidR="00732423" w:rsidRPr="00732423" w:rsidRDefault="00732423" w:rsidP="00732423">
            <w:pPr>
              <w:rPr>
                <w:lang w:val="it-IT" w:eastAsia="en-US"/>
              </w:rPr>
            </w:pPr>
          </w:p>
        </w:tc>
      </w:tr>
      <w:tr w:rsidR="00732423" w:rsidRPr="00732423" w:rsidTr="00732423">
        <w:trPr>
          <w:jc w:val="center"/>
        </w:trPr>
        <w:tc>
          <w:tcPr>
            <w:tcW w:w="2628" w:type="dxa"/>
          </w:tcPr>
          <w:p w:rsidR="00732423" w:rsidRPr="00732423" w:rsidRDefault="00732423" w:rsidP="00732423">
            <w:pPr>
              <w:rPr>
                <w:b/>
                <w:bCs/>
                <w:lang w:val="it-IT" w:eastAsia="en-US"/>
              </w:rPr>
            </w:pPr>
            <w:r w:rsidRPr="00732423">
              <w:rPr>
                <w:rFonts w:eastAsia="MS Mincho"/>
                <w:b/>
                <w:bCs/>
                <w:lang w:eastAsia="ja-JP" w:bidi="th-TH"/>
              </w:rPr>
              <w:t>RRO</w:t>
            </w:r>
          </w:p>
        </w:tc>
        <w:tc>
          <w:tcPr>
            <w:tcW w:w="1800" w:type="dxa"/>
            <w:vAlign w:val="bottom"/>
          </w:tcPr>
          <w:p w:rsidR="00732423" w:rsidRPr="00732423" w:rsidRDefault="00732423" w:rsidP="00732423">
            <w:pPr>
              <w:rPr>
                <w:rFonts w:eastAsia="MS Mincho"/>
                <w:lang w:eastAsia="ja-JP" w:bidi="th-TH"/>
              </w:rPr>
            </w:pPr>
            <w:r w:rsidRPr="00732423">
              <w:rPr>
                <w:rFonts w:eastAsia="MS Mincho"/>
                <w:lang w:eastAsia="ja-JP" w:bidi="th-TH"/>
              </w:rPr>
              <w:t>9-11 luni</w:t>
            </w:r>
          </w:p>
        </w:tc>
        <w:tc>
          <w:tcPr>
            <w:tcW w:w="1440" w:type="dxa"/>
            <w:shd w:val="clear" w:color="auto" w:fill="FF6600"/>
            <w:vAlign w:val="bottom"/>
          </w:tcPr>
          <w:p w:rsidR="00732423" w:rsidRPr="00732423" w:rsidRDefault="00732423" w:rsidP="00732423">
            <w:pPr>
              <w:jc w:val="center"/>
              <w:rPr>
                <w:rFonts w:eastAsia="MS Mincho"/>
                <w:lang w:eastAsia="ja-JP" w:bidi="th-TH"/>
              </w:rPr>
            </w:pPr>
            <w:r w:rsidRPr="00732423">
              <w:rPr>
                <w:rFonts w:eastAsia="MS Mincho"/>
                <w:lang w:eastAsia="ja-JP" w:bidi="th-TH"/>
              </w:rPr>
              <w:t>24,0</w:t>
            </w:r>
          </w:p>
        </w:tc>
        <w:tc>
          <w:tcPr>
            <w:tcW w:w="1440" w:type="dxa"/>
            <w:shd w:val="clear" w:color="auto" w:fill="00FFFF"/>
            <w:vAlign w:val="bottom"/>
          </w:tcPr>
          <w:p w:rsidR="00732423" w:rsidRPr="00732423" w:rsidRDefault="00732423" w:rsidP="00732423">
            <w:pPr>
              <w:jc w:val="center"/>
              <w:rPr>
                <w:rFonts w:eastAsia="MS Mincho"/>
                <w:lang w:eastAsia="ja-JP" w:bidi="th-TH"/>
              </w:rPr>
            </w:pPr>
          </w:p>
        </w:tc>
        <w:tc>
          <w:tcPr>
            <w:tcW w:w="1548" w:type="dxa"/>
            <w:shd w:val="clear" w:color="auto" w:fill="FFCC00"/>
            <w:vAlign w:val="bottom"/>
          </w:tcPr>
          <w:p w:rsidR="00732423" w:rsidRPr="00732423" w:rsidRDefault="00732423" w:rsidP="00732423">
            <w:pPr>
              <w:jc w:val="center"/>
              <w:rPr>
                <w:rFonts w:eastAsia="MS Mincho"/>
                <w:lang w:eastAsia="ja-JP" w:bidi="th-TH"/>
              </w:rPr>
            </w:pPr>
          </w:p>
        </w:tc>
      </w:tr>
      <w:tr w:rsidR="00732423" w:rsidRPr="00732423" w:rsidTr="00732423">
        <w:trPr>
          <w:jc w:val="center"/>
        </w:trPr>
        <w:tc>
          <w:tcPr>
            <w:tcW w:w="2628" w:type="dxa"/>
          </w:tcPr>
          <w:p w:rsidR="00732423" w:rsidRPr="00732423" w:rsidRDefault="00732423" w:rsidP="00732423">
            <w:pPr>
              <w:rPr>
                <w:lang w:val="it-IT" w:eastAsia="en-US"/>
              </w:rPr>
            </w:pPr>
          </w:p>
        </w:tc>
        <w:tc>
          <w:tcPr>
            <w:tcW w:w="1800" w:type="dxa"/>
            <w:vAlign w:val="bottom"/>
          </w:tcPr>
          <w:p w:rsidR="00732423" w:rsidRPr="00732423" w:rsidRDefault="00732423" w:rsidP="00732423">
            <w:pPr>
              <w:rPr>
                <w:rFonts w:eastAsia="MS Mincho"/>
                <w:lang w:eastAsia="ja-JP" w:bidi="th-TH"/>
              </w:rPr>
            </w:pPr>
            <w:r w:rsidRPr="00732423">
              <w:rPr>
                <w:rFonts w:eastAsia="MS Mincho"/>
                <w:lang w:eastAsia="ja-JP" w:bidi="th-TH"/>
              </w:rPr>
              <w:t>12 luni</w:t>
            </w:r>
          </w:p>
        </w:tc>
        <w:tc>
          <w:tcPr>
            <w:tcW w:w="1440" w:type="dxa"/>
            <w:shd w:val="clear" w:color="auto" w:fill="FF6600"/>
            <w:vAlign w:val="bottom"/>
          </w:tcPr>
          <w:p w:rsidR="00732423" w:rsidRPr="00732423" w:rsidRDefault="00732423" w:rsidP="00732423">
            <w:pPr>
              <w:jc w:val="center"/>
              <w:rPr>
                <w:rFonts w:eastAsia="MS Mincho"/>
                <w:lang w:eastAsia="ja-JP" w:bidi="th-TH"/>
              </w:rPr>
            </w:pPr>
            <w:r w:rsidRPr="00732423">
              <w:rPr>
                <w:rFonts w:eastAsia="MS Mincho"/>
                <w:lang w:eastAsia="ja-JP" w:bidi="th-TH"/>
              </w:rPr>
              <w:t>30,8</w:t>
            </w:r>
          </w:p>
        </w:tc>
        <w:tc>
          <w:tcPr>
            <w:tcW w:w="1440" w:type="dxa"/>
            <w:shd w:val="clear" w:color="auto" w:fill="00FFFF"/>
            <w:vAlign w:val="bottom"/>
          </w:tcPr>
          <w:p w:rsidR="00732423" w:rsidRPr="00732423" w:rsidRDefault="00732423" w:rsidP="00732423">
            <w:pPr>
              <w:jc w:val="center"/>
              <w:rPr>
                <w:rFonts w:eastAsia="MS Mincho"/>
                <w:lang w:eastAsia="ja-JP" w:bidi="th-TH"/>
              </w:rPr>
            </w:pPr>
            <w:r w:rsidRPr="00732423">
              <w:rPr>
                <w:rFonts w:eastAsia="MS Mincho"/>
                <w:lang w:eastAsia="ja-JP" w:bidi="th-TH"/>
              </w:rPr>
              <w:t>47,3</w:t>
            </w:r>
          </w:p>
        </w:tc>
        <w:tc>
          <w:tcPr>
            <w:tcW w:w="1548" w:type="dxa"/>
            <w:shd w:val="clear" w:color="auto" w:fill="FFCC00"/>
            <w:vAlign w:val="bottom"/>
          </w:tcPr>
          <w:p w:rsidR="00732423" w:rsidRPr="00732423" w:rsidRDefault="00732423" w:rsidP="00732423">
            <w:pPr>
              <w:jc w:val="center"/>
              <w:rPr>
                <w:rFonts w:eastAsia="MS Mincho"/>
                <w:lang w:eastAsia="ja-JP" w:bidi="th-TH"/>
              </w:rPr>
            </w:pPr>
            <w:r w:rsidRPr="00732423">
              <w:rPr>
                <w:rFonts w:eastAsia="MS Mincho"/>
                <w:lang w:eastAsia="ja-JP" w:bidi="th-TH"/>
              </w:rPr>
              <w:t>23,4</w:t>
            </w:r>
          </w:p>
        </w:tc>
      </w:tr>
      <w:tr w:rsidR="00732423" w:rsidRPr="00732423" w:rsidTr="00732423">
        <w:trPr>
          <w:jc w:val="center"/>
        </w:trPr>
        <w:tc>
          <w:tcPr>
            <w:tcW w:w="2628" w:type="dxa"/>
          </w:tcPr>
          <w:p w:rsidR="00732423" w:rsidRPr="00732423" w:rsidRDefault="00732423" w:rsidP="00732423">
            <w:pPr>
              <w:rPr>
                <w:lang w:val="it-IT" w:eastAsia="en-US"/>
              </w:rPr>
            </w:pPr>
          </w:p>
        </w:tc>
        <w:tc>
          <w:tcPr>
            <w:tcW w:w="1800" w:type="dxa"/>
            <w:vAlign w:val="bottom"/>
          </w:tcPr>
          <w:p w:rsidR="00732423" w:rsidRPr="00732423" w:rsidRDefault="00732423" w:rsidP="00732423">
            <w:pPr>
              <w:rPr>
                <w:rFonts w:eastAsia="MS Mincho"/>
                <w:lang w:eastAsia="ja-JP" w:bidi="th-TH"/>
              </w:rPr>
            </w:pPr>
            <w:r w:rsidRPr="00732423">
              <w:rPr>
                <w:rFonts w:eastAsia="MS Mincho"/>
                <w:lang w:eastAsia="ja-JP" w:bidi="th-TH"/>
              </w:rPr>
              <w:t>5 ani</w:t>
            </w:r>
          </w:p>
        </w:tc>
        <w:tc>
          <w:tcPr>
            <w:tcW w:w="1440" w:type="dxa"/>
            <w:shd w:val="clear" w:color="auto" w:fill="FF6600"/>
            <w:vAlign w:val="bottom"/>
          </w:tcPr>
          <w:p w:rsidR="00732423" w:rsidRPr="00732423" w:rsidRDefault="00732423" w:rsidP="00732423">
            <w:pPr>
              <w:jc w:val="center"/>
              <w:rPr>
                <w:rFonts w:eastAsia="MS Mincho"/>
                <w:lang w:eastAsia="ja-JP" w:bidi="th-TH"/>
              </w:rPr>
            </w:pPr>
            <w:r w:rsidRPr="00732423">
              <w:rPr>
                <w:rFonts w:eastAsia="MS Mincho"/>
                <w:lang w:eastAsia="ja-JP" w:bidi="th-TH"/>
              </w:rPr>
              <w:t>21,0</w:t>
            </w:r>
          </w:p>
        </w:tc>
        <w:tc>
          <w:tcPr>
            <w:tcW w:w="1440" w:type="dxa"/>
            <w:shd w:val="clear" w:color="auto" w:fill="00FFFF"/>
            <w:vAlign w:val="bottom"/>
          </w:tcPr>
          <w:p w:rsidR="00732423" w:rsidRPr="00732423" w:rsidRDefault="00732423" w:rsidP="00732423">
            <w:pPr>
              <w:jc w:val="center"/>
              <w:rPr>
                <w:rFonts w:eastAsia="MS Mincho"/>
                <w:lang w:eastAsia="ja-JP" w:bidi="th-TH"/>
              </w:rPr>
            </w:pPr>
            <w:r w:rsidRPr="00732423">
              <w:rPr>
                <w:rFonts w:eastAsia="MS Mincho"/>
                <w:lang w:eastAsia="ja-JP" w:bidi="th-TH"/>
              </w:rPr>
              <w:t>22,2</w:t>
            </w:r>
          </w:p>
        </w:tc>
        <w:tc>
          <w:tcPr>
            <w:tcW w:w="1548" w:type="dxa"/>
            <w:shd w:val="clear" w:color="auto" w:fill="FFCC00"/>
            <w:vAlign w:val="bottom"/>
          </w:tcPr>
          <w:p w:rsidR="00732423" w:rsidRPr="00732423" w:rsidRDefault="00732423" w:rsidP="00732423">
            <w:pPr>
              <w:jc w:val="center"/>
              <w:rPr>
                <w:rFonts w:eastAsia="MS Mincho"/>
                <w:lang w:eastAsia="ja-JP" w:bidi="th-TH"/>
              </w:rPr>
            </w:pPr>
            <w:r w:rsidRPr="00732423">
              <w:rPr>
                <w:rFonts w:eastAsia="MS Mincho"/>
                <w:lang w:eastAsia="ja-JP" w:bidi="th-TH"/>
              </w:rPr>
              <w:t>18,3</w:t>
            </w:r>
          </w:p>
        </w:tc>
      </w:tr>
      <w:tr w:rsidR="00732423" w:rsidRPr="00732423" w:rsidTr="00732423">
        <w:trPr>
          <w:jc w:val="center"/>
        </w:trPr>
        <w:tc>
          <w:tcPr>
            <w:tcW w:w="2628" w:type="dxa"/>
          </w:tcPr>
          <w:p w:rsidR="00732423" w:rsidRPr="00732423" w:rsidRDefault="00732423" w:rsidP="00732423">
            <w:pPr>
              <w:rPr>
                <w:lang w:val="it-IT" w:eastAsia="en-US"/>
              </w:rPr>
            </w:pPr>
          </w:p>
        </w:tc>
        <w:tc>
          <w:tcPr>
            <w:tcW w:w="1800" w:type="dxa"/>
          </w:tcPr>
          <w:p w:rsidR="00732423" w:rsidRPr="00732423" w:rsidRDefault="00732423" w:rsidP="00732423">
            <w:pPr>
              <w:rPr>
                <w:lang w:val="it-IT" w:eastAsia="en-US"/>
              </w:rPr>
            </w:pPr>
          </w:p>
        </w:tc>
        <w:tc>
          <w:tcPr>
            <w:tcW w:w="1440" w:type="dxa"/>
            <w:shd w:val="clear" w:color="auto" w:fill="FF6600"/>
          </w:tcPr>
          <w:p w:rsidR="00732423" w:rsidRPr="00732423" w:rsidRDefault="00732423" w:rsidP="00732423">
            <w:pPr>
              <w:rPr>
                <w:lang w:val="it-IT" w:eastAsia="en-US"/>
              </w:rPr>
            </w:pPr>
          </w:p>
        </w:tc>
        <w:tc>
          <w:tcPr>
            <w:tcW w:w="1440" w:type="dxa"/>
            <w:shd w:val="clear" w:color="auto" w:fill="00FFFF"/>
          </w:tcPr>
          <w:p w:rsidR="00732423" w:rsidRPr="00732423" w:rsidRDefault="00732423" w:rsidP="00732423">
            <w:pPr>
              <w:rPr>
                <w:lang w:val="it-IT" w:eastAsia="en-US"/>
              </w:rPr>
            </w:pPr>
          </w:p>
        </w:tc>
        <w:tc>
          <w:tcPr>
            <w:tcW w:w="1548" w:type="dxa"/>
            <w:shd w:val="clear" w:color="auto" w:fill="FFCC00"/>
          </w:tcPr>
          <w:p w:rsidR="00732423" w:rsidRPr="00732423" w:rsidRDefault="00732423" w:rsidP="00732423">
            <w:pPr>
              <w:rPr>
                <w:lang w:val="it-IT" w:eastAsia="en-US"/>
              </w:rPr>
            </w:pPr>
          </w:p>
        </w:tc>
      </w:tr>
      <w:tr w:rsidR="00732423" w:rsidRPr="00732423" w:rsidTr="00732423">
        <w:trPr>
          <w:jc w:val="center"/>
        </w:trPr>
        <w:tc>
          <w:tcPr>
            <w:tcW w:w="2628" w:type="dxa"/>
          </w:tcPr>
          <w:p w:rsidR="00732423" w:rsidRPr="00732423" w:rsidRDefault="00732423" w:rsidP="00732423">
            <w:pPr>
              <w:rPr>
                <w:b/>
                <w:bCs/>
                <w:lang w:val="it-IT" w:eastAsia="en-US"/>
              </w:rPr>
            </w:pPr>
            <w:r w:rsidRPr="00732423">
              <w:rPr>
                <w:rFonts w:eastAsia="MS Mincho"/>
                <w:b/>
                <w:bCs/>
                <w:lang w:eastAsia="ja-JP" w:bidi="th-TH"/>
              </w:rPr>
              <w:t>DTPa-VPI</w:t>
            </w:r>
          </w:p>
        </w:tc>
        <w:tc>
          <w:tcPr>
            <w:tcW w:w="1800" w:type="dxa"/>
            <w:vAlign w:val="bottom"/>
          </w:tcPr>
          <w:p w:rsidR="00732423" w:rsidRPr="00732423" w:rsidRDefault="00732423" w:rsidP="00732423">
            <w:pPr>
              <w:rPr>
                <w:rFonts w:eastAsia="MS Mincho"/>
                <w:lang w:eastAsia="ja-JP" w:bidi="th-TH"/>
              </w:rPr>
            </w:pPr>
            <w:r w:rsidRPr="00732423">
              <w:rPr>
                <w:rFonts w:eastAsia="MS Mincho"/>
                <w:lang w:eastAsia="ja-JP" w:bidi="th-TH"/>
              </w:rPr>
              <w:t>6 ani</w:t>
            </w:r>
          </w:p>
        </w:tc>
        <w:tc>
          <w:tcPr>
            <w:tcW w:w="1440" w:type="dxa"/>
            <w:shd w:val="clear" w:color="auto" w:fill="FF6600"/>
            <w:vAlign w:val="bottom"/>
          </w:tcPr>
          <w:p w:rsidR="00732423" w:rsidRPr="00732423" w:rsidRDefault="00732423" w:rsidP="00732423">
            <w:pPr>
              <w:jc w:val="center"/>
              <w:rPr>
                <w:rFonts w:eastAsia="MS Mincho"/>
                <w:lang w:eastAsia="ja-JP" w:bidi="th-TH"/>
              </w:rPr>
            </w:pPr>
            <w:r w:rsidRPr="00732423">
              <w:rPr>
                <w:rFonts w:eastAsia="MS Mincho"/>
                <w:lang w:eastAsia="ja-JP" w:bidi="th-TH"/>
              </w:rPr>
              <w:t>11,2</w:t>
            </w:r>
          </w:p>
        </w:tc>
        <w:tc>
          <w:tcPr>
            <w:tcW w:w="1440" w:type="dxa"/>
            <w:shd w:val="clear" w:color="auto" w:fill="00FFFF"/>
            <w:vAlign w:val="bottom"/>
          </w:tcPr>
          <w:p w:rsidR="00732423" w:rsidRPr="00732423" w:rsidRDefault="00732423" w:rsidP="00732423">
            <w:pPr>
              <w:jc w:val="center"/>
              <w:rPr>
                <w:rFonts w:eastAsia="MS Mincho"/>
                <w:lang w:eastAsia="ja-JP" w:bidi="th-TH"/>
              </w:rPr>
            </w:pPr>
            <w:r w:rsidRPr="00732423">
              <w:rPr>
                <w:rFonts w:eastAsia="MS Mincho"/>
                <w:lang w:eastAsia="ja-JP" w:bidi="th-TH"/>
              </w:rPr>
              <w:t>12,5</w:t>
            </w:r>
          </w:p>
        </w:tc>
        <w:tc>
          <w:tcPr>
            <w:tcW w:w="1548" w:type="dxa"/>
            <w:shd w:val="clear" w:color="auto" w:fill="FFCC00"/>
            <w:vAlign w:val="bottom"/>
          </w:tcPr>
          <w:p w:rsidR="00732423" w:rsidRPr="00732423" w:rsidRDefault="00732423" w:rsidP="00732423">
            <w:pPr>
              <w:jc w:val="center"/>
              <w:rPr>
                <w:rFonts w:eastAsia="MS Mincho"/>
                <w:lang w:eastAsia="ja-JP" w:bidi="th-TH"/>
              </w:rPr>
            </w:pPr>
            <w:r w:rsidRPr="00732423">
              <w:rPr>
                <w:rFonts w:eastAsia="MS Mincho"/>
                <w:lang w:eastAsia="ja-JP" w:bidi="th-TH"/>
              </w:rPr>
              <w:t>8,7</w:t>
            </w:r>
          </w:p>
        </w:tc>
      </w:tr>
      <w:tr w:rsidR="00732423" w:rsidRPr="00732423" w:rsidTr="00732423">
        <w:trPr>
          <w:jc w:val="center"/>
        </w:trPr>
        <w:tc>
          <w:tcPr>
            <w:tcW w:w="2628" w:type="dxa"/>
          </w:tcPr>
          <w:p w:rsidR="00732423" w:rsidRPr="00732423" w:rsidRDefault="00732423" w:rsidP="00732423">
            <w:pPr>
              <w:rPr>
                <w:lang w:val="it-IT" w:eastAsia="en-US"/>
              </w:rPr>
            </w:pPr>
          </w:p>
        </w:tc>
        <w:tc>
          <w:tcPr>
            <w:tcW w:w="1800" w:type="dxa"/>
          </w:tcPr>
          <w:p w:rsidR="00732423" w:rsidRPr="00732423" w:rsidRDefault="00732423" w:rsidP="00732423">
            <w:pPr>
              <w:rPr>
                <w:lang w:val="it-IT" w:eastAsia="en-US"/>
              </w:rPr>
            </w:pPr>
          </w:p>
        </w:tc>
        <w:tc>
          <w:tcPr>
            <w:tcW w:w="1440" w:type="dxa"/>
            <w:shd w:val="clear" w:color="auto" w:fill="FF6600"/>
          </w:tcPr>
          <w:p w:rsidR="00732423" w:rsidRPr="00732423" w:rsidRDefault="00732423" w:rsidP="00732423">
            <w:pPr>
              <w:jc w:val="center"/>
              <w:rPr>
                <w:lang w:val="it-IT" w:eastAsia="en-US"/>
              </w:rPr>
            </w:pPr>
          </w:p>
        </w:tc>
        <w:tc>
          <w:tcPr>
            <w:tcW w:w="1440" w:type="dxa"/>
            <w:shd w:val="clear" w:color="auto" w:fill="00FFFF"/>
          </w:tcPr>
          <w:p w:rsidR="00732423" w:rsidRPr="00732423" w:rsidRDefault="00732423" w:rsidP="00732423">
            <w:pPr>
              <w:jc w:val="center"/>
              <w:rPr>
                <w:lang w:val="it-IT" w:eastAsia="en-US"/>
              </w:rPr>
            </w:pPr>
          </w:p>
        </w:tc>
        <w:tc>
          <w:tcPr>
            <w:tcW w:w="1548" w:type="dxa"/>
            <w:shd w:val="clear" w:color="auto" w:fill="FFCC00"/>
          </w:tcPr>
          <w:p w:rsidR="00732423" w:rsidRPr="00732423" w:rsidRDefault="00732423" w:rsidP="00732423">
            <w:pPr>
              <w:jc w:val="center"/>
              <w:rPr>
                <w:lang w:val="it-IT" w:eastAsia="en-US"/>
              </w:rPr>
            </w:pPr>
          </w:p>
        </w:tc>
      </w:tr>
      <w:tr w:rsidR="00732423" w:rsidRPr="00732423" w:rsidTr="00732423">
        <w:trPr>
          <w:jc w:val="center"/>
        </w:trPr>
        <w:tc>
          <w:tcPr>
            <w:tcW w:w="2628" w:type="dxa"/>
          </w:tcPr>
          <w:p w:rsidR="00732423" w:rsidRPr="00732423" w:rsidRDefault="00732423" w:rsidP="00732423">
            <w:pPr>
              <w:rPr>
                <w:b/>
                <w:bCs/>
                <w:lang w:val="it-IT" w:eastAsia="en-US"/>
              </w:rPr>
            </w:pPr>
            <w:r w:rsidRPr="00732423">
              <w:rPr>
                <w:rFonts w:eastAsia="MS Mincho"/>
                <w:b/>
                <w:bCs/>
                <w:lang w:eastAsia="ja-JP" w:bidi="th-TH"/>
              </w:rPr>
              <w:t>dT/dTa</w:t>
            </w:r>
          </w:p>
        </w:tc>
        <w:tc>
          <w:tcPr>
            <w:tcW w:w="1800" w:type="dxa"/>
          </w:tcPr>
          <w:p w:rsidR="00732423" w:rsidRPr="00732423" w:rsidRDefault="00732423" w:rsidP="00732423">
            <w:pPr>
              <w:rPr>
                <w:lang w:val="it-IT" w:eastAsia="en-US"/>
              </w:rPr>
            </w:pPr>
            <w:r w:rsidRPr="00732423">
              <w:rPr>
                <w:rFonts w:eastAsia="MS Mincho"/>
                <w:lang w:eastAsia="ja-JP" w:bidi="th-TH"/>
              </w:rPr>
              <w:t>14 ani</w:t>
            </w:r>
          </w:p>
        </w:tc>
        <w:tc>
          <w:tcPr>
            <w:tcW w:w="1440" w:type="dxa"/>
            <w:shd w:val="clear" w:color="auto" w:fill="FF6600"/>
            <w:vAlign w:val="bottom"/>
          </w:tcPr>
          <w:p w:rsidR="00732423" w:rsidRPr="00732423" w:rsidRDefault="00732423" w:rsidP="00732423">
            <w:pPr>
              <w:jc w:val="center"/>
              <w:rPr>
                <w:rFonts w:eastAsia="MS Mincho"/>
                <w:lang w:eastAsia="ja-JP" w:bidi="th-TH"/>
              </w:rPr>
            </w:pPr>
            <w:r w:rsidRPr="00732423">
              <w:rPr>
                <w:rFonts w:eastAsia="MS Mincho"/>
                <w:lang w:eastAsia="ja-JP" w:bidi="th-TH"/>
              </w:rPr>
              <w:t>4,0</w:t>
            </w:r>
          </w:p>
        </w:tc>
        <w:tc>
          <w:tcPr>
            <w:tcW w:w="1440" w:type="dxa"/>
            <w:shd w:val="clear" w:color="auto" w:fill="00FFFF"/>
            <w:vAlign w:val="bottom"/>
          </w:tcPr>
          <w:p w:rsidR="00732423" w:rsidRPr="00732423" w:rsidRDefault="00732423" w:rsidP="00732423">
            <w:pPr>
              <w:jc w:val="center"/>
              <w:rPr>
                <w:rFonts w:eastAsia="MS Mincho"/>
                <w:lang w:eastAsia="ja-JP" w:bidi="th-TH"/>
              </w:rPr>
            </w:pPr>
            <w:r w:rsidRPr="00732423">
              <w:rPr>
                <w:rFonts w:eastAsia="MS Mincho"/>
                <w:lang w:eastAsia="ja-JP" w:bidi="th-TH"/>
              </w:rPr>
              <w:t>4,2</w:t>
            </w:r>
          </w:p>
        </w:tc>
        <w:tc>
          <w:tcPr>
            <w:tcW w:w="1548" w:type="dxa"/>
            <w:shd w:val="clear" w:color="auto" w:fill="FFCC00"/>
            <w:vAlign w:val="bottom"/>
          </w:tcPr>
          <w:p w:rsidR="00732423" w:rsidRPr="00732423" w:rsidRDefault="00732423" w:rsidP="00732423">
            <w:pPr>
              <w:jc w:val="center"/>
              <w:rPr>
                <w:rFonts w:eastAsia="MS Mincho"/>
                <w:lang w:eastAsia="ja-JP" w:bidi="th-TH"/>
              </w:rPr>
            </w:pPr>
            <w:r w:rsidRPr="00732423">
              <w:rPr>
                <w:rFonts w:eastAsia="MS Mincho"/>
                <w:lang w:eastAsia="ja-JP" w:bidi="th-TH"/>
              </w:rPr>
              <w:t>3,6</w:t>
            </w:r>
          </w:p>
        </w:tc>
      </w:tr>
    </w:tbl>
    <w:p w:rsidR="00732423" w:rsidRPr="00732423" w:rsidRDefault="00062D78" w:rsidP="00A77970">
      <w:pPr>
        <w:jc w:val="both"/>
        <w:rPr>
          <w:b/>
          <w:lang w:eastAsia="en-US"/>
        </w:rPr>
      </w:pPr>
      <w:r w:rsidRPr="00732423">
        <w:rPr>
          <w:b/>
          <w:lang w:eastAsia="en-US"/>
        </w:rPr>
        <w:tab/>
      </w:r>
    </w:p>
    <w:p w:rsidR="005A3133" w:rsidRPr="005A6616" w:rsidRDefault="00732423" w:rsidP="00A77970">
      <w:pPr>
        <w:jc w:val="both"/>
        <w:rPr>
          <w:b/>
          <w:u w:val="single"/>
          <w:lang w:eastAsia="en-US"/>
        </w:rPr>
      </w:pPr>
      <w:r w:rsidRPr="005A6616">
        <w:rPr>
          <w:b/>
          <w:lang w:eastAsia="en-US"/>
        </w:rPr>
        <w:tab/>
      </w:r>
      <w:r w:rsidR="005A3133" w:rsidRPr="005A6616">
        <w:rPr>
          <w:b/>
          <w:u w:val="single"/>
          <w:lang w:eastAsia="en-US"/>
        </w:rPr>
        <w:t xml:space="preserve">Supravegherea neuroinfecției cu virusul West Nile </w:t>
      </w:r>
    </w:p>
    <w:p w:rsidR="005A3133" w:rsidRPr="005A6616" w:rsidRDefault="005A3133" w:rsidP="00A77970">
      <w:pPr>
        <w:jc w:val="both"/>
        <w:rPr>
          <w:lang w:eastAsia="en-US"/>
        </w:rPr>
      </w:pPr>
      <w:r w:rsidRPr="005A6616">
        <w:rPr>
          <w:b/>
          <w:lang w:eastAsia="en-US"/>
        </w:rPr>
        <w:tab/>
      </w:r>
      <w:r w:rsidRPr="005A6616">
        <w:rPr>
          <w:b/>
          <w:u w:val="single"/>
          <w:lang w:eastAsia="en-US"/>
        </w:rPr>
        <w:t xml:space="preserve">Misiune: </w:t>
      </w:r>
      <w:r w:rsidRPr="005A6616">
        <w:rPr>
          <w:lang w:eastAsia="en-US"/>
        </w:rPr>
        <w:t xml:space="preserve">supravegherea etiologiei afecțiunilor acute neurologice manifestate prin meningită, encefalită sau meningo-encefalită cu LCR clar, spitalizate.  </w:t>
      </w:r>
    </w:p>
    <w:p w:rsidR="00732423" w:rsidRDefault="00732423" w:rsidP="00A77970">
      <w:pPr>
        <w:jc w:val="both"/>
        <w:rPr>
          <w:color w:val="000000"/>
          <w:lang w:val="it-IT" w:eastAsia="en-GB"/>
        </w:rPr>
      </w:pPr>
      <w:r>
        <w:rPr>
          <w:color w:val="000000"/>
          <w:lang w:val="it-IT" w:eastAsia="en-GB"/>
        </w:rPr>
        <w:tab/>
        <w:t>Î</w:t>
      </w:r>
      <w:r w:rsidRPr="00D70856">
        <w:rPr>
          <w:color w:val="000000"/>
          <w:lang w:val="it-IT" w:eastAsia="en-GB"/>
        </w:rPr>
        <w:t>n municipiul București frecvența cazurilor de neuroinfectie West Nile a variat între 1 și 18 cazuri pe an în perioada 2</w:t>
      </w:r>
      <w:r w:rsidR="007218B3">
        <w:rPr>
          <w:color w:val="000000"/>
          <w:lang w:val="it-IT" w:eastAsia="en-GB"/>
        </w:rPr>
        <w:t>0</w:t>
      </w:r>
      <w:r w:rsidRPr="00D70856">
        <w:rPr>
          <w:color w:val="000000"/>
          <w:lang w:val="it-IT" w:eastAsia="en-GB"/>
        </w:rPr>
        <w:t>10 – 2017. În anul 2018 valoarea indicatorului a fost de 3 ori mai mare decât în anul precedent context în care situația corespunde stării de epidemie</w:t>
      </w:r>
      <w:r>
        <w:rPr>
          <w:color w:val="000000"/>
          <w:lang w:val="it-IT" w:eastAsia="en-GB"/>
        </w:rPr>
        <w:t>.</w:t>
      </w:r>
    </w:p>
    <w:p w:rsidR="00732423" w:rsidRPr="00306F64" w:rsidRDefault="00732423" w:rsidP="00732423">
      <w:pPr>
        <w:jc w:val="center"/>
        <w:rPr>
          <w:highlight w:val="yellow"/>
          <w:lang w:eastAsia="en-US"/>
        </w:rPr>
      </w:pPr>
      <w:r>
        <w:rPr>
          <w:noProof/>
        </w:rPr>
        <w:drawing>
          <wp:inline distT="0" distB="0" distL="0" distR="0">
            <wp:extent cx="5753100" cy="3209925"/>
            <wp:effectExtent l="19050" t="0" r="19050" b="0"/>
            <wp:docPr id="27" name="Objec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32423" w:rsidRPr="00732423" w:rsidRDefault="005A3133" w:rsidP="00A77970">
      <w:pPr>
        <w:jc w:val="both"/>
        <w:rPr>
          <w:lang w:eastAsia="en-US"/>
        </w:rPr>
      </w:pPr>
      <w:r w:rsidRPr="00732423">
        <w:rPr>
          <w:lang w:eastAsia="en-US"/>
        </w:rPr>
        <w:t xml:space="preserve">  </w:t>
      </w:r>
      <w:r w:rsidRPr="00732423">
        <w:rPr>
          <w:lang w:eastAsia="en-US"/>
        </w:rPr>
        <w:tab/>
      </w:r>
    </w:p>
    <w:p w:rsidR="00732423" w:rsidRDefault="00732423" w:rsidP="00A77970">
      <w:pPr>
        <w:jc w:val="both"/>
        <w:rPr>
          <w:color w:val="000000"/>
          <w:shd w:val="clear" w:color="auto" w:fill="FFFFFF"/>
          <w:lang w:val="it-IT"/>
        </w:rPr>
      </w:pPr>
      <w:r>
        <w:rPr>
          <w:color w:val="000000"/>
          <w:shd w:val="clear" w:color="auto" w:fill="FFFFFF"/>
          <w:lang w:val="it-IT"/>
        </w:rPr>
        <w:tab/>
      </w:r>
      <w:r w:rsidRPr="00D70856">
        <w:rPr>
          <w:color w:val="000000"/>
          <w:shd w:val="clear" w:color="auto" w:fill="FFFFFF"/>
          <w:lang w:val="it-IT"/>
        </w:rPr>
        <w:t>Incidența specifică pe grupe de vârstă a neuroinfectiei West Nile a fost maximă la grupa de vârstă 80-99 ani (15,03 cazuri la 10</w:t>
      </w:r>
      <w:r w:rsidRPr="00D70856">
        <w:rPr>
          <w:color w:val="000000"/>
          <w:shd w:val="clear" w:color="auto" w:fill="FFFFFF"/>
          <w:vertAlign w:val="superscript"/>
          <w:lang w:val="it-IT"/>
        </w:rPr>
        <w:t>5</w:t>
      </w:r>
      <w:r w:rsidRPr="00D70856">
        <w:rPr>
          <w:color w:val="000000"/>
          <w:shd w:val="clear" w:color="auto" w:fill="FFFFFF"/>
          <w:lang w:val="it-IT"/>
        </w:rPr>
        <w:t> locuitori)</w:t>
      </w:r>
      <w:r>
        <w:rPr>
          <w:color w:val="000000"/>
          <w:shd w:val="clear" w:color="auto" w:fill="FFFFFF"/>
          <w:lang w:val="it-IT"/>
        </w:rPr>
        <w:t>.</w:t>
      </w:r>
    </w:p>
    <w:p w:rsidR="00732423" w:rsidRDefault="00732423" w:rsidP="00732423">
      <w:pPr>
        <w:jc w:val="center"/>
        <w:rPr>
          <w:color w:val="000000"/>
          <w:shd w:val="clear" w:color="auto" w:fill="FFFFFF"/>
          <w:lang w:val="it-IT"/>
        </w:rPr>
      </w:pPr>
      <w:r>
        <w:rPr>
          <w:noProof/>
        </w:rPr>
        <w:lastRenderedPageBreak/>
        <w:drawing>
          <wp:inline distT="0" distB="0" distL="0" distR="0">
            <wp:extent cx="6067425" cy="2305050"/>
            <wp:effectExtent l="19050" t="0" r="9525" b="0"/>
            <wp:docPr id="28" name="Object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32423" w:rsidRDefault="00732423" w:rsidP="00732423">
      <w:pPr>
        <w:jc w:val="both"/>
        <w:rPr>
          <w:color w:val="000000"/>
          <w:shd w:val="clear" w:color="auto" w:fill="FFFFFF"/>
          <w:lang w:val="it-IT"/>
        </w:rPr>
      </w:pPr>
      <w:r>
        <w:rPr>
          <w:color w:val="000000"/>
          <w:shd w:val="clear" w:color="auto" w:fill="FFFFFF"/>
          <w:lang w:val="it-IT"/>
        </w:rPr>
        <w:tab/>
        <w:t>Î</w:t>
      </w:r>
      <w:r w:rsidRPr="00732423">
        <w:rPr>
          <w:color w:val="000000"/>
          <w:shd w:val="clear" w:color="auto" w:fill="FFFFFF"/>
          <w:lang w:val="it-IT"/>
        </w:rPr>
        <w:t>n profil teritorial</w:t>
      </w:r>
      <w:r>
        <w:rPr>
          <w:color w:val="000000"/>
          <w:shd w:val="clear" w:color="auto" w:fill="FFFFFF"/>
          <w:lang w:val="it-IT"/>
        </w:rPr>
        <w:t>,</w:t>
      </w:r>
      <w:r w:rsidRPr="00732423">
        <w:rPr>
          <w:color w:val="000000"/>
          <w:shd w:val="clear" w:color="auto" w:fill="FFFFFF"/>
          <w:lang w:val="it-IT"/>
        </w:rPr>
        <w:t xml:space="preserve"> incidentele specifice pe sectoare administrative ale municipiului București au variat între 4,8 %.ooo în sectorul 1 și respectiv 0,5 %.ooo în sectorul 6</w:t>
      </w:r>
      <w:r>
        <w:rPr>
          <w:color w:val="000000"/>
          <w:shd w:val="clear" w:color="auto" w:fill="FFFFFF"/>
          <w:lang w:val="it-IT"/>
        </w:rPr>
        <w:t>.</w:t>
      </w:r>
    </w:p>
    <w:p w:rsidR="00732423" w:rsidRDefault="00732423" w:rsidP="00732423">
      <w:pPr>
        <w:jc w:val="center"/>
        <w:rPr>
          <w:color w:val="000000"/>
          <w:shd w:val="clear" w:color="auto" w:fill="FFFFFF"/>
          <w:lang w:val="it-IT"/>
        </w:rPr>
      </w:pPr>
      <w:r>
        <w:rPr>
          <w:noProof/>
        </w:rPr>
        <w:drawing>
          <wp:inline distT="0" distB="0" distL="0" distR="0">
            <wp:extent cx="5829300" cy="2857500"/>
            <wp:effectExtent l="19050" t="0" r="19050" b="0"/>
            <wp:docPr id="29" name="Objec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32423" w:rsidRDefault="00732423" w:rsidP="00A77970">
      <w:pPr>
        <w:jc w:val="both"/>
        <w:rPr>
          <w:color w:val="000000"/>
          <w:shd w:val="clear" w:color="auto" w:fill="FFFFFF"/>
        </w:rPr>
      </w:pPr>
      <w:r>
        <w:rPr>
          <w:color w:val="000000"/>
          <w:shd w:val="clear" w:color="auto" w:fill="FFFFFF"/>
        </w:rPr>
        <w:tab/>
      </w:r>
      <w:r w:rsidRPr="00D70856">
        <w:rPr>
          <w:color w:val="000000"/>
          <w:shd w:val="clear" w:color="auto" w:fill="FFFFFF"/>
        </w:rPr>
        <w:t>Profil temporal – distribuția cazurilor confirmate după luna calendaristică a debutului arată o clară sezonalitate cu debutul în luna iulie și vârf de intensitate în lun</w:t>
      </w:r>
      <w:r>
        <w:rPr>
          <w:color w:val="000000"/>
          <w:shd w:val="clear" w:color="auto" w:fill="FFFFFF"/>
        </w:rPr>
        <w:t>i</w:t>
      </w:r>
      <w:r w:rsidRPr="00D70856">
        <w:rPr>
          <w:color w:val="000000"/>
          <w:shd w:val="clear" w:color="auto" w:fill="FFFFFF"/>
        </w:rPr>
        <w:t>le august și septembrie</w:t>
      </w:r>
      <w:r>
        <w:rPr>
          <w:color w:val="000000"/>
          <w:shd w:val="clear" w:color="auto" w:fill="FFFFFF"/>
        </w:rPr>
        <w:t>.</w:t>
      </w:r>
    </w:p>
    <w:p w:rsidR="00732423" w:rsidRDefault="00732423" w:rsidP="00732423">
      <w:pPr>
        <w:jc w:val="center"/>
        <w:rPr>
          <w:highlight w:val="yellow"/>
          <w:lang w:eastAsia="en-US"/>
        </w:rPr>
      </w:pPr>
      <w:r>
        <w:rPr>
          <w:noProof/>
        </w:rPr>
        <w:drawing>
          <wp:inline distT="0" distB="0" distL="0" distR="0">
            <wp:extent cx="5772150" cy="2133600"/>
            <wp:effectExtent l="19050" t="0" r="19050" b="0"/>
            <wp:docPr id="30" name="Object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76FB1" w:rsidRPr="00306F64" w:rsidRDefault="00976FB1" w:rsidP="00A77970">
      <w:pPr>
        <w:jc w:val="both"/>
        <w:rPr>
          <w:highlight w:val="yellow"/>
          <w:lang w:val="it-IT" w:eastAsia="en-US"/>
        </w:rPr>
      </w:pPr>
    </w:p>
    <w:p w:rsidR="00133324" w:rsidRPr="00133324" w:rsidRDefault="00133324" w:rsidP="00133324">
      <w:pPr>
        <w:rPr>
          <w:lang w:val="en-US" w:eastAsia="en-US"/>
        </w:rPr>
      </w:pPr>
      <w:r>
        <w:rPr>
          <w:lang w:val="en-US" w:eastAsia="en-US"/>
        </w:rPr>
        <w:tab/>
        <w:t>Analiza</w:t>
      </w:r>
      <w:r w:rsidRPr="00133324">
        <w:rPr>
          <w:lang w:val="en-US" w:eastAsia="en-US"/>
        </w:rPr>
        <w:t xml:space="preserve"> caracteristicilor demografice a arătat că, cazurile confirmate de neuroinfectie West Nile sunt mai frecvente la genul feminin (48,9 %) și respectiv la grupa de vârstă de peste 60 ani (53,0%), dar numai vârstă înaintată include semnificația statitica (vezi Tabel 1 și 2 mai jos)   </w:t>
      </w:r>
    </w:p>
    <w:p w:rsidR="00133324" w:rsidRPr="00133324" w:rsidRDefault="00133324" w:rsidP="00133324">
      <w:pPr>
        <w:rPr>
          <w:rFonts w:ascii="Arial" w:hAnsi="Arial"/>
          <w:lang w:val="en-US" w:eastAsia="en-US"/>
        </w:rPr>
      </w:pPr>
    </w:p>
    <w:p w:rsidR="00133324" w:rsidRPr="00133324" w:rsidRDefault="00133324" w:rsidP="00133324">
      <w:pPr>
        <w:rPr>
          <w:lang w:val="nl-NL" w:eastAsia="en-US"/>
        </w:rPr>
      </w:pPr>
      <w:r w:rsidRPr="00133324">
        <w:rPr>
          <w:lang w:val="nl-NL" w:eastAsia="en-US"/>
        </w:rPr>
        <w:t xml:space="preserve">Tabel nr 1 – Riscul de imbolnavire prin neuroinfectie WN in functie de grupa de varsta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260"/>
        <w:gridCol w:w="1260"/>
        <w:gridCol w:w="1440"/>
        <w:gridCol w:w="2520"/>
        <w:gridCol w:w="1260"/>
      </w:tblGrid>
      <w:tr w:rsidR="00133324" w:rsidRPr="00133324" w:rsidTr="001C00F8">
        <w:tc>
          <w:tcPr>
            <w:tcW w:w="1548" w:type="dxa"/>
          </w:tcPr>
          <w:p w:rsidR="00133324" w:rsidRPr="00133324" w:rsidRDefault="00133324" w:rsidP="00133324">
            <w:pPr>
              <w:rPr>
                <w:lang w:val="en-US" w:eastAsia="en-US"/>
              </w:rPr>
            </w:pPr>
            <w:r w:rsidRPr="00133324">
              <w:rPr>
                <w:lang w:val="en-US" w:eastAsia="en-US"/>
              </w:rPr>
              <w:t>Factor risc</w:t>
            </w:r>
          </w:p>
        </w:tc>
        <w:tc>
          <w:tcPr>
            <w:tcW w:w="2520" w:type="dxa"/>
            <w:gridSpan w:val="2"/>
          </w:tcPr>
          <w:p w:rsidR="00133324" w:rsidRPr="00133324" w:rsidRDefault="00133324" w:rsidP="00133324">
            <w:pPr>
              <w:rPr>
                <w:lang w:val="en-US" w:eastAsia="en-US"/>
              </w:rPr>
            </w:pPr>
            <w:r w:rsidRPr="00133324">
              <w:rPr>
                <w:lang w:val="en-US" w:eastAsia="en-US"/>
              </w:rPr>
              <w:t>Ponderi confirmari WN</w:t>
            </w:r>
          </w:p>
        </w:tc>
        <w:tc>
          <w:tcPr>
            <w:tcW w:w="1440" w:type="dxa"/>
            <w:vMerge w:val="restart"/>
          </w:tcPr>
          <w:p w:rsidR="00133324" w:rsidRPr="00133324" w:rsidRDefault="00133324" w:rsidP="00133324">
            <w:pPr>
              <w:rPr>
                <w:lang w:val="en-US" w:eastAsia="en-US"/>
              </w:rPr>
            </w:pPr>
            <w:r w:rsidRPr="00133324">
              <w:rPr>
                <w:lang w:val="en-US" w:eastAsia="en-US"/>
              </w:rPr>
              <w:t xml:space="preserve">Diferenta </w:t>
            </w:r>
          </w:p>
          <w:p w:rsidR="00133324" w:rsidRPr="00133324" w:rsidRDefault="00133324" w:rsidP="00133324">
            <w:pPr>
              <w:rPr>
                <w:lang w:val="en-US" w:eastAsia="en-US"/>
              </w:rPr>
            </w:pPr>
            <w:r w:rsidRPr="00133324">
              <w:rPr>
                <w:lang w:val="en-US" w:eastAsia="en-US"/>
              </w:rPr>
              <w:t>Risc (%)</w:t>
            </w:r>
          </w:p>
        </w:tc>
        <w:tc>
          <w:tcPr>
            <w:tcW w:w="2520" w:type="dxa"/>
            <w:vMerge w:val="restart"/>
          </w:tcPr>
          <w:p w:rsidR="00133324" w:rsidRPr="00133324" w:rsidRDefault="00133324" w:rsidP="00133324">
            <w:pPr>
              <w:rPr>
                <w:lang w:val="en-US" w:eastAsia="en-US"/>
              </w:rPr>
            </w:pPr>
            <w:r w:rsidRPr="00133324">
              <w:rPr>
                <w:lang w:val="en-US" w:eastAsia="en-US"/>
              </w:rPr>
              <w:t>Risc relativ</w:t>
            </w:r>
          </w:p>
          <w:p w:rsidR="00133324" w:rsidRPr="00133324" w:rsidRDefault="00133324" w:rsidP="00133324">
            <w:pPr>
              <w:rPr>
                <w:lang w:val="en-US" w:eastAsia="en-US"/>
              </w:rPr>
            </w:pPr>
            <w:r w:rsidRPr="00133324">
              <w:rPr>
                <w:lang w:val="en-US" w:eastAsia="en-US"/>
              </w:rPr>
              <w:t>(CI 95%)</w:t>
            </w:r>
          </w:p>
        </w:tc>
        <w:tc>
          <w:tcPr>
            <w:tcW w:w="1260" w:type="dxa"/>
            <w:vMerge w:val="restart"/>
          </w:tcPr>
          <w:p w:rsidR="00133324" w:rsidRPr="00133324" w:rsidRDefault="00133324" w:rsidP="00133324">
            <w:pPr>
              <w:rPr>
                <w:lang w:val="en-US" w:eastAsia="en-US"/>
              </w:rPr>
            </w:pPr>
            <w:r w:rsidRPr="00133324">
              <w:rPr>
                <w:lang w:val="en-US" w:eastAsia="en-US"/>
              </w:rPr>
              <w:t>Valoare</w:t>
            </w:r>
          </w:p>
          <w:p w:rsidR="00133324" w:rsidRPr="00133324" w:rsidRDefault="00133324" w:rsidP="00133324">
            <w:pPr>
              <w:rPr>
                <w:lang w:val="en-US" w:eastAsia="en-US"/>
              </w:rPr>
            </w:pPr>
            <w:r w:rsidRPr="00133324">
              <w:rPr>
                <w:lang w:val="en-US" w:eastAsia="en-US"/>
              </w:rPr>
              <w:t>P</w:t>
            </w:r>
          </w:p>
        </w:tc>
      </w:tr>
      <w:tr w:rsidR="00133324" w:rsidRPr="00133324" w:rsidTr="001C00F8">
        <w:tc>
          <w:tcPr>
            <w:tcW w:w="1548" w:type="dxa"/>
            <w:vMerge w:val="restart"/>
          </w:tcPr>
          <w:p w:rsidR="00133324" w:rsidRPr="00133324" w:rsidRDefault="00133324" w:rsidP="00133324">
            <w:pPr>
              <w:rPr>
                <w:lang w:val="en-US" w:eastAsia="en-US"/>
              </w:rPr>
            </w:pPr>
            <w:r w:rsidRPr="00133324">
              <w:rPr>
                <w:lang w:val="en-US" w:eastAsia="en-US"/>
              </w:rPr>
              <w:t xml:space="preserve">Grup </w:t>
            </w:r>
          </w:p>
          <w:p w:rsidR="00133324" w:rsidRPr="00133324" w:rsidRDefault="00133324" w:rsidP="00133324">
            <w:pPr>
              <w:rPr>
                <w:lang w:val="en-US" w:eastAsia="en-US"/>
              </w:rPr>
            </w:pPr>
            <w:r w:rsidRPr="00133324">
              <w:rPr>
                <w:lang w:val="en-US" w:eastAsia="en-US"/>
              </w:rPr>
              <w:t>varsta</w:t>
            </w:r>
          </w:p>
        </w:tc>
        <w:tc>
          <w:tcPr>
            <w:tcW w:w="1260" w:type="dxa"/>
          </w:tcPr>
          <w:p w:rsidR="00133324" w:rsidRPr="00133324" w:rsidRDefault="00133324" w:rsidP="00133324">
            <w:pPr>
              <w:rPr>
                <w:lang w:val="en-US" w:eastAsia="en-US"/>
              </w:rPr>
            </w:pPr>
            <w:r w:rsidRPr="00133324">
              <w:rPr>
                <w:lang w:val="en-US" w:eastAsia="en-US"/>
              </w:rPr>
              <w:t>&gt; 60 ani</w:t>
            </w:r>
          </w:p>
        </w:tc>
        <w:tc>
          <w:tcPr>
            <w:tcW w:w="1260" w:type="dxa"/>
          </w:tcPr>
          <w:p w:rsidR="00133324" w:rsidRPr="00133324" w:rsidRDefault="00133324" w:rsidP="00133324">
            <w:pPr>
              <w:rPr>
                <w:lang w:val="en-US" w:eastAsia="en-US"/>
              </w:rPr>
            </w:pPr>
            <w:r w:rsidRPr="00133324">
              <w:rPr>
                <w:lang w:val="en-US" w:eastAsia="en-US"/>
              </w:rPr>
              <w:t>&lt; 60 ani</w:t>
            </w:r>
          </w:p>
        </w:tc>
        <w:tc>
          <w:tcPr>
            <w:tcW w:w="1440" w:type="dxa"/>
            <w:vMerge/>
          </w:tcPr>
          <w:p w:rsidR="00133324" w:rsidRPr="00133324" w:rsidRDefault="00133324" w:rsidP="00133324">
            <w:pPr>
              <w:rPr>
                <w:lang w:val="en-US" w:eastAsia="en-US"/>
              </w:rPr>
            </w:pPr>
          </w:p>
        </w:tc>
        <w:tc>
          <w:tcPr>
            <w:tcW w:w="2520" w:type="dxa"/>
            <w:vMerge/>
          </w:tcPr>
          <w:p w:rsidR="00133324" w:rsidRPr="00133324" w:rsidRDefault="00133324" w:rsidP="00133324">
            <w:pPr>
              <w:rPr>
                <w:lang w:val="en-US" w:eastAsia="en-US"/>
              </w:rPr>
            </w:pPr>
          </w:p>
        </w:tc>
        <w:tc>
          <w:tcPr>
            <w:tcW w:w="1260" w:type="dxa"/>
            <w:vMerge/>
          </w:tcPr>
          <w:p w:rsidR="00133324" w:rsidRPr="00133324" w:rsidRDefault="00133324" w:rsidP="00133324">
            <w:pPr>
              <w:rPr>
                <w:lang w:val="en-US" w:eastAsia="en-US"/>
              </w:rPr>
            </w:pPr>
          </w:p>
        </w:tc>
      </w:tr>
      <w:tr w:rsidR="00133324" w:rsidRPr="00133324" w:rsidTr="001C00F8">
        <w:tc>
          <w:tcPr>
            <w:tcW w:w="1548" w:type="dxa"/>
            <w:vMerge/>
          </w:tcPr>
          <w:p w:rsidR="00133324" w:rsidRPr="00133324" w:rsidRDefault="00133324" w:rsidP="00133324">
            <w:pPr>
              <w:rPr>
                <w:lang w:val="en-US" w:eastAsia="en-US"/>
              </w:rPr>
            </w:pPr>
          </w:p>
        </w:tc>
        <w:tc>
          <w:tcPr>
            <w:tcW w:w="1260" w:type="dxa"/>
          </w:tcPr>
          <w:p w:rsidR="00133324" w:rsidRPr="00133324" w:rsidRDefault="00133324" w:rsidP="00133324">
            <w:pPr>
              <w:rPr>
                <w:lang w:val="en-US" w:eastAsia="en-US"/>
              </w:rPr>
            </w:pPr>
            <w:r w:rsidRPr="00133324">
              <w:rPr>
                <w:lang w:val="en-US" w:eastAsia="en-US"/>
              </w:rPr>
              <w:t>53,0 %</w:t>
            </w:r>
          </w:p>
        </w:tc>
        <w:tc>
          <w:tcPr>
            <w:tcW w:w="1260" w:type="dxa"/>
          </w:tcPr>
          <w:p w:rsidR="00133324" w:rsidRPr="00133324" w:rsidRDefault="00133324" w:rsidP="00133324">
            <w:pPr>
              <w:rPr>
                <w:lang w:val="en-US" w:eastAsia="en-US"/>
              </w:rPr>
            </w:pPr>
            <w:r w:rsidRPr="00133324">
              <w:rPr>
                <w:lang w:val="en-US" w:eastAsia="en-US"/>
              </w:rPr>
              <w:t>31,1 %</w:t>
            </w:r>
          </w:p>
        </w:tc>
        <w:tc>
          <w:tcPr>
            <w:tcW w:w="1440" w:type="dxa"/>
          </w:tcPr>
          <w:p w:rsidR="00133324" w:rsidRPr="00133324" w:rsidRDefault="00133324" w:rsidP="00133324">
            <w:pPr>
              <w:rPr>
                <w:lang w:val="en-US" w:eastAsia="en-US"/>
              </w:rPr>
            </w:pPr>
            <w:r w:rsidRPr="00133324">
              <w:rPr>
                <w:lang w:val="en-US" w:eastAsia="en-US"/>
              </w:rPr>
              <w:t>21,9 %</w:t>
            </w:r>
          </w:p>
        </w:tc>
        <w:tc>
          <w:tcPr>
            <w:tcW w:w="2520" w:type="dxa"/>
          </w:tcPr>
          <w:p w:rsidR="00133324" w:rsidRPr="00133324" w:rsidRDefault="00133324" w:rsidP="00133324">
            <w:pPr>
              <w:rPr>
                <w:lang w:val="en-US" w:eastAsia="en-US"/>
              </w:rPr>
            </w:pPr>
            <w:r w:rsidRPr="00133324">
              <w:rPr>
                <w:lang w:val="en-US" w:eastAsia="en-US"/>
              </w:rPr>
              <w:t>1,70 (1,04-2,78)</w:t>
            </w:r>
          </w:p>
        </w:tc>
        <w:tc>
          <w:tcPr>
            <w:tcW w:w="1260" w:type="dxa"/>
          </w:tcPr>
          <w:p w:rsidR="00133324" w:rsidRPr="00133324" w:rsidRDefault="00133324" w:rsidP="00133324">
            <w:pPr>
              <w:rPr>
                <w:lang w:val="en-US" w:eastAsia="en-US"/>
              </w:rPr>
            </w:pPr>
            <w:r w:rsidRPr="00133324">
              <w:rPr>
                <w:lang w:val="en-US" w:eastAsia="en-US"/>
              </w:rPr>
              <w:t>0,01</w:t>
            </w:r>
          </w:p>
        </w:tc>
      </w:tr>
    </w:tbl>
    <w:p w:rsidR="00133324" w:rsidRPr="00133324" w:rsidRDefault="00133324" w:rsidP="00133324">
      <w:pPr>
        <w:rPr>
          <w:sz w:val="20"/>
          <w:szCs w:val="20"/>
          <w:lang w:val="en-US" w:eastAsia="en-US"/>
        </w:rPr>
      </w:pPr>
    </w:p>
    <w:p w:rsidR="00133324" w:rsidRPr="00133324" w:rsidRDefault="00133324" w:rsidP="00133324">
      <w:pPr>
        <w:rPr>
          <w:lang w:val="nl-NL" w:eastAsia="en-US"/>
        </w:rPr>
      </w:pPr>
      <w:r w:rsidRPr="00133324">
        <w:rPr>
          <w:lang w:val="nl-NL" w:eastAsia="en-US"/>
        </w:rPr>
        <w:t xml:space="preserve">Tabel nr 2 – Riscul de imbolnavire prin neuroinfectie WN in functie de gen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260"/>
        <w:gridCol w:w="1260"/>
        <w:gridCol w:w="1440"/>
        <w:gridCol w:w="2520"/>
        <w:gridCol w:w="1260"/>
      </w:tblGrid>
      <w:tr w:rsidR="00133324" w:rsidRPr="00133324" w:rsidTr="001C00F8">
        <w:tc>
          <w:tcPr>
            <w:tcW w:w="1548" w:type="dxa"/>
          </w:tcPr>
          <w:p w:rsidR="00133324" w:rsidRPr="00133324" w:rsidRDefault="00133324" w:rsidP="00133324">
            <w:pPr>
              <w:rPr>
                <w:lang w:val="en-US" w:eastAsia="en-US"/>
              </w:rPr>
            </w:pPr>
            <w:r w:rsidRPr="00133324">
              <w:rPr>
                <w:lang w:val="en-US" w:eastAsia="en-US"/>
              </w:rPr>
              <w:t>Factor risc</w:t>
            </w:r>
          </w:p>
        </w:tc>
        <w:tc>
          <w:tcPr>
            <w:tcW w:w="2520" w:type="dxa"/>
            <w:gridSpan w:val="2"/>
          </w:tcPr>
          <w:p w:rsidR="00133324" w:rsidRPr="00133324" w:rsidRDefault="00133324" w:rsidP="00133324">
            <w:pPr>
              <w:rPr>
                <w:lang w:val="en-US" w:eastAsia="en-US"/>
              </w:rPr>
            </w:pPr>
            <w:r w:rsidRPr="00133324">
              <w:rPr>
                <w:lang w:val="en-US" w:eastAsia="en-US"/>
              </w:rPr>
              <w:t>Ponderi confirmari WN</w:t>
            </w:r>
          </w:p>
        </w:tc>
        <w:tc>
          <w:tcPr>
            <w:tcW w:w="1440" w:type="dxa"/>
            <w:vMerge w:val="restart"/>
          </w:tcPr>
          <w:p w:rsidR="00133324" w:rsidRPr="00133324" w:rsidRDefault="00133324" w:rsidP="00133324">
            <w:pPr>
              <w:rPr>
                <w:lang w:val="en-US" w:eastAsia="en-US"/>
              </w:rPr>
            </w:pPr>
            <w:r w:rsidRPr="00133324">
              <w:rPr>
                <w:lang w:val="en-US" w:eastAsia="en-US"/>
              </w:rPr>
              <w:t>Diferenta</w:t>
            </w:r>
          </w:p>
          <w:p w:rsidR="00133324" w:rsidRPr="00133324" w:rsidRDefault="00133324" w:rsidP="00133324">
            <w:pPr>
              <w:rPr>
                <w:lang w:val="en-US" w:eastAsia="en-US"/>
              </w:rPr>
            </w:pPr>
            <w:r w:rsidRPr="00133324">
              <w:rPr>
                <w:lang w:val="en-US" w:eastAsia="en-US"/>
              </w:rPr>
              <w:t>Risc (%)</w:t>
            </w:r>
          </w:p>
        </w:tc>
        <w:tc>
          <w:tcPr>
            <w:tcW w:w="2520" w:type="dxa"/>
            <w:vMerge w:val="restart"/>
          </w:tcPr>
          <w:p w:rsidR="00133324" w:rsidRPr="00133324" w:rsidRDefault="00133324" w:rsidP="00133324">
            <w:pPr>
              <w:rPr>
                <w:lang w:val="en-US" w:eastAsia="en-US"/>
              </w:rPr>
            </w:pPr>
            <w:r w:rsidRPr="00133324">
              <w:rPr>
                <w:lang w:val="en-US" w:eastAsia="en-US"/>
              </w:rPr>
              <w:t>Risc relativ</w:t>
            </w:r>
          </w:p>
          <w:p w:rsidR="00133324" w:rsidRPr="00133324" w:rsidRDefault="00133324" w:rsidP="00133324">
            <w:pPr>
              <w:rPr>
                <w:lang w:val="en-US" w:eastAsia="en-US"/>
              </w:rPr>
            </w:pPr>
            <w:r w:rsidRPr="00133324">
              <w:rPr>
                <w:lang w:val="en-US" w:eastAsia="en-US"/>
              </w:rPr>
              <w:t>(CI 95%)</w:t>
            </w:r>
          </w:p>
        </w:tc>
        <w:tc>
          <w:tcPr>
            <w:tcW w:w="1260" w:type="dxa"/>
            <w:vMerge w:val="restart"/>
          </w:tcPr>
          <w:p w:rsidR="00133324" w:rsidRPr="00133324" w:rsidRDefault="00133324" w:rsidP="00133324">
            <w:pPr>
              <w:rPr>
                <w:lang w:val="en-US" w:eastAsia="en-US"/>
              </w:rPr>
            </w:pPr>
            <w:r w:rsidRPr="00133324">
              <w:rPr>
                <w:lang w:val="en-US" w:eastAsia="en-US"/>
              </w:rPr>
              <w:t>Valoare</w:t>
            </w:r>
          </w:p>
          <w:p w:rsidR="00133324" w:rsidRPr="00133324" w:rsidRDefault="00133324" w:rsidP="00133324">
            <w:pPr>
              <w:rPr>
                <w:lang w:val="en-US" w:eastAsia="en-US"/>
              </w:rPr>
            </w:pPr>
            <w:r w:rsidRPr="00133324">
              <w:rPr>
                <w:lang w:val="en-US" w:eastAsia="en-US"/>
              </w:rPr>
              <w:t>P</w:t>
            </w:r>
          </w:p>
        </w:tc>
      </w:tr>
      <w:tr w:rsidR="00133324" w:rsidRPr="00133324" w:rsidTr="001C00F8">
        <w:tc>
          <w:tcPr>
            <w:tcW w:w="1548" w:type="dxa"/>
            <w:vMerge w:val="restart"/>
          </w:tcPr>
          <w:p w:rsidR="00133324" w:rsidRPr="00133324" w:rsidRDefault="00133324" w:rsidP="00133324">
            <w:pPr>
              <w:rPr>
                <w:lang w:val="en-US" w:eastAsia="en-US"/>
              </w:rPr>
            </w:pPr>
            <w:r w:rsidRPr="00133324">
              <w:rPr>
                <w:lang w:val="en-US" w:eastAsia="en-US"/>
              </w:rPr>
              <w:t>Gen</w:t>
            </w:r>
          </w:p>
        </w:tc>
        <w:tc>
          <w:tcPr>
            <w:tcW w:w="1260" w:type="dxa"/>
          </w:tcPr>
          <w:p w:rsidR="00133324" w:rsidRPr="00133324" w:rsidRDefault="00133324" w:rsidP="00133324">
            <w:pPr>
              <w:rPr>
                <w:lang w:val="en-US" w:eastAsia="en-US"/>
              </w:rPr>
            </w:pPr>
            <w:r w:rsidRPr="00133324">
              <w:rPr>
                <w:lang w:val="en-US" w:eastAsia="en-US"/>
              </w:rPr>
              <w:t>Feminin</w:t>
            </w:r>
          </w:p>
        </w:tc>
        <w:tc>
          <w:tcPr>
            <w:tcW w:w="1260" w:type="dxa"/>
          </w:tcPr>
          <w:p w:rsidR="00133324" w:rsidRPr="00133324" w:rsidRDefault="00133324" w:rsidP="00133324">
            <w:pPr>
              <w:rPr>
                <w:lang w:val="en-US" w:eastAsia="en-US"/>
              </w:rPr>
            </w:pPr>
            <w:r w:rsidRPr="00133324">
              <w:rPr>
                <w:lang w:val="en-US" w:eastAsia="en-US"/>
              </w:rPr>
              <w:t>Masculin</w:t>
            </w:r>
          </w:p>
        </w:tc>
        <w:tc>
          <w:tcPr>
            <w:tcW w:w="1440" w:type="dxa"/>
            <w:vMerge/>
          </w:tcPr>
          <w:p w:rsidR="00133324" w:rsidRPr="00133324" w:rsidRDefault="00133324" w:rsidP="00133324">
            <w:pPr>
              <w:rPr>
                <w:lang w:val="en-US" w:eastAsia="en-US"/>
              </w:rPr>
            </w:pPr>
          </w:p>
        </w:tc>
        <w:tc>
          <w:tcPr>
            <w:tcW w:w="2520" w:type="dxa"/>
            <w:vMerge/>
          </w:tcPr>
          <w:p w:rsidR="00133324" w:rsidRPr="00133324" w:rsidRDefault="00133324" w:rsidP="00133324">
            <w:pPr>
              <w:rPr>
                <w:lang w:val="en-US" w:eastAsia="en-US"/>
              </w:rPr>
            </w:pPr>
          </w:p>
        </w:tc>
        <w:tc>
          <w:tcPr>
            <w:tcW w:w="1260" w:type="dxa"/>
            <w:vMerge/>
          </w:tcPr>
          <w:p w:rsidR="00133324" w:rsidRPr="00133324" w:rsidRDefault="00133324" w:rsidP="00133324">
            <w:pPr>
              <w:rPr>
                <w:lang w:val="en-US" w:eastAsia="en-US"/>
              </w:rPr>
            </w:pPr>
          </w:p>
        </w:tc>
      </w:tr>
      <w:tr w:rsidR="00133324" w:rsidRPr="00133324" w:rsidTr="001C00F8">
        <w:tc>
          <w:tcPr>
            <w:tcW w:w="1548" w:type="dxa"/>
            <w:vMerge/>
          </w:tcPr>
          <w:p w:rsidR="00133324" w:rsidRPr="00133324" w:rsidRDefault="00133324" w:rsidP="00133324">
            <w:pPr>
              <w:rPr>
                <w:lang w:val="en-US" w:eastAsia="en-US"/>
              </w:rPr>
            </w:pPr>
          </w:p>
        </w:tc>
        <w:tc>
          <w:tcPr>
            <w:tcW w:w="1260" w:type="dxa"/>
          </w:tcPr>
          <w:p w:rsidR="00133324" w:rsidRPr="00133324" w:rsidRDefault="00133324" w:rsidP="00133324">
            <w:pPr>
              <w:rPr>
                <w:lang w:val="en-US" w:eastAsia="en-US"/>
              </w:rPr>
            </w:pPr>
            <w:r w:rsidRPr="00133324">
              <w:rPr>
                <w:lang w:val="en-US" w:eastAsia="en-US"/>
              </w:rPr>
              <w:t>48,9 %</w:t>
            </w:r>
          </w:p>
        </w:tc>
        <w:tc>
          <w:tcPr>
            <w:tcW w:w="1260" w:type="dxa"/>
          </w:tcPr>
          <w:p w:rsidR="00133324" w:rsidRPr="00133324" w:rsidRDefault="00133324" w:rsidP="00133324">
            <w:pPr>
              <w:rPr>
                <w:lang w:val="en-US" w:eastAsia="en-US"/>
              </w:rPr>
            </w:pPr>
            <w:r w:rsidRPr="00133324">
              <w:rPr>
                <w:lang w:val="en-US" w:eastAsia="en-US"/>
              </w:rPr>
              <w:t>41,8 %</w:t>
            </w:r>
          </w:p>
        </w:tc>
        <w:tc>
          <w:tcPr>
            <w:tcW w:w="1440" w:type="dxa"/>
          </w:tcPr>
          <w:p w:rsidR="00133324" w:rsidRPr="00133324" w:rsidRDefault="00133324" w:rsidP="00133324">
            <w:pPr>
              <w:rPr>
                <w:lang w:val="en-US" w:eastAsia="en-US"/>
              </w:rPr>
            </w:pPr>
            <w:r w:rsidRPr="00133324">
              <w:rPr>
                <w:lang w:val="en-US" w:eastAsia="en-US"/>
              </w:rPr>
              <w:t>7,14 %</w:t>
            </w:r>
          </w:p>
        </w:tc>
        <w:tc>
          <w:tcPr>
            <w:tcW w:w="2520" w:type="dxa"/>
          </w:tcPr>
          <w:p w:rsidR="00133324" w:rsidRPr="00133324" w:rsidRDefault="00133324" w:rsidP="00133324">
            <w:pPr>
              <w:rPr>
                <w:lang w:val="en-US" w:eastAsia="en-US"/>
              </w:rPr>
            </w:pPr>
            <w:r w:rsidRPr="00133324">
              <w:rPr>
                <w:lang w:val="en-US" w:eastAsia="en-US"/>
              </w:rPr>
              <w:t>1,17 (0,77-1,75)</w:t>
            </w:r>
          </w:p>
        </w:tc>
        <w:tc>
          <w:tcPr>
            <w:tcW w:w="1260" w:type="dxa"/>
          </w:tcPr>
          <w:p w:rsidR="00133324" w:rsidRPr="00133324" w:rsidRDefault="00133324" w:rsidP="00133324">
            <w:pPr>
              <w:rPr>
                <w:lang w:val="en-US" w:eastAsia="en-US"/>
              </w:rPr>
            </w:pPr>
            <w:r w:rsidRPr="00133324">
              <w:rPr>
                <w:lang w:val="en-US" w:eastAsia="en-US"/>
              </w:rPr>
              <w:t>0,28</w:t>
            </w:r>
          </w:p>
        </w:tc>
      </w:tr>
    </w:tbl>
    <w:p w:rsidR="00552412" w:rsidRPr="00133324" w:rsidRDefault="00A95A2C" w:rsidP="00A77970">
      <w:pPr>
        <w:jc w:val="both"/>
        <w:rPr>
          <w:lang w:val="it-IT" w:eastAsia="en-US"/>
        </w:rPr>
      </w:pPr>
      <w:r w:rsidRPr="00133324">
        <w:rPr>
          <w:lang w:val="it-IT" w:eastAsia="en-US"/>
        </w:rPr>
        <w:tab/>
      </w:r>
    </w:p>
    <w:p w:rsidR="00552412" w:rsidRPr="005A6616" w:rsidRDefault="00552412" w:rsidP="00A77970">
      <w:pPr>
        <w:jc w:val="both"/>
        <w:rPr>
          <w:u w:val="single"/>
          <w:lang w:val="it-IT" w:eastAsia="en-US"/>
        </w:rPr>
      </w:pPr>
      <w:r w:rsidRPr="005A6616">
        <w:rPr>
          <w:lang w:val="it-IT" w:eastAsia="en-US"/>
        </w:rPr>
        <w:t xml:space="preserve">  </w:t>
      </w:r>
      <w:r w:rsidRPr="005A6616">
        <w:rPr>
          <w:lang w:val="it-IT" w:eastAsia="en-US"/>
        </w:rPr>
        <w:tab/>
      </w:r>
      <w:r w:rsidRPr="005A6616">
        <w:rPr>
          <w:u w:val="single"/>
          <w:lang w:val="it-IT" w:eastAsia="en-US"/>
        </w:rPr>
        <w:t xml:space="preserve">Supravegherea cazurilor de Enterocolite prin Clostridium difficile  </w:t>
      </w:r>
    </w:p>
    <w:p w:rsidR="00552412" w:rsidRPr="005A6616" w:rsidRDefault="00552412" w:rsidP="00A77970">
      <w:pPr>
        <w:jc w:val="both"/>
        <w:rPr>
          <w:lang w:val="it-IT" w:eastAsia="en-US"/>
        </w:rPr>
      </w:pPr>
      <w:r w:rsidRPr="005A6616">
        <w:rPr>
          <w:lang w:val="it-IT" w:eastAsia="en-US"/>
        </w:rPr>
        <w:t xml:space="preserve">  </w:t>
      </w:r>
      <w:r w:rsidRPr="005A6616">
        <w:rPr>
          <w:lang w:val="it-IT" w:eastAsia="en-US"/>
        </w:rPr>
        <w:tab/>
        <w:t xml:space="preserve">Misiune: supravegherea cazurilor de Enterocolită prin Clostridium difficile (ECD) confirmate de către spitalele din municipiul București prin:  </w:t>
      </w:r>
    </w:p>
    <w:p w:rsidR="00552412" w:rsidRPr="005A6616" w:rsidRDefault="00552412" w:rsidP="00A77970">
      <w:pPr>
        <w:jc w:val="both"/>
        <w:rPr>
          <w:lang w:val="it-IT" w:eastAsia="en-US"/>
        </w:rPr>
      </w:pPr>
      <w:r w:rsidRPr="005A6616">
        <w:rPr>
          <w:lang w:val="it-IT" w:eastAsia="en-US"/>
        </w:rPr>
        <w:t xml:space="preserve">-colectarea rapoartelor (telefonice și editate); </w:t>
      </w:r>
    </w:p>
    <w:p w:rsidR="00552412" w:rsidRPr="005A6616" w:rsidRDefault="00552412" w:rsidP="00A77970">
      <w:pPr>
        <w:jc w:val="both"/>
        <w:rPr>
          <w:lang w:val="it-IT" w:eastAsia="en-US"/>
        </w:rPr>
      </w:pPr>
      <w:r w:rsidRPr="005A6616">
        <w:rPr>
          <w:lang w:val="it-IT" w:eastAsia="en-US"/>
        </w:rPr>
        <w:t xml:space="preserve">-analiza datelor și formularea de recomandări .  </w:t>
      </w:r>
    </w:p>
    <w:p w:rsidR="00133324" w:rsidRPr="00133324" w:rsidRDefault="00133324" w:rsidP="00133324">
      <w:pPr>
        <w:jc w:val="both"/>
        <w:rPr>
          <w:lang w:val="it-IT" w:eastAsia="en-US"/>
        </w:rPr>
      </w:pPr>
      <w:r>
        <w:rPr>
          <w:lang w:val="it-IT" w:eastAsia="en-US"/>
        </w:rPr>
        <w:tab/>
      </w:r>
      <w:r w:rsidRPr="00133324">
        <w:rPr>
          <w:lang w:val="it-IT" w:eastAsia="en-US"/>
        </w:rPr>
        <w:t>Total cazuri suspecte/confirmate de ICD raportate de către unitățile sanitare supuse analizei de față = 1270 cazuri, din care</w:t>
      </w:r>
    </w:p>
    <w:p w:rsidR="00133324" w:rsidRPr="00133324" w:rsidRDefault="00133324" w:rsidP="00133324">
      <w:pPr>
        <w:jc w:val="both"/>
        <w:rPr>
          <w:lang w:val="it-IT" w:eastAsia="en-US"/>
        </w:rPr>
      </w:pPr>
      <w:r w:rsidRPr="00133324">
        <w:rPr>
          <w:lang w:val="it-IT" w:eastAsia="en-US"/>
        </w:rPr>
        <w:t>-         Total cazuri de ICD confirmate, validate și introduse în baza de date electronică EpiInfo7 = 1013 cazuri, din care</w:t>
      </w:r>
    </w:p>
    <w:p w:rsidR="00133324" w:rsidRPr="00133324" w:rsidRDefault="00133324" w:rsidP="00133324">
      <w:pPr>
        <w:jc w:val="both"/>
        <w:rPr>
          <w:lang w:val="it-IT" w:eastAsia="en-US"/>
        </w:rPr>
      </w:pPr>
      <w:r w:rsidRPr="00133324">
        <w:rPr>
          <w:lang w:val="it-IT" w:eastAsia="en-US"/>
        </w:rPr>
        <w:t>-         Cazuri cu debut în anul 2017 = 96 cazuri</w:t>
      </w:r>
    </w:p>
    <w:p w:rsidR="00133324" w:rsidRPr="00306F64" w:rsidRDefault="00133324" w:rsidP="00133324">
      <w:pPr>
        <w:jc w:val="both"/>
        <w:rPr>
          <w:highlight w:val="yellow"/>
          <w:lang w:val="it-IT" w:eastAsia="en-US"/>
        </w:rPr>
      </w:pPr>
      <w:r w:rsidRPr="00133324">
        <w:rPr>
          <w:lang w:val="it-IT" w:eastAsia="en-US"/>
        </w:rPr>
        <w:t>-         Cazuri cu debut în anul 2018 = 917 cazuri</w:t>
      </w:r>
    </w:p>
    <w:p w:rsidR="00552412" w:rsidRPr="00306F64" w:rsidRDefault="00552412" w:rsidP="00A77970">
      <w:pPr>
        <w:jc w:val="both"/>
        <w:rPr>
          <w:highlight w:val="yellow"/>
          <w:lang w:val="it-IT" w:eastAsia="en-US"/>
        </w:rPr>
      </w:pPr>
      <w:r w:rsidRPr="00306F64">
        <w:rPr>
          <w:highlight w:val="yellow"/>
          <w:lang w:val="it-IT" w:eastAsia="en-US"/>
        </w:rPr>
        <w:t xml:space="preserve">  </w:t>
      </w:r>
    </w:p>
    <w:p w:rsidR="00552412" w:rsidRPr="00133324" w:rsidRDefault="00552412" w:rsidP="00A77970">
      <w:pPr>
        <w:jc w:val="both"/>
        <w:rPr>
          <w:u w:val="single"/>
          <w:lang w:val="it-IT" w:eastAsia="en-US"/>
        </w:rPr>
      </w:pPr>
      <w:r w:rsidRPr="00133324">
        <w:rPr>
          <w:lang w:val="it-IT" w:eastAsia="en-US"/>
        </w:rPr>
        <w:t xml:space="preserve">  </w:t>
      </w:r>
      <w:r w:rsidRPr="00133324">
        <w:rPr>
          <w:lang w:val="it-IT" w:eastAsia="en-US"/>
        </w:rPr>
        <w:tab/>
      </w:r>
      <w:r w:rsidRPr="00133324">
        <w:rPr>
          <w:u w:val="single"/>
          <w:lang w:val="it-IT" w:eastAsia="en-US"/>
        </w:rPr>
        <w:t>Activitatea antiepidemică în Aeroportul Internațional “Henri Coand</w:t>
      </w:r>
      <w:r w:rsidR="005C4870" w:rsidRPr="00133324">
        <w:rPr>
          <w:u w:val="single"/>
          <w:lang w:val="it-IT" w:eastAsia="en-US"/>
        </w:rPr>
        <w:t>ă</w:t>
      </w:r>
      <w:r w:rsidRPr="00133324">
        <w:rPr>
          <w:u w:val="single"/>
          <w:lang w:val="it-IT" w:eastAsia="en-US"/>
        </w:rPr>
        <w:t xml:space="preserve">” </w:t>
      </w:r>
    </w:p>
    <w:p w:rsidR="00552412" w:rsidRPr="00133324" w:rsidRDefault="00552412" w:rsidP="00A77970">
      <w:pPr>
        <w:jc w:val="both"/>
        <w:rPr>
          <w:lang w:val="it-IT" w:eastAsia="en-US"/>
        </w:rPr>
      </w:pPr>
      <w:r w:rsidRPr="00133324">
        <w:rPr>
          <w:lang w:val="it-IT" w:eastAsia="en-US"/>
        </w:rPr>
        <w:t xml:space="preserve">  </w:t>
      </w:r>
      <w:r w:rsidRPr="00133324">
        <w:rPr>
          <w:lang w:val="it-IT" w:eastAsia="en-US"/>
        </w:rPr>
        <w:tab/>
        <w:t xml:space="preserve">Compartimentul de supraveghere / control BT deține personal special alocat activităților antiepidemice prevăzute de Regulamentul Sanitar Internațional la frontiera de stat – natura și volumul acțiunilor desfășurate de acest compartiment în zona de frontieră aeriană a municipiului București sunt arătate în tabelul următor: </w:t>
      </w:r>
    </w:p>
    <w:p w:rsidR="00976FB1" w:rsidRPr="00133324" w:rsidRDefault="00552412" w:rsidP="00A77970">
      <w:pPr>
        <w:jc w:val="both"/>
        <w:rPr>
          <w:lang w:val="it-IT" w:eastAsia="en-US"/>
        </w:rPr>
      </w:pPr>
      <w:r w:rsidRPr="00133324">
        <w:rPr>
          <w:lang w:val="it-IT" w:eastAsia="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2274"/>
      </w:tblGrid>
      <w:tr w:rsidR="00976FB1" w:rsidRPr="00133324" w:rsidTr="00BE187D">
        <w:trPr>
          <w:jc w:val="center"/>
        </w:trPr>
        <w:tc>
          <w:tcPr>
            <w:tcW w:w="6588" w:type="dxa"/>
            <w:tcBorders>
              <w:top w:val="single" w:sz="4" w:space="0" w:color="auto"/>
              <w:left w:val="single" w:sz="4" w:space="0" w:color="auto"/>
              <w:bottom w:val="single" w:sz="12" w:space="0" w:color="auto"/>
              <w:right w:val="single" w:sz="4" w:space="0" w:color="auto"/>
            </w:tcBorders>
            <w:shd w:val="clear" w:color="auto" w:fill="auto"/>
          </w:tcPr>
          <w:p w:rsidR="00976FB1" w:rsidRPr="00133324" w:rsidRDefault="00CE7644" w:rsidP="00A77970">
            <w:pPr>
              <w:jc w:val="both"/>
              <w:rPr>
                <w:b/>
                <w:lang w:val="it-IT" w:eastAsia="en-US"/>
              </w:rPr>
            </w:pPr>
            <w:r w:rsidRPr="00133324">
              <w:rPr>
                <w:b/>
                <w:lang w:val="it-IT" w:eastAsia="en-US"/>
              </w:rPr>
              <w:t>A</w:t>
            </w:r>
            <w:r w:rsidR="00976FB1" w:rsidRPr="00133324">
              <w:rPr>
                <w:b/>
                <w:lang w:val="it-IT" w:eastAsia="en-US"/>
              </w:rPr>
              <w:t>c</w:t>
            </w:r>
            <w:r w:rsidR="002D27CF" w:rsidRPr="00133324">
              <w:rPr>
                <w:b/>
                <w:lang w:val="it-IT" w:eastAsia="en-US"/>
              </w:rPr>
              <w:t>ț</w:t>
            </w:r>
            <w:r w:rsidR="00976FB1" w:rsidRPr="00133324">
              <w:rPr>
                <w:b/>
                <w:lang w:val="it-IT" w:eastAsia="en-US"/>
              </w:rPr>
              <w:t>iuni</w:t>
            </w:r>
          </w:p>
        </w:tc>
        <w:tc>
          <w:tcPr>
            <w:tcW w:w="2274" w:type="dxa"/>
            <w:tcBorders>
              <w:top w:val="single" w:sz="4" w:space="0" w:color="auto"/>
              <w:left w:val="single" w:sz="4" w:space="0" w:color="auto"/>
              <w:bottom w:val="single" w:sz="12" w:space="0" w:color="auto"/>
              <w:right w:val="single" w:sz="4" w:space="0" w:color="auto"/>
            </w:tcBorders>
            <w:shd w:val="clear" w:color="auto" w:fill="auto"/>
          </w:tcPr>
          <w:p w:rsidR="00976FB1" w:rsidRPr="00133324" w:rsidRDefault="00CE7644" w:rsidP="00A77970">
            <w:pPr>
              <w:jc w:val="both"/>
              <w:rPr>
                <w:b/>
                <w:lang w:val="it-IT" w:eastAsia="en-US"/>
              </w:rPr>
            </w:pPr>
            <w:r w:rsidRPr="00133324">
              <w:rPr>
                <w:b/>
                <w:lang w:val="it-IT" w:eastAsia="en-US"/>
              </w:rPr>
              <w:t>Nr.</w:t>
            </w:r>
            <w:r w:rsidR="00976FB1" w:rsidRPr="00133324">
              <w:rPr>
                <w:b/>
                <w:lang w:val="it-IT" w:eastAsia="en-US"/>
              </w:rPr>
              <w:t xml:space="preserve"> evenimente</w:t>
            </w:r>
          </w:p>
        </w:tc>
      </w:tr>
      <w:tr w:rsidR="00133324" w:rsidRPr="00133324" w:rsidTr="00133324">
        <w:trPr>
          <w:jc w:val="center"/>
        </w:trPr>
        <w:tc>
          <w:tcPr>
            <w:tcW w:w="6588" w:type="dxa"/>
            <w:tcBorders>
              <w:top w:val="single" w:sz="12" w:space="0" w:color="auto"/>
              <w:left w:val="single" w:sz="4" w:space="0" w:color="auto"/>
              <w:bottom w:val="single" w:sz="4" w:space="0" w:color="auto"/>
              <w:right w:val="single" w:sz="4" w:space="0" w:color="auto"/>
            </w:tcBorders>
          </w:tcPr>
          <w:p w:rsidR="00133324" w:rsidRPr="00133324" w:rsidRDefault="00133324" w:rsidP="00A77970">
            <w:pPr>
              <w:jc w:val="both"/>
              <w:rPr>
                <w:lang w:val="it-IT" w:eastAsia="en-US"/>
              </w:rPr>
            </w:pPr>
            <w:r w:rsidRPr="00133324">
              <w:rPr>
                <w:lang w:val="it-IT" w:eastAsia="en-US"/>
              </w:rPr>
              <w:t xml:space="preserve">Nr. aeronave asistate </w:t>
            </w:r>
          </w:p>
        </w:tc>
        <w:tc>
          <w:tcPr>
            <w:tcW w:w="2274" w:type="dxa"/>
            <w:tcBorders>
              <w:top w:val="single" w:sz="12" w:space="0" w:color="auto"/>
              <w:left w:val="single" w:sz="4" w:space="0" w:color="auto"/>
              <w:bottom w:val="single" w:sz="4" w:space="0" w:color="auto"/>
              <w:right w:val="single" w:sz="4" w:space="0" w:color="auto"/>
            </w:tcBorders>
            <w:vAlign w:val="center"/>
          </w:tcPr>
          <w:p w:rsidR="00133324" w:rsidRPr="00133324" w:rsidRDefault="00133324" w:rsidP="00133324">
            <w:pPr>
              <w:jc w:val="right"/>
              <w:rPr>
                <w:lang w:val="it-IT" w:eastAsia="en-US"/>
              </w:rPr>
            </w:pPr>
            <w:r w:rsidRPr="00133324">
              <w:rPr>
                <w:lang w:val="it-IT" w:eastAsia="en-US"/>
              </w:rPr>
              <w:t>18678</w:t>
            </w:r>
          </w:p>
        </w:tc>
      </w:tr>
      <w:tr w:rsidR="00133324" w:rsidRPr="00133324" w:rsidTr="00133324">
        <w:trPr>
          <w:jc w:val="center"/>
        </w:trPr>
        <w:tc>
          <w:tcPr>
            <w:tcW w:w="6588" w:type="dxa"/>
            <w:tcBorders>
              <w:top w:val="single" w:sz="4" w:space="0" w:color="auto"/>
              <w:left w:val="single" w:sz="4" w:space="0" w:color="auto"/>
              <w:bottom w:val="single" w:sz="4" w:space="0" w:color="auto"/>
              <w:right w:val="single" w:sz="4" w:space="0" w:color="auto"/>
            </w:tcBorders>
          </w:tcPr>
          <w:p w:rsidR="00133324" w:rsidRPr="00133324" w:rsidRDefault="00133324" w:rsidP="00A77970">
            <w:pPr>
              <w:jc w:val="both"/>
              <w:rPr>
                <w:lang w:val="it-IT" w:eastAsia="en-US"/>
              </w:rPr>
            </w:pPr>
            <w:r w:rsidRPr="00133324">
              <w:rPr>
                <w:lang w:val="it-IT" w:eastAsia="en-US"/>
              </w:rPr>
              <w:t xml:space="preserve">Nr. pasageri verificați epidemiologic la plecare  </w:t>
            </w:r>
          </w:p>
        </w:tc>
        <w:tc>
          <w:tcPr>
            <w:tcW w:w="2274" w:type="dxa"/>
            <w:tcBorders>
              <w:top w:val="single" w:sz="4" w:space="0" w:color="auto"/>
              <w:left w:val="single" w:sz="4" w:space="0" w:color="auto"/>
              <w:bottom w:val="single" w:sz="4" w:space="0" w:color="auto"/>
              <w:right w:val="single" w:sz="4" w:space="0" w:color="auto"/>
            </w:tcBorders>
            <w:vAlign w:val="center"/>
          </w:tcPr>
          <w:p w:rsidR="00133324" w:rsidRPr="00133324" w:rsidRDefault="00133324" w:rsidP="00133324">
            <w:pPr>
              <w:jc w:val="right"/>
              <w:rPr>
                <w:lang w:val="it-IT" w:eastAsia="en-US"/>
              </w:rPr>
            </w:pPr>
            <w:r w:rsidRPr="00133324">
              <w:rPr>
                <w:lang w:val="it-IT" w:eastAsia="en-US"/>
              </w:rPr>
              <w:t>891384</w:t>
            </w:r>
          </w:p>
        </w:tc>
      </w:tr>
      <w:tr w:rsidR="00133324" w:rsidRPr="00133324" w:rsidTr="00133324">
        <w:trPr>
          <w:jc w:val="center"/>
        </w:trPr>
        <w:tc>
          <w:tcPr>
            <w:tcW w:w="6588" w:type="dxa"/>
            <w:tcBorders>
              <w:top w:val="single" w:sz="4" w:space="0" w:color="auto"/>
              <w:left w:val="single" w:sz="4" w:space="0" w:color="auto"/>
              <w:bottom w:val="single" w:sz="4" w:space="0" w:color="auto"/>
              <w:right w:val="single" w:sz="4" w:space="0" w:color="auto"/>
            </w:tcBorders>
          </w:tcPr>
          <w:p w:rsidR="00133324" w:rsidRPr="00133324" w:rsidRDefault="00133324" w:rsidP="00A77970">
            <w:pPr>
              <w:jc w:val="both"/>
              <w:rPr>
                <w:lang w:val="it-IT" w:eastAsia="en-US"/>
              </w:rPr>
            </w:pPr>
            <w:r w:rsidRPr="00133324">
              <w:rPr>
                <w:lang w:val="it-IT" w:eastAsia="en-US"/>
              </w:rPr>
              <w:t xml:space="preserve">Nr. pasageri verificați epidemiologic la sosire   </w:t>
            </w:r>
          </w:p>
        </w:tc>
        <w:tc>
          <w:tcPr>
            <w:tcW w:w="2274" w:type="dxa"/>
            <w:tcBorders>
              <w:top w:val="single" w:sz="4" w:space="0" w:color="auto"/>
              <w:left w:val="single" w:sz="4" w:space="0" w:color="auto"/>
              <w:bottom w:val="single" w:sz="4" w:space="0" w:color="auto"/>
              <w:right w:val="single" w:sz="4" w:space="0" w:color="auto"/>
            </w:tcBorders>
            <w:vAlign w:val="center"/>
          </w:tcPr>
          <w:p w:rsidR="00133324" w:rsidRPr="00133324" w:rsidRDefault="00133324" w:rsidP="00133324">
            <w:pPr>
              <w:jc w:val="right"/>
              <w:rPr>
                <w:lang w:val="it-IT" w:eastAsia="en-US"/>
              </w:rPr>
            </w:pPr>
            <w:r w:rsidRPr="00133324">
              <w:rPr>
                <w:lang w:val="it-IT" w:eastAsia="en-US"/>
              </w:rPr>
              <w:t>858631</w:t>
            </w:r>
          </w:p>
        </w:tc>
      </w:tr>
      <w:tr w:rsidR="00133324" w:rsidRPr="00133324" w:rsidTr="00133324">
        <w:trPr>
          <w:jc w:val="center"/>
        </w:trPr>
        <w:tc>
          <w:tcPr>
            <w:tcW w:w="6588" w:type="dxa"/>
            <w:tcBorders>
              <w:top w:val="single" w:sz="4" w:space="0" w:color="auto"/>
              <w:left w:val="single" w:sz="4" w:space="0" w:color="auto"/>
              <w:bottom w:val="single" w:sz="4" w:space="0" w:color="auto"/>
              <w:right w:val="single" w:sz="4" w:space="0" w:color="auto"/>
            </w:tcBorders>
          </w:tcPr>
          <w:p w:rsidR="00133324" w:rsidRPr="00133324" w:rsidRDefault="00133324" w:rsidP="00A77970">
            <w:pPr>
              <w:jc w:val="both"/>
              <w:rPr>
                <w:lang w:val="it-IT" w:eastAsia="en-US"/>
              </w:rPr>
            </w:pPr>
            <w:r w:rsidRPr="00133324">
              <w:rPr>
                <w:lang w:val="it-IT" w:eastAsia="en-US"/>
              </w:rPr>
              <w:t>Nr. pasageri verificați pentru chimioprofilaxie antimalarică</w:t>
            </w:r>
          </w:p>
        </w:tc>
        <w:tc>
          <w:tcPr>
            <w:tcW w:w="2274" w:type="dxa"/>
            <w:tcBorders>
              <w:top w:val="single" w:sz="4" w:space="0" w:color="auto"/>
              <w:left w:val="single" w:sz="4" w:space="0" w:color="auto"/>
              <w:bottom w:val="single" w:sz="4" w:space="0" w:color="auto"/>
              <w:right w:val="single" w:sz="4" w:space="0" w:color="auto"/>
            </w:tcBorders>
            <w:vAlign w:val="center"/>
          </w:tcPr>
          <w:p w:rsidR="00133324" w:rsidRPr="00133324" w:rsidRDefault="00133324" w:rsidP="00133324">
            <w:pPr>
              <w:jc w:val="right"/>
              <w:rPr>
                <w:lang w:val="it-IT" w:eastAsia="en-US"/>
              </w:rPr>
            </w:pPr>
            <w:r w:rsidRPr="00133324">
              <w:rPr>
                <w:lang w:val="it-IT" w:eastAsia="en-US"/>
              </w:rPr>
              <w:t>5877</w:t>
            </w:r>
          </w:p>
        </w:tc>
      </w:tr>
      <w:tr w:rsidR="00133324" w:rsidRPr="00133324" w:rsidTr="00133324">
        <w:trPr>
          <w:jc w:val="center"/>
        </w:trPr>
        <w:tc>
          <w:tcPr>
            <w:tcW w:w="6588" w:type="dxa"/>
            <w:tcBorders>
              <w:top w:val="single" w:sz="4" w:space="0" w:color="auto"/>
              <w:left w:val="single" w:sz="4" w:space="0" w:color="auto"/>
              <w:bottom w:val="single" w:sz="4" w:space="0" w:color="auto"/>
              <w:right w:val="single" w:sz="4" w:space="0" w:color="auto"/>
            </w:tcBorders>
          </w:tcPr>
          <w:p w:rsidR="00133324" w:rsidRPr="00133324" w:rsidRDefault="00133324" w:rsidP="00A77970">
            <w:pPr>
              <w:jc w:val="both"/>
              <w:rPr>
                <w:lang w:val="it-IT" w:eastAsia="en-US"/>
              </w:rPr>
            </w:pPr>
            <w:r w:rsidRPr="00133324">
              <w:rPr>
                <w:lang w:val="it-IT" w:eastAsia="en-US"/>
              </w:rPr>
              <w:t>Nr. pasageri triați epidemiologic</w:t>
            </w:r>
          </w:p>
        </w:tc>
        <w:tc>
          <w:tcPr>
            <w:tcW w:w="2274" w:type="dxa"/>
            <w:tcBorders>
              <w:top w:val="single" w:sz="4" w:space="0" w:color="auto"/>
              <w:left w:val="single" w:sz="4" w:space="0" w:color="auto"/>
              <w:bottom w:val="single" w:sz="4" w:space="0" w:color="auto"/>
              <w:right w:val="single" w:sz="4" w:space="0" w:color="auto"/>
            </w:tcBorders>
            <w:vAlign w:val="center"/>
          </w:tcPr>
          <w:p w:rsidR="00133324" w:rsidRPr="00133324" w:rsidRDefault="00133324" w:rsidP="00133324">
            <w:pPr>
              <w:jc w:val="right"/>
              <w:rPr>
                <w:lang w:val="it-IT" w:eastAsia="en-US"/>
              </w:rPr>
            </w:pPr>
            <w:r w:rsidRPr="00133324">
              <w:rPr>
                <w:lang w:val="it-IT" w:eastAsia="en-US"/>
              </w:rPr>
              <w:t>9182</w:t>
            </w:r>
          </w:p>
        </w:tc>
      </w:tr>
      <w:tr w:rsidR="00133324" w:rsidRPr="00133324" w:rsidTr="00133324">
        <w:trPr>
          <w:jc w:val="center"/>
        </w:trPr>
        <w:tc>
          <w:tcPr>
            <w:tcW w:w="6588" w:type="dxa"/>
            <w:tcBorders>
              <w:top w:val="single" w:sz="4" w:space="0" w:color="auto"/>
              <w:left w:val="single" w:sz="4" w:space="0" w:color="auto"/>
              <w:bottom w:val="single" w:sz="4" w:space="0" w:color="auto"/>
              <w:right w:val="single" w:sz="4" w:space="0" w:color="auto"/>
            </w:tcBorders>
          </w:tcPr>
          <w:p w:rsidR="00133324" w:rsidRPr="00133324" w:rsidRDefault="00133324" w:rsidP="00A77970">
            <w:pPr>
              <w:jc w:val="both"/>
              <w:rPr>
                <w:lang w:val="it-IT" w:eastAsia="en-US"/>
              </w:rPr>
            </w:pPr>
            <w:r w:rsidRPr="00133324">
              <w:rPr>
                <w:lang w:val="it-IT" w:eastAsia="en-US"/>
              </w:rPr>
              <w:t xml:space="preserve">Nr. certificate internaționale de vaccinare verificate </w:t>
            </w:r>
          </w:p>
        </w:tc>
        <w:tc>
          <w:tcPr>
            <w:tcW w:w="2274" w:type="dxa"/>
            <w:tcBorders>
              <w:top w:val="single" w:sz="4" w:space="0" w:color="auto"/>
              <w:left w:val="single" w:sz="4" w:space="0" w:color="auto"/>
              <w:bottom w:val="single" w:sz="4" w:space="0" w:color="auto"/>
              <w:right w:val="single" w:sz="4" w:space="0" w:color="auto"/>
            </w:tcBorders>
            <w:vAlign w:val="center"/>
          </w:tcPr>
          <w:p w:rsidR="00133324" w:rsidRPr="00133324" w:rsidRDefault="00133324" w:rsidP="00133324">
            <w:pPr>
              <w:jc w:val="right"/>
              <w:rPr>
                <w:lang w:val="it-IT" w:eastAsia="en-US"/>
              </w:rPr>
            </w:pPr>
            <w:r w:rsidRPr="00133324">
              <w:rPr>
                <w:lang w:val="it-IT" w:eastAsia="en-US"/>
              </w:rPr>
              <w:t>3503</w:t>
            </w:r>
          </w:p>
        </w:tc>
      </w:tr>
    </w:tbl>
    <w:p w:rsidR="00976FB1" w:rsidRPr="00133324" w:rsidRDefault="00976FB1" w:rsidP="00A77970">
      <w:pPr>
        <w:jc w:val="both"/>
        <w:rPr>
          <w:lang w:val="it-IT" w:eastAsia="en-US"/>
        </w:rPr>
      </w:pPr>
    </w:p>
    <w:p w:rsidR="00976FB1" w:rsidRPr="00306F64" w:rsidRDefault="00976FB1" w:rsidP="00A77970">
      <w:pPr>
        <w:jc w:val="both"/>
        <w:rPr>
          <w:highlight w:val="yellow"/>
          <w:lang w:val="it-IT"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2274"/>
      </w:tblGrid>
      <w:tr w:rsidR="00976FB1" w:rsidRPr="00133324" w:rsidTr="00062D78">
        <w:trPr>
          <w:jc w:val="center"/>
        </w:trPr>
        <w:tc>
          <w:tcPr>
            <w:tcW w:w="6588" w:type="dxa"/>
            <w:tcBorders>
              <w:top w:val="single" w:sz="4" w:space="0" w:color="auto"/>
              <w:left w:val="single" w:sz="4" w:space="0" w:color="auto"/>
              <w:bottom w:val="single" w:sz="12" w:space="0" w:color="auto"/>
              <w:right w:val="single" w:sz="4" w:space="0" w:color="auto"/>
            </w:tcBorders>
            <w:shd w:val="clear" w:color="auto" w:fill="FFFFFF"/>
          </w:tcPr>
          <w:p w:rsidR="00976FB1" w:rsidRPr="00133324" w:rsidRDefault="00CE7644" w:rsidP="00A77970">
            <w:pPr>
              <w:jc w:val="both"/>
              <w:rPr>
                <w:b/>
                <w:lang w:val="it-IT" w:eastAsia="en-US"/>
              </w:rPr>
            </w:pPr>
            <w:r w:rsidRPr="00133324">
              <w:rPr>
                <w:b/>
                <w:lang w:val="it-IT" w:eastAsia="en-US"/>
              </w:rPr>
              <w:t>A</w:t>
            </w:r>
            <w:r w:rsidR="00976FB1" w:rsidRPr="00133324">
              <w:rPr>
                <w:b/>
                <w:lang w:val="it-IT" w:eastAsia="en-US"/>
              </w:rPr>
              <w:t>c</w:t>
            </w:r>
            <w:r w:rsidR="002D27CF" w:rsidRPr="00133324">
              <w:rPr>
                <w:b/>
                <w:lang w:val="it-IT" w:eastAsia="en-US"/>
              </w:rPr>
              <w:t>ț</w:t>
            </w:r>
            <w:r w:rsidR="00976FB1" w:rsidRPr="00133324">
              <w:rPr>
                <w:b/>
                <w:lang w:val="it-IT" w:eastAsia="en-US"/>
              </w:rPr>
              <w:t>iuni</w:t>
            </w:r>
            <w:r w:rsidR="00BE187D" w:rsidRPr="00133324">
              <w:t xml:space="preserve"> </w:t>
            </w:r>
            <w:r w:rsidR="00BE187D" w:rsidRPr="00133324">
              <w:rPr>
                <w:b/>
                <w:lang w:val="it-IT" w:eastAsia="en-US"/>
              </w:rPr>
              <w:t>DDD (dezinfecție, dezinsecție, deratizare)</w:t>
            </w:r>
          </w:p>
        </w:tc>
        <w:tc>
          <w:tcPr>
            <w:tcW w:w="2274" w:type="dxa"/>
            <w:tcBorders>
              <w:top w:val="single" w:sz="4" w:space="0" w:color="auto"/>
              <w:left w:val="single" w:sz="4" w:space="0" w:color="auto"/>
              <w:bottom w:val="single" w:sz="12" w:space="0" w:color="auto"/>
              <w:right w:val="single" w:sz="4" w:space="0" w:color="auto"/>
            </w:tcBorders>
            <w:shd w:val="clear" w:color="auto" w:fill="FFFFFF"/>
          </w:tcPr>
          <w:p w:rsidR="00976FB1" w:rsidRPr="00133324" w:rsidRDefault="00CE7644" w:rsidP="00A77970">
            <w:pPr>
              <w:jc w:val="both"/>
              <w:rPr>
                <w:b/>
                <w:lang w:val="it-IT" w:eastAsia="en-US"/>
              </w:rPr>
            </w:pPr>
            <w:r w:rsidRPr="00133324">
              <w:rPr>
                <w:b/>
                <w:lang w:val="it-IT" w:eastAsia="en-US"/>
              </w:rPr>
              <w:t>Nr.</w:t>
            </w:r>
            <w:r w:rsidR="00976FB1" w:rsidRPr="00133324">
              <w:rPr>
                <w:b/>
                <w:lang w:val="it-IT" w:eastAsia="en-US"/>
              </w:rPr>
              <w:t xml:space="preserve"> evenimente</w:t>
            </w:r>
          </w:p>
        </w:tc>
      </w:tr>
      <w:tr w:rsidR="00976FB1" w:rsidRPr="00133324" w:rsidTr="00062D78">
        <w:trPr>
          <w:jc w:val="center"/>
        </w:trPr>
        <w:tc>
          <w:tcPr>
            <w:tcW w:w="6588" w:type="dxa"/>
            <w:tcBorders>
              <w:top w:val="single" w:sz="12" w:space="0" w:color="auto"/>
              <w:left w:val="single" w:sz="4" w:space="0" w:color="auto"/>
              <w:bottom w:val="single" w:sz="4" w:space="0" w:color="auto"/>
              <w:right w:val="single" w:sz="4" w:space="0" w:color="auto"/>
            </w:tcBorders>
          </w:tcPr>
          <w:p w:rsidR="00976FB1" w:rsidRPr="00133324" w:rsidRDefault="00CE7644" w:rsidP="00A77970">
            <w:pPr>
              <w:jc w:val="both"/>
              <w:rPr>
                <w:lang w:val="it-IT" w:eastAsia="en-US"/>
              </w:rPr>
            </w:pPr>
            <w:r w:rsidRPr="00133324">
              <w:rPr>
                <w:lang w:val="it-IT" w:eastAsia="en-US"/>
              </w:rPr>
              <w:t>Nr.</w:t>
            </w:r>
            <w:r w:rsidR="00976FB1" w:rsidRPr="00133324">
              <w:rPr>
                <w:lang w:val="it-IT" w:eastAsia="en-US"/>
              </w:rPr>
              <w:t xml:space="preserve"> ac</w:t>
            </w:r>
            <w:r w:rsidR="002D27CF" w:rsidRPr="00133324">
              <w:rPr>
                <w:lang w:val="it-IT" w:eastAsia="en-US"/>
              </w:rPr>
              <w:t>ț</w:t>
            </w:r>
            <w:r w:rsidR="00976FB1" w:rsidRPr="00133324">
              <w:rPr>
                <w:lang w:val="it-IT" w:eastAsia="en-US"/>
              </w:rPr>
              <w:t>iuni de dezinfec</w:t>
            </w:r>
            <w:r w:rsidR="002D27CF" w:rsidRPr="00133324">
              <w:rPr>
                <w:lang w:val="it-IT" w:eastAsia="en-US"/>
              </w:rPr>
              <w:t>ție î</w:t>
            </w:r>
            <w:r w:rsidR="00976FB1" w:rsidRPr="00133324">
              <w:rPr>
                <w:lang w:val="it-IT" w:eastAsia="en-US"/>
              </w:rPr>
              <w:t>n focare de boli digestive</w:t>
            </w:r>
          </w:p>
        </w:tc>
        <w:tc>
          <w:tcPr>
            <w:tcW w:w="2274" w:type="dxa"/>
            <w:tcBorders>
              <w:top w:val="single" w:sz="12" w:space="0" w:color="auto"/>
              <w:left w:val="single" w:sz="4" w:space="0" w:color="auto"/>
              <w:bottom w:val="single" w:sz="4" w:space="0" w:color="auto"/>
              <w:right w:val="single" w:sz="4" w:space="0" w:color="auto"/>
            </w:tcBorders>
          </w:tcPr>
          <w:p w:rsidR="00976FB1" w:rsidRPr="00133324" w:rsidRDefault="00133324" w:rsidP="00A77970">
            <w:pPr>
              <w:jc w:val="right"/>
              <w:rPr>
                <w:lang w:val="it-IT" w:eastAsia="en-US"/>
              </w:rPr>
            </w:pPr>
            <w:r w:rsidRPr="00133324">
              <w:rPr>
                <w:lang w:val="it-IT" w:eastAsia="en-US"/>
              </w:rPr>
              <w:t>20</w:t>
            </w:r>
          </w:p>
        </w:tc>
      </w:tr>
      <w:tr w:rsidR="00976FB1" w:rsidRPr="00133324" w:rsidTr="00062D78">
        <w:trPr>
          <w:jc w:val="center"/>
        </w:trPr>
        <w:tc>
          <w:tcPr>
            <w:tcW w:w="6588" w:type="dxa"/>
            <w:tcBorders>
              <w:top w:val="single" w:sz="4" w:space="0" w:color="auto"/>
              <w:left w:val="single" w:sz="4" w:space="0" w:color="auto"/>
              <w:bottom w:val="single" w:sz="4" w:space="0" w:color="auto"/>
              <w:right w:val="single" w:sz="4" w:space="0" w:color="auto"/>
            </w:tcBorders>
          </w:tcPr>
          <w:p w:rsidR="00976FB1" w:rsidRPr="00133324" w:rsidRDefault="00CE7644" w:rsidP="00A77970">
            <w:pPr>
              <w:jc w:val="both"/>
              <w:rPr>
                <w:lang w:val="it-IT" w:eastAsia="en-US"/>
              </w:rPr>
            </w:pPr>
            <w:r w:rsidRPr="00133324">
              <w:rPr>
                <w:lang w:val="it-IT" w:eastAsia="en-US"/>
              </w:rPr>
              <w:t>Nr.</w:t>
            </w:r>
            <w:r w:rsidR="00976FB1" w:rsidRPr="00133324">
              <w:rPr>
                <w:lang w:val="it-IT" w:eastAsia="en-US"/>
              </w:rPr>
              <w:t xml:space="preserve"> </w:t>
            </w:r>
            <w:r w:rsidR="002D27CF" w:rsidRPr="00133324">
              <w:rPr>
                <w:lang w:val="it-IT" w:eastAsia="en-US"/>
              </w:rPr>
              <w:t xml:space="preserve">acțiuni </w:t>
            </w:r>
            <w:r w:rsidR="00976FB1" w:rsidRPr="00133324">
              <w:rPr>
                <w:lang w:val="it-IT" w:eastAsia="en-US"/>
              </w:rPr>
              <w:t>de dezinsec</w:t>
            </w:r>
            <w:r w:rsidR="002D27CF" w:rsidRPr="00133324">
              <w:rPr>
                <w:lang w:val="it-IT" w:eastAsia="en-US"/>
              </w:rPr>
              <w:t>ț</w:t>
            </w:r>
            <w:r w:rsidR="00976FB1" w:rsidRPr="00133324">
              <w:rPr>
                <w:lang w:val="it-IT" w:eastAsia="en-US"/>
              </w:rPr>
              <w:t xml:space="preserve">ie </w:t>
            </w:r>
            <w:r w:rsidR="002D27CF" w:rsidRPr="00133324">
              <w:rPr>
                <w:lang w:val="it-IT" w:eastAsia="en-US"/>
              </w:rPr>
              <w:t xml:space="preserve">în </w:t>
            </w:r>
            <w:r w:rsidR="00976FB1" w:rsidRPr="00133324">
              <w:rPr>
                <w:lang w:val="it-IT" w:eastAsia="en-US"/>
              </w:rPr>
              <w:t>unit</w:t>
            </w:r>
            <w:r w:rsidR="002D27CF" w:rsidRPr="00133324">
              <w:rPr>
                <w:lang w:val="it-IT" w:eastAsia="en-US"/>
              </w:rPr>
              <w:t>ăț</w:t>
            </w:r>
            <w:r w:rsidR="00976FB1" w:rsidRPr="00133324">
              <w:rPr>
                <w:lang w:val="it-IT" w:eastAsia="en-US"/>
              </w:rPr>
              <w:t>i sanitare</w:t>
            </w:r>
          </w:p>
        </w:tc>
        <w:tc>
          <w:tcPr>
            <w:tcW w:w="2274" w:type="dxa"/>
            <w:tcBorders>
              <w:top w:val="single" w:sz="4" w:space="0" w:color="auto"/>
              <w:left w:val="single" w:sz="4" w:space="0" w:color="auto"/>
              <w:bottom w:val="single" w:sz="4" w:space="0" w:color="auto"/>
              <w:right w:val="single" w:sz="4" w:space="0" w:color="auto"/>
            </w:tcBorders>
          </w:tcPr>
          <w:p w:rsidR="00976FB1" w:rsidRPr="00133324" w:rsidRDefault="00133324" w:rsidP="00A77970">
            <w:pPr>
              <w:jc w:val="right"/>
              <w:rPr>
                <w:lang w:val="it-IT" w:eastAsia="en-US"/>
              </w:rPr>
            </w:pPr>
            <w:r w:rsidRPr="00133324">
              <w:rPr>
                <w:lang w:val="it-IT" w:eastAsia="en-US"/>
              </w:rPr>
              <w:t>1</w:t>
            </w:r>
            <w:r w:rsidR="00976FB1" w:rsidRPr="00133324">
              <w:rPr>
                <w:lang w:val="it-IT" w:eastAsia="en-US"/>
              </w:rPr>
              <w:t>8</w:t>
            </w:r>
          </w:p>
        </w:tc>
      </w:tr>
      <w:tr w:rsidR="00976FB1" w:rsidRPr="00133324" w:rsidTr="00062D78">
        <w:trPr>
          <w:jc w:val="center"/>
        </w:trPr>
        <w:tc>
          <w:tcPr>
            <w:tcW w:w="6588" w:type="dxa"/>
            <w:tcBorders>
              <w:top w:val="single" w:sz="4" w:space="0" w:color="auto"/>
              <w:left w:val="single" w:sz="4" w:space="0" w:color="auto"/>
              <w:bottom w:val="single" w:sz="4" w:space="0" w:color="auto"/>
              <w:right w:val="single" w:sz="4" w:space="0" w:color="auto"/>
            </w:tcBorders>
          </w:tcPr>
          <w:p w:rsidR="00976FB1" w:rsidRPr="00133324" w:rsidRDefault="00CE7644" w:rsidP="00A77970">
            <w:pPr>
              <w:jc w:val="both"/>
              <w:rPr>
                <w:lang w:val="fr-FR" w:eastAsia="en-US"/>
              </w:rPr>
            </w:pPr>
            <w:r w:rsidRPr="00133324">
              <w:rPr>
                <w:lang w:val="fr-FR" w:eastAsia="en-US"/>
              </w:rPr>
              <w:t>Nr.</w:t>
            </w:r>
            <w:r w:rsidR="00976FB1" w:rsidRPr="00133324">
              <w:rPr>
                <w:lang w:val="fr-FR" w:eastAsia="en-US"/>
              </w:rPr>
              <w:t xml:space="preserve"> </w:t>
            </w:r>
            <w:r w:rsidR="002D27CF" w:rsidRPr="00133324">
              <w:rPr>
                <w:lang w:val="it-IT" w:eastAsia="en-US"/>
              </w:rPr>
              <w:t>acțiuni</w:t>
            </w:r>
            <w:r w:rsidR="002D27CF" w:rsidRPr="00133324">
              <w:rPr>
                <w:lang w:val="fr-FR" w:eastAsia="en-US"/>
              </w:rPr>
              <w:t xml:space="preserve"> </w:t>
            </w:r>
            <w:r w:rsidR="00976FB1" w:rsidRPr="00133324">
              <w:rPr>
                <w:lang w:val="fr-FR" w:eastAsia="en-US"/>
              </w:rPr>
              <w:t xml:space="preserve">de </w:t>
            </w:r>
            <w:r w:rsidR="002D27CF" w:rsidRPr="00133324">
              <w:rPr>
                <w:lang w:val="it-IT" w:eastAsia="en-US"/>
              </w:rPr>
              <w:t xml:space="preserve">dezinfecție </w:t>
            </w:r>
            <w:r w:rsidR="00976FB1" w:rsidRPr="00133324">
              <w:rPr>
                <w:lang w:val="fr-FR" w:eastAsia="en-US"/>
              </w:rPr>
              <w:t>la cazuri de TBC</w:t>
            </w:r>
          </w:p>
        </w:tc>
        <w:tc>
          <w:tcPr>
            <w:tcW w:w="2274" w:type="dxa"/>
            <w:tcBorders>
              <w:top w:val="single" w:sz="4" w:space="0" w:color="auto"/>
              <w:left w:val="single" w:sz="4" w:space="0" w:color="auto"/>
              <w:bottom w:val="single" w:sz="4" w:space="0" w:color="auto"/>
              <w:right w:val="single" w:sz="4" w:space="0" w:color="auto"/>
            </w:tcBorders>
          </w:tcPr>
          <w:p w:rsidR="00976FB1" w:rsidRPr="00133324" w:rsidRDefault="00133324" w:rsidP="00A77970">
            <w:pPr>
              <w:jc w:val="right"/>
              <w:rPr>
                <w:lang w:val="fr-FR" w:eastAsia="en-US"/>
              </w:rPr>
            </w:pPr>
            <w:r w:rsidRPr="00133324">
              <w:rPr>
                <w:lang w:val="fr-FR" w:eastAsia="en-US"/>
              </w:rPr>
              <w:t>25</w:t>
            </w:r>
          </w:p>
        </w:tc>
      </w:tr>
      <w:tr w:rsidR="00976FB1" w:rsidRPr="00133324" w:rsidTr="00062D78">
        <w:trPr>
          <w:jc w:val="center"/>
        </w:trPr>
        <w:tc>
          <w:tcPr>
            <w:tcW w:w="6588" w:type="dxa"/>
            <w:tcBorders>
              <w:top w:val="single" w:sz="4" w:space="0" w:color="auto"/>
              <w:left w:val="single" w:sz="4" w:space="0" w:color="auto"/>
              <w:bottom w:val="single" w:sz="4" w:space="0" w:color="auto"/>
              <w:right w:val="single" w:sz="4" w:space="0" w:color="auto"/>
            </w:tcBorders>
          </w:tcPr>
          <w:p w:rsidR="00976FB1" w:rsidRPr="00133324" w:rsidRDefault="00CE7644" w:rsidP="00A77970">
            <w:pPr>
              <w:jc w:val="both"/>
              <w:rPr>
                <w:lang w:val="nl-NL" w:eastAsia="en-US"/>
              </w:rPr>
            </w:pPr>
            <w:r w:rsidRPr="00133324">
              <w:rPr>
                <w:lang w:val="nl-NL" w:eastAsia="en-US"/>
              </w:rPr>
              <w:t>Nr.</w:t>
            </w:r>
            <w:r w:rsidR="00976FB1" w:rsidRPr="00133324">
              <w:rPr>
                <w:lang w:val="nl-NL" w:eastAsia="en-US"/>
              </w:rPr>
              <w:t xml:space="preserve"> </w:t>
            </w:r>
            <w:r w:rsidR="002D27CF" w:rsidRPr="00133324">
              <w:rPr>
                <w:lang w:val="it-IT" w:eastAsia="en-US"/>
              </w:rPr>
              <w:t>acțiuni</w:t>
            </w:r>
            <w:r w:rsidR="002D27CF" w:rsidRPr="00133324">
              <w:rPr>
                <w:lang w:val="nl-NL" w:eastAsia="en-US"/>
              </w:rPr>
              <w:t xml:space="preserve"> </w:t>
            </w:r>
            <w:r w:rsidR="00976FB1" w:rsidRPr="00133324">
              <w:rPr>
                <w:lang w:val="nl-NL" w:eastAsia="en-US"/>
              </w:rPr>
              <w:t xml:space="preserve">de </w:t>
            </w:r>
            <w:r w:rsidR="002D27CF" w:rsidRPr="00133324">
              <w:rPr>
                <w:lang w:val="it-IT" w:eastAsia="en-US"/>
              </w:rPr>
              <w:t xml:space="preserve">dezinfecție în </w:t>
            </w:r>
            <w:r w:rsidR="00976FB1" w:rsidRPr="00133324">
              <w:rPr>
                <w:lang w:val="nl-NL" w:eastAsia="en-US"/>
              </w:rPr>
              <w:t>caz de deces &gt; 3 zile</w:t>
            </w:r>
          </w:p>
        </w:tc>
        <w:tc>
          <w:tcPr>
            <w:tcW w:w="2274" w:type="dxa"/>
            <w:tcBorders>
              <w:top w:val="single" w:sz="4" w:space="0" w:color="auto"/>
              <w:left w:val="single" w:sz="4" w:space="0" w:color="auto"/>
              <w:bottom w:val="single" w:sz="4" w:space="0" w:color="auto"/>
              <w:right w:val="single" w:sz="4" w:space="0" w:color="auto"/>
            </w:tcBorders>
          </w:tcPr>
          <w:p w:rsidR="00976FB1" w:rsidRPr="00133324" w:rsidRDefault="00133324" w:rsidP="00A77970">
            <w:pPr>
              <w:jc w:val="right"/>
              <w:rPr>
                <w:lang w:val="fr-FR" w:eastAsia="en-US"/>
              </w:rPr>
            </w:pPr>
            <w:r w:rsidRPr="00133324">
              <w:rPr>
                <w:lang w:val="fr-FR" w:eastAsia="en-US"/>
              </w:rPr>
              <w:t>3</w:t>
            </w:r>
          </w:p>
        </w:tc>
      </w:tr>
      <w:tr w:rsidR="00976FB1" w:rsidRPr="00133324" w:rsidTr="00062D78">
        <w:trPr>
          <w:jc w:val="center"/>
        </w:trPr>
        <w:tc>
          <w:tcPr>
            <w:tcW w:w="6588" w:type="dxa"/>
            <w:tcBorders>
              <w:top w:val="single" w:sz="4" w:space="0" w:color="auto"/>
              <w:left w:val="single" w:sz="4" w:space="0" w:color="auto"/>
              <w:bottom w:val="single" w:sz="4" w:space="0" w:color="auto"/>
              <w:right w:val="single" w:sz="4" w:space="0" w:color="auto"/>
            </w:tcBorders>
          </w:tcPr>
          <w:p w:rsidR="00976FB1" w:rsidRPr="00133324" w:rsidRDefault="00CE7644" w:rsidP="00A77970">
            <w:pPr>
              <w:jc w:val="both"/>
              <w:rPr>
                <w:lang w:val="pt-BR" w:eastAsia="en-US"/>
              </w:rPr>
            </w:pPr>
            <w:r w:rsidRPr="00133324">
              <w:rPr>
                <w:lang w:val="pt-BR" w:eastAsia="en-US"/>
              </w:rPr>
              <w:t>Nr.</w:t>
            </w:r>
            <w:r w:rsidR="00976FB1" w:rsidRPr="00133324">
              <w:rPr>
                <w:lang w:val="pt-BR" w:eastAsia="en-US"/>
              </w:rPr>
              <w:t xml:space="preserve"> eliber</w:t>
            </w:r>
            <w:r w:rsidR="002D27CF" w:rsidRPr="00133324">
              <w:rPr>
                <w:lang w:val="pt-BR" w:eastAsia="en-US"/>
              </w:rPr>
              <w:t>ă</w:t>
            </w:r>
            <w:r w:rsidR="00976FB1" w:rsidRPr="00133324">
              <w:rPr>
                <w:lang w:val="pt-BR" w:eastAsia="en-US"/>
              </w:rPr>
              <w:t>ri de pa</w:t>
            </w:r>
            <w:r w:rsidR="002D27CF" w:rsidRPr="00133324">
              <w:rPr>
                <w:lang w:val="pt-BR" w:eastAsia="en-US"/>
              </w:rPr>
              <w:t>ș</w:t>
            </w:r>
            <w:r w:rsidR="00976FB1" w:rsidRPr="00133324">
              <w:rPr>
                <w:lang w:val="pt-BR" w:eastAsia="en-US"/>
              </w:rPr>
              <w:t>apoarte mortuare</w:t>
            </w:r>
          </w:p>
        </w:tc>
        <w:tc>
          <w:tcPr>
            <w:tcW w:w="2274" w:type="dxa"/>
            <w:tcBorders>
              <w:top w:val="single" w:sz="4" w:space="0" w:color="auto"/>
              <w:left w:val="single" w:sz="4" w:space="0" w:color="auto"/>
              <w:bottom w:val="single" w:sz="4" w:space="0" w:color="auto"/>
              <w:right w:val="single" w:sz="4" w:space="0" w:color="auto"/>
            </w:tcBorders>
          </w:tcPr>
          <w:p w:rsidR="00976FB1" w:rsidRPr="00133324" w:rsidRDefault="00133324" w:rsidP="00A77970">
            <w:pPr>
              <w:jc w:val="right"/>
              <w:rPr>
                <w:lang w:val="pt-BR" w:eastAsia="en-US"/>
              </w:rPr>
            </w:pPr>
            <w:r w:rsidRPr="00133324">
              <w:rPr>
                <w:lang w:val="pt-BR" w:eastAsia="en-US"/>
              </w:rPr>
              <w:t>102</w:t>
            </w:r>
          </w:p>
        </w:tc>
      </w:tr>
      <w:tr w:rsidR="00976FB1" w:rsidRPr="00133324" w:rsidTr="00062D78">
        <w:trPr>
          <w:jc w:val="center"/>
        </w:trPr>
        <w:tc>
          <w:tcPr>
            <w:tcW w:w="6588" w:type="dxa"/>
            <w:tcBorders>
              <w:top w:val="single" w:sz="4" w:space="0" w:color="auto"/>
              <w:left w:val="single" w:sz="4" w:space="0" w:color="auto"/>
              <w:bottom w:val="single" w:sz="4" w:space="0" w:color="auto"/>
              <w:right w:val="single" w:sz="4" w:space="0" w:color="auto"/>
            </w:tcBorders>
          </w:tcPr>
          <w:p w:rsidR="00976FB1" w:rsidRPr="00133324" w:rsidRDefault="00CE7644" w:rsidP="00A77970">
            <w:pPr>
              <w:jc w:val="both"/>
              <w:rPr>
                <w:lang w:val="pt-BR" w:eastAsia="en-US"/>
              </w:rPr>
            </w:pPr>
            <w:r w:rsidRPr="00133324">
              <w:rPr>
                <w:lang w:val="pt-BR" w:eastAsia="en-US"/>
              </w:rPr>
              <w:t>Nr.</w:t>
            </w:r>
            <w:r w:rsidR="00976FB1" w:rsidRPr="00133324">
              <w:rPr>
                <w:lang w:val="pt-BR" w:eastAsia="en-US"/>
              </w:rPr>
              <w:t xml:space="preserve"> </w:t>
            </w:r>
            <w:r w:rsidR="002D27CF" w:rsidRPr="00133324">
              <w:rPr>
                <w:lang w:val="pt-BR" w:eastAsia="en-US"/>
              </w:rPr>
              <w:t xml:space="preserve">eliberări </w:t>
            </w:r>
            <w:r w:rsidR="00976FB1" w:rsidRPr="00133324">
              <w:rPr>
                <w:lang w:val="pt-BR" w:eastAsia="en-US"/>
              </w:rPr>
              <w:t>de avize de transport cadavru uman</w:t>
            </w:r>
          </w:p>
        </w:tc>
        <w:tc>
          <w:tcPr>
            <w:tcW w:w="2274" w:type="dxa"/>
            <w:tcBorders>
              <w:top w:val="single" w:sz="4" w:space="0" w:color="auto"/>
              <w:left w:val="single" w:sz="4" w:space="0" w:color="auto"/>
              <w:bottom w:val="single" w:sz="4" w:space="0" w:color="auto"/>
              <w:right w:val="single" w:sz="4" w:space="0" w:color="auto"/>
            </w:tcBorders>
          </w:tcPr>
          <w:p w:rsidR="00976FB1" w:rsidRPr="00133324" w:rsidRDefault="00133324" w:rsidP="00A77970">
            <w:pPr>
              <w:jc w:val="right"/>
              <w:rPr>
                <w:lang w:val="pt-BR" w:eastAsia="en-US"/>
              </w:rPr>
            </w:pPr>
            <w:r w:rsidRPr="00133324">
              <w:rPr>
                <w:lang w:val="pt-BR" w:eastAsia="en-US"/>
              </w:rPr>
              <w:t>283</w:t>
            </w:r>
          </w:p>
        </w:tc>
      </w:tr>
      <w:tr w:rsidR="00976FB1" w:rsidRPr="00133324" w:rsidTr="00062D78">
        <w:trPr>
          <w:jc w:val="center"/>
        </w:trPr>
        <w:tc>
          <w:tcPr>
            <w:tcW w:w="6588" w:type="dxa"/>
            <w:tcBorders>
              <w:top w:val="single" w:sz="4" w:space="0" w:color="auto"/>
              <w:left w:val="single" w:sz="4" w:space="0" w:color="auto"/>
              <w:bottom w:val="single" w:sz="4" w:space="0" w:color="auto"/>
              <w:right w:val="single" w:sz="4" w:space="0" w:color="auto"/>
            </w:tcBorders>
          </w:tcPr>
          <w:p w:rsidR="00976FB1" w:rsidRPr="00133324" w:rsidRDefault="00CE7644" w:rsidP="00A77970">
            <w:pPr>
              <w:jc w:val="both"/>
              <w:rPr>
                <w:lang w:val="pt-BR" w:eastAsia="en-US"/>
              </w:rPr>
            </w:pPr>
            <w:r w:rsidRPr="00133324">
              <w:rPr>
                <w:lang w:val="pt-BR" w:eastAsia="en-US"/>
              </w:rPr>
              <w:t>Nr.</w:t>
            </w:r>
            <w:r w:rsidR="00976FB1" w:rsidRPr="00133324">
              <w:rPr>
                <w:lang w:val="pt-BR" w:eastAsia="en-US"/>
              </w:rPr>
              <w:t xml:space="preserve"> </w:t>
            </w:r>
            <w:r w:rsidR="002D27CF" w:rsidRPr="00133324">
              <w:rPr>
                <w:lang w:val="pt-BR" w:eastAsia="en-US"/>
              </w:rPr>
              <w:t xml:space="preserve">eliberări </w:t>
            </w:r>
            <w:r w:rsidR="00976FB1" w:rsidRPr="00133324">
              <w:rPr>
                <w:lang w:val="pt-BR" w:eastAsia="en-US"/>
              </w:rPr>
              <w:t>de avize de deshumare-re</w:t>
            </w:r>
            <w:r w:rsidR="002D27CF" w:rsidRPr="00133324">
              <w:rPr>
                <w:lang w:val="pt-BR" w:eastAsia="en-US"/>
              </w:rPr>
              <w:t>î</w:t>
            </w:r>
            <w:r w:rsidR="00976FB1" w:rsidRPr="00133324">
              <w:rPr>
                <w:lang w:val="pt-BR" w:eastAsia="en-US"/>
              </w:rPr>
              <w:t>nhumare cadavru uman</w:t>
            </w:r>
          </w:p>
        </w:tc>
        <w:tc>
          <w:tcPr>
            <w:tcW w:w="2274" w:type="dxa"/>
            <w:tcBorders>
              <w:top w:val="single" w:sz="4" w:space="0" w:color="auto"/>
              <w:left w:val="single" w:sz="4" w:space="0" w:color="auto"/>
              <w:bottom w:val="single" w:sz="4" w:space="0" w:color="auto"/>
              <w:right w:val="single" w:sz="4" w:space="0" w:color="auto"/>
            </w:tcBorders>
          </w:tcPr>
          <w:p w:rsidR="00976FB1" w:rsidRPr="00133324" w:rsidRDefault="00133324" w:rsidP="00A77970">
            <w:pPr>
              <w:jc w:val="right"/>
              <w:rPr>
                <w:lang w:val="pt-BR" w:eastAsia="en-US"/>
              </w:rPr>
            </w:pPr>
            <w:r w:rsidRPr="00133324">
              <w:rPr>
                <w:lang w:val="pt-BR" w:eastAsia="en-US"/>
              </w:rPr>
              <w:t>40</w:t>
            </w:r>
          </w:p>
        </w:tc>
      </w:tr>
      <w:tr w:rsidR="00133324" w:rsidRPr="00133324" w:rsidTr="00062D78">
        <w:trPr>
          <w:jc w:val="center"/>
        </w:trPr>
        <w:tc>
          <w:tcPr>
            <w:tcW w:w="6588" w:type="dxa"/>
            <w:tcBorders>
              <w:top w:val="single" w:sz="4" w:space="0" w:color="auto"/>
              <w:left w:val="single" w:sz="4" w:space="0" w:color="auto"/>
              <w:bottom w:val="single" w:sz="4" w:space="0" w:color="auto"/>
              <w:right w:val="single" w:sz="4" w:space="0" w:color="auto"/>
            </w:tcBorders>
          </w:tcPr>
          <w:p w:rsidR="00133324" w:rsidRPr="00133324" w:rsidRDefault="00133324" w:rsidP="00A77970">
            <w:pPr>
              <w:jc w:val="both"/>
              <w:rPr>
                <w:lang w:val="pt-BR" w:eastAsia="en-US"/>
              </w:rPr>
            </w:pPr>
            <w:r w:rsidRPr="00133324">
              <w:rPr>
                <w:lang w:val="pt-BR" w:eastAsia="en-US"/>
              </w:rPr>
              <w:t>Nr. actiuni de dezinfectie in colectivitati de copii</w:t>
            </w:r>
          </w:p>
        </w:tc>
        <w:tc>
          <w:tcPr>
            <w:tcW w:w="2274" w:type="dxa"/>
            <w:tcBorders>
              <w:top w:val="single" w:sz="4" w:space="0" w:color="auto"/>
              <w:left w:val="single" w:sz="4" w:space="0" w:color="auto"/>
              <w:bottom w:val="single" w:sz="4" w:space="0" w:color="auto"/>
              <w:right w:val="single" w:sz="4" w:space="0" w:color="auto"/>
            </w:tcBorders>
          </w:tcPr>
          <w:p w:rsidR="00133324" w:rsidRPr="00133324" w:rsidRDefault="00133324" w:rsidP="00A77970">
            <w:pPr>
              <w:jc w:val="right"/>
              <w:rPr>
                <w:lang w:val="pt-BR" w:eastAsia="en-US"/>
              </w:rPr>
            </w:pPr>
            <w:r w:rsidRPr="00133324">
              <w:rPr>
                <w:lang w:val="pt-BR" w:eastAsia="en-US"/>
              </w:rPr>
              <w:t>1</w:t>
            </w:r>
          </w:p>
        </w:tc>
      </w:tr>
      <w:tr w:rsidR="00133324" w:rsidRPr="00133324" w:rsidTr="00062D78">
        <w:trPr>
          <w:jc w:val="center"/>
        </w:trPr>
        <w:tc>
          <w:tcPr>
            <w:tcW w:w="6588" w:type="dxa"/>
            <w:tcBorders>
              <w:top w:val="single" w:sz="4" w:space="0" w:color="auto"/>
              <w:left w:val="single" w:sz="4" w:space="0" w:color="auto"/>
              <w:bottom w:val="single" w:sz="4" w:space="0" w:color="auto"/>
              <w:right w:val="single" w:sz="4" w:space="0" w:color="auto"/>
            </w:tcBorders>
          </w:tcPr>
          <w:p w:rsidR="00133324" w:rsidRPr="00133324" w:rsidRDefault="00133324" w:rsidP="00A77970">
            <w:pPr>
              <w:jc w:val="both"/>
              <w:rPr>
                <w:lang w:val="pt-BR" w:eastAsia="en-US"/>
              </w:rPr>
            </w:pPr>
            <w:r w:rsidRPr="00133324">
              <w:rPr>
                <w:lang w:val="pt-BR" w:eastAsia="en-US"/>
              </w:rPr>
              <w:t>Nr. eliberari de avize de transport cadavru uman</w:t>
            </w:r>
          </w:p>
        </w:tc>
        <w:tc>
          <w:tcPr>
            <w:tcW w:w="2274" w:type="dxa"/>
            <w:tcBorders>
              <w:top w:val="single" w:sz="4" w:space="0" w:color="auto"/>
              <w:left w:val="single" w:sz="4" w:space="0" w:color="auto"/>
              <w:bottom w:val="single" w:sz="4" w:space="0" w:color="auto"/>
              <w:right w:val="single" w:sz="4" w:space="0" w:color="auto"/>
            </w:tcBorders>
          </w:tcPr>
          <w:p w:rsidR="00133324" w:rsidRPr="00133324" w:rsidRDefault="00133324" w:rsidP="00A77970">
            <w:pPr>
              <w:jc w:val="right"/>
              <w:rPr>
                <w:lang w:val="pt-BR" w:eastAsia="en-US"/>
              </w:rPr>
            </w:pPr>
            <w:r w:rsidRPr="00133324">
              <w:rPr>
                <w:lang w:val="pt-BR" w:eastAsia="en-US"/>
              </w:rPr>
              <w:t>141</w:t>
            </w:r>
          </w:p>
        </w:tc>
      </w:tr>
    </w:tbl>
    <w:p w:rsidR="00133324" w:rsidRPr="00133324" w:rsidRDefault="00952E2A" w:rsidP="00A77970">
      <w:pPr>
        <w:jc w:val="both"/>
        <w:rPr>
          <w:b/>
          <w:lang w:val="it-IT" w:eastAsia="en-US"/>
        </w:rPr>
      </w:pPr>
      <w:r w:rsidRPr="00133324">
        <w:rPr>
          <w:b/>
          <w:lang w:val="it-IT" w:eastAsia="en-US"/>
        </w:rPr>
        <w:t xml:space="preserve">  </w:t>
      </w:r>
      <w:r w:rsidRPr="00133324">
        <w:rPr>
          <w:b/>
          <w:lang w:val="it-IT" w:eastAsia="en-US"/>
        </w:rPr>
        <w:tab/>
      </w:r>
    </w:p>
    <w:p w:rsidR="00952E2A" w:rsidRPr="00133324" w:rsidRDefault="00133324" w:rsidP="00A77970">
      <w:pPr>
        <w:jc w:val="both"/>
        <w:rPr>
          <w:b/>
          <w:u w:val="single"/>
          <w:lang w:val="it-IT" w:eastAsia="en-US"/>
        </w:rPr>
      </w:pPr>
      <w:r w:rsidRPr="00133324">
        <w:rPr>
          <w:b/>
          <w:lang w:val="it-IT" w:eastAsia="en-US"/>
        </w:rPr>
        <w:lastRenderedPageBreak/>
        <w:tab/>
      </w:r>
      <w:r w:rsidR="00952E2A" w:rsidRPr="00133324">
        <w:rPr>
          <w:b/>
          <w:u w:val="single"/>
          <w:lang w:val="it-IT" w:eastAsia="en-US"/>
        </w:rPr>
        <w:t xml:space="preserve">Activitatea de autorizare / avizare sanitară și consultanță în acest domeniu </w:t>
      </w:r>
    </w:p>
    <w:p w:rsidR="00952E2A" w:rsidRPr="00133324" w:rsidRDefault="00952E2A" w:rsidP="00A77970">
      <w:pPr>
        <w:jc w:val="both"/>
        <w:rPr>
          <w:lang w:val="it-IT" w:eastAsia="en-US"/>
        </w:rPr>
      </w:pPr>
      <w:r w:rsidRPr="00133324">
        <w:rPr>
          <w:lang w:val="it-IT" w:eastAsia="en-US"/>
        </w:rPr>
        <w:t xml:space="preserve">  </w:t>
      </w:r>
      <w:r w:rsidRPr="00133324">
        <w:rPr>
          <w:lang w:val="it-IT" w:eastAsia="en-US"/>
        </w:rPr>
        <w:tab/>
        <w:t>Compartimentul de supraveghere / control BT participă la activitatea instituției de autorizare și avizare sanitară a unităților sanitare. Activitatea de autorizare, avizare și consultanță în domeniu în anul 201</w:t>
      </w:r>
      <w:r w:rsidR="00133324" w:rsidRPr="00133324">
        <w:rPr>
          <w:lang w:val="it-IT" w:eastAsia="en-US"/>
        </w:rPr>
        <w:t>8</w:t>
      </w:r>
      <w:r w:rsidRPr="00133324">
        <w:rPr>
          <w:lang w:val="it-IT" w:eastAsia="en-US"/>
        </w:rPr>
        <w:t xml:space="preserve">  este redată în tabelul următor:  </w:t>
      </w:r>
    </w:p>
    <w:p w:rsidR="00062D78" w:rsidRPr="00133324" w:rsidRDefault="00952E2A" w:rsidP="00A77970">
      <w:pPr>
        <w:jc w:val="both"/>
        <w:rPr>
          <w:lang w:val="it-IT" w:eastAsia="en-US"/>
        </w:rPr>
      </w:pPr>
      <w:r w:rsidRPr="00133324">
        <w:rPr>
          <w:b/>
          <w:lang w:val="it-IT" w:eastAsia="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7735"/>
        <w:gridCol w:w="1559"/>
      </w:tblGrid>
      <w:tr w:rsidR="00976FB1" w:rsidRPr="00133324" w:rsidTr="00952E2A">
        <w:trPr>
          <w:jc w:val="center"/>
        </w:trPr>
        <w:tc>
          <w:tcPr>
            <w:tcW w:w="7735" w:type="dxa"/>
            <w:tcBorders>
              <w:bottom w:val="single" w:sz="18" w:space="0" w:color="auto"/>
            </w:tcBorders>
            <w:shd w:val="clear" w:color="auto" w:fill="FFFFFF"/>
          </w:tcPr>
          <w:p w:rsidR="00976FB1" w:rsidRPr="00133324" w:rsidRDefault="00976FB1" w:rsidP="00A77970">
            <w:pPr>
              <w:jc w:val="both"/>
              <w:rPr>
                <w:b/>
                <w:lang w:eastAsia="en-US"/>
              </w:rPr>
            </w:pPr>
            <w:r w:rsidRPr="00133324">
              <w:rPr>
                <w:b/>
                <w:lang w:eastAsia="en-US"/>
              </w:rPr>
              <w:t>Denumire activitate</w:t>
            </w:r>
          </w:p>
        </w:tc>
        <w:tc>
          <w:tcPr>
            <w:tcW w:w="1559" w:type="dxa"/>
            <w:tcBorders>
              <w:bottom w:val="single" w:sz="18" w:space="0" w:color="auto"/>
            </w:tcBorders>
            <w:shd w:val="clear" w:color="auto" w:fill="FFFFFF"/>
          </w:tcPr>
          <w:p w:rsidR="00976FB1" w:rsidRPr="00133324" w:rsidRDefault="00CE7644" w:rsidP="00A77970">
            <w:pPr>
              <w:jc w:val="both"/>
              <w:rPr>
                <w:b/>
                <w:lang w:val="it-IT" w:eastAsia="en-US"/>
              </w:rPr>
            </w:pPr>
            <w:r w:rsidRPr="00133324">
              <w:rPr>
                <w:b/>
                <w:lang w:val="it-IT" w:eastAsia="en-US"/>
              </w:rPr>
              <w:t>Nr.</w:t>
            </w:r>
            <w:r w:rsidR="00976FB1" w:rsidRPr="00133324">
              <w:rPr>
                <w:b/>
                <w:lang w:val="it-IT" w:eastAsia="en-US"/>
              </w:rPr>
              <w:t xml:space="preserve"> </w:t>
            </w:r>
            <w:r w:rsidR="00B35833" w:rsidRPr="00133324">
              <w:rPr>
                <w:b/>
                <w:lang w:val="it-IT" w:eastAsia="en-US"/>
              </w:rPr>
              <w:t>a</w:t>
            </w:r>
            <w:r w:rsidR="00976FB1" w:rsidRPr="00133324">
              <w:rPr>
                <w:b/>
                <w:lang w:val="it-IT" w:eastAsia="en-US"/>
              </w:rPr>
              <w:t>ctivit</w:t>
            </w:r>
            <w:r w:rsidR="00B35833" w:rsidRPr="00133324">
              <w:rPr>
                <w:b/>
                <w:lang w:val="it-IT" w:eastAsia="en-US"/>
              </w:rPr>
              <w:t>ăț</w:t>
            </w:r>
            <w:r w:rsidR="00976FB1" w:rsidRPr="00133324">
              <w:rPr>
                <w:b/>
                <w:lang w:val="it-IT" w:eastAsia="en-US"/>
              </w:rPr>
              <w:t>i</w:t>
            </w:r>
          </w:p>
        </w:tc>
      </w:tr>
      <w:tr w:rsidR="00133324" w:rsidRPr="00133324" w:rsidTr="00133324">
        <w:trPr>
          <w:jc w:val="center"/>
        </w:trPr>
        <w:tc>
          <w:tcPr>
            <w:tcW w:w="7735" w:type="dxa"/>
            <w:tcBorders>
              <w:top w:val="single" w:sz="18" w:space="0" w:color="auto"/>
            </w:tcBorders>
            <w:shd w:val="clear" w:color="auto" w:fill="FFFFFF"/>
          </w:tcPr>
          <w:p w:rsidR="00133324" w:rsidRPr="00133324" w:rsidRDefault="00133324" w:rsidP="001C00F8">
            <w:pPr>
              <w:rPr>
                <w:lang w:val="it-IT"/>
              </w:rPr>
            </w:pPr>
            <w:r w:rsidRPr="00133324">
              <w:rPr>
                <w:lang w:val="it-IT"/>
              </w:rPr>
              <w:t>Efectuare Asistenta de specialitate</w:t>
            </w:r>
          </w:p>
        </w:tc>
        <w:tc>
          <w:tcPr>
            <w:tcW w:w="1559" w:type="dxa"/>
            <w:tcBorders>
              <w:top w:val="single" w:sz="18" w:space="0" w:color="auto"/>
            </w:tcBorders>
            <w:shd w:val="clear" w:color="auto" w:fill="FFFFFF"/>
            <w:vAlign w:val="center"/>
          </w:tcPr>
          <w:p w:rsidR="00133324" w:rsidRPr="00133324" w:rsidRDefault="00133324" w:rsidP="00133324">
            <w:pPr>
              <w:jc w:val="center"/>
              <w:rPr>
                <w:lang w:val="it-IT"/>
              </w:rPr>
            </w:pPr>
            <w:r w:rsidRPr="00133324">
              <w:rPr>
                <w:lang w:val="it-IT"/>
              </w:rPr>
              <w:t>887</w:t>
            </w:r>
          </w:p>
        </w:tc>
      </w:tr>
      <w:tr w:rsidR="00133324" w:rsidRPr="00133324" w:rsidTr="00133324">
        <w:trPr>
          <w:jc w:val="center"/>
        </w:trPr>
        <w:tc>
          <w:tcPr>
            <w:tcW w:w="7735" w:type="dxa"/>
            <w:shd w:val="clear" w:color="auto" w:fill="FFFFFF"/>
          </w:tcPr>
          <w:p w:rsidR="00133324" w:rsidRPr="00133324" w:rsidRDefault="00133324" w:rsidP="001C00F8">
            <w:pPr>
              <w:rPr>
                <w:lang w:val="it-IT"/>
              </w:rPr>
            </w:pPr>
            <w:r w:rsidRPr="00133324">
              <w:rPr>
                <w:lang w:val="it-IT"/>
              </w:rPr>
              <w:t>Eliberare Autorizatie sanitara de functionare (ASF)</w:t>
            </w:r>
          </w:p>
        </w:tc>
        <w:tc>
          <w:tcPr>
            <w:tcW w:w="1559" w:type="dxa"/>
            <w:shd w:val="clear" w:color="auto" w:fill="FFFFFF"/>
            <w:vAlign w:val="center"/>
          </w:tcPr>
          <w:p w:rsidR="00133324" w:rsidRPr="00133324" w:rsidRDefault="00133324" w:rsidP="00133324">
            <w:pPr>
              <w:jc w:val="center"/>
              <w:rPr>
                <w:lang w:val="it-IT"/>
              </w:rPr>
            </w:pPr>
            <w:r w:rsidRPr="00133324">
              <w:rPr>
                <w:lang w:val="it-IT"/>
              </w:rPr>
              <w:t>755</w:t>
            </w:r>
          </w:p>
        </w:tc>
      </w:tr>
      <w:tr w:rsidR="00133324" w:rsidRPr="00133324" w:rsidTr="00133324">
        <w:trPr>
          <w:jc w:val="center"/>
        </w:trPr>
        <w:tc>
          <w:tcPr>
            <w:tcW w:w="7735" w:type="dxa"/>
            <w:shd w:val="clear" w:color="auto" w:fill="FFFFFF"/>
          </w:tcPr>
          <w:p w:rsidR="00133324" w:rsidRPr="00133324" w:rsidRDefault="00133324" w:rsidP="001C00F8">
            <w:pPr>
              <w:rPr>
                <w:lang w:val="it-IT"/>
              </w:rPr>
            </w:pPr>
            <w:r w:rsidRPr="00133324">
              <w:rPr>
                <w:lang w:val="it-IT"/>
              </w:rPr>
              <w:t>Eliberare de vize anuale ASF</w:t>
            </w:r>
          </w:p>
        </w:tc>
        <w:tc>
          <w:tcPr>
            <w:tcW w:w="1559" w:type="dxa"/>
            <w:shd w:val="clear" w:color="auto" w:fill="FFFFFF"/>
            <w:vAlign w:val="center"/>
          </w:tcPr>
          <w:p w:rsidR="00133324" w:rsidRPr="00133324" w:rsidRDefault="00133324" w:rsidP="00133324">
            <w:pPr>
              <w:jc w:val="center"/>
              <w:rPr>
                <w:lang w:val="it-IT"/>
              </w:rPr>
            </w:pPr>
            <w:r w:rsidRPr="00133324">
              <w:rPr>
                <w:lang w:val="it-IT"/>
              </w:rPr>
              <w:t>36</w:t>
            </w:r>
          </w:p>
        </w:tc>
      </w:tr>
      <w:tr w:rsidR="00133324" w:rsidRPr="00133324" w:rsidTr="00133324">
        <w:trPr>
          <w:jc w:val="center"/>
        </w:trPr>
        <w:tc>
          <w:tcPr>
            <w:tcW w:w="7735" w:type="dxa"/>
            <w:shd w:val="clear" w:color="auto" w:fill="FFFFFF"/>
          </w:tcPr>
          <w:p w:rsidR="00133324" w:rsidRPr="00133324" w:rsidRDefault="00133324" w:rsidP="001C00F8">
            <w:pPr>
              <w:rPr>
                <w:lang w:val="it-IT"/>
              </w:rPr>
            </w:pPr>
            <w:r w:rsidRPr="00133324">
              <w:rPr>
                <w:lang w:val="it-IT"/>
              </w:rPr>
              <w:t xml:space="preserve">Eliberare ASF unitati sanitare sanguine </w:t>
            </w:r>
          </w:p>
        </w:tc>
        <w:tc>
          <w:tcPr>
            <w:tcW w:w="1559" w:type="dxa"/>
            <w:shd w:val="clear" w:color="auto" w:fill="FFFFFF"/>
            <w:vAlign w:val="center"/>
          </w:tcPr>
          <w:p w:rsidR="00133324" w:rsidRPr="00133324" w:rsidRDefault="00133324" w:rsidP="00133324">
            <w:pPr>
              <w:jc w:val="center"/>
              <w:rPr>
                <w:lang w:val="it-IT"/>
              </w:rPr>
            </w:pPr>
            <w:r w:rsidRPr="00133324">
              <w:rPr>
                <w:lang w:val="it-IT"/>
              </w:rPr>
              <w:t>4</w:t>
            </w:r>
          </w:p>
        </w:tc>
      </w:tr>
      <w:tr w:rsidR="00133324" w:rsidRPr="00133324" w:rsidTr="00133324">
        <w:trPr>
          <w:jc w:val="center"/>
        </w:trPr>
        <w:tc>
          <w:tcPr>
            <w:tcW w:w="7735" w:type="dxa"/>
            <w:shd w:val="clear" w:color="auto" w:fill="FFFFFF"/>
          </w:tcPr>
          <w:p w:rsidR="00133324" w:rsidRPr="00133324" w:rsidRDefault="00133324" w:rsidP="001C00F8">
            <w:pPr>
              <w:rPr>
                <w:lang w:val="it-IT"/>
              </w:rPr>
            </w:pPr>
            <w:r w:rsidRPr="00133324">
              <w:rPr>
                <w:lang w:val="it-IT"/>
              </w:rPr>
              <w:t>Acordare de consultanta</w:t>
            </w:r>
          </w:p>
        </w:tc>
        <w:tc>
          <w:tcPr>
            <w:tcW w:w="1559" w:type="dxa"/>
            <w:shd w:val="clear" w:color="auto" w:fill="FFFFFF"/>
            <w:vAlign w:val="center"/>
          </w:tcPr>
          <w:p w:rsidR="00133324" w:rsidRPr="00133324" w:rsidRDefault="00133324" w:rsidP="00133324">
            <w:pPr>
              <w:jc w:val="center"/>
              <w:rPr>
                <w:lang w:val="it-IT"/>
              </w:rPr>
            </w:pPr>
            <w:r w:rsidRPr="00133324">
              <w:rPr>
                <w:lang w:val="it-IT"/>
              </w:rPr>
              <w:t>28</w:t>
            </w:r>
          </w:p>
        </w:tc>
      </w:tr>
      <w:tr w:rsidR="00133324" w:rsidRPr="00133324" w:rsidTr="00133324">
        <w:trPr>
          <w:jc w:val="center"/>
        </w:trPr>
        <w:tc>
          <w:tcPr>
            <w:tcW w:w="7735" w:type="dxa"/>
            <w:shd w:val="clear" w:color="auto" w:fill="FFFFFF"/>
          </w:tcPr>
          <w:p w:rsidR="00133324" w:rsidRPr="00133324" w:rsidRDefault="00133324" w:rsidP="001C00F8">
            <w:pPr>
              <w:rPr>
                <w:lang w:val="it-IT"/>
              </w:rPr>
            </w:pPr>
            <w:r w:rsidRPr="00133324">
              <w:rPr>
                <w:lang w:val="it-IT"/>
              </w:rPr>
              <w:t xml:space="preserve">Certificarea conformitatii </w:t>
            </w:r>
          </w:p>
        </w:tc>
        <w:tc>
          <w:tcPr>
            <w:tcW w:w="1559" w:type="dxa"/>
            <w:shd w:val="clear" w:color="auto" w:fill="FFFFFF"/>
            <w:vAlign w:val="center"/>
          </w:tcPr>
          <w:p w:rsidR="00133324" w:rsidRPr="00133324" w:rsidRDefault="00133324" w:rsidP="00133324">
            <w:pPr>
              <w:jc w:val="center"/>
              <w:rPr>
                <w:lang w:val="it-IT"/>
              </w:rPr>
            </w:pPr>
            <w:r w:rsidRPr="00133324">
              <w:rPr>
                <w:lang w:val="it-IT"/>
              </w:rPr>
              <w:t>11</w:t>
            </w:r>
          </w:p>
        </w:tc>
      </w:tr>
      <w:tr w:rsidR="00133324" w:rsidRPr="00133324" w:rsidTr="00133324">
        <w:trPr>
          <w:jc w:val="center"/>
        </w:trPr>
        <w:tc>
          <w:tcPr>
            <w:tcW w:w="7735" w:type="dxa"/>
            <w:shd w:val="clear" w:color="auto" w:fill="FFFFFF"/>
          </w:tcPr>
          <w:p w:rsidR="00133324" w:rsidRPr="00133324" w:rsidRDefault="00133324" w:rsidP="001C00F8">
            <w:pPr>
              <w:rPr>
                <w:lang w:val="it-IT"/>
              </w:rPr>
            </w:pPr>
            <w:r w:rsidRPr="00133324">
              <w:rPr>
                <w:lang w:val="it-IT"/>
              </w:rPr>
              <w:t xml:space="preserve">Nerezolvate </w:t>
            </w:r>
          </w:p>
        </w:tc>
        <w:tc>
          <w:tcPr>
            <w:tcW w:w="1559" w:type="dxa"/>
            <w:shd w:val="clear" w:color="auto" w:fill="FFFFFF"/>
            <w:vAlign w:val="center"/>
          </w:tcPr>
          <w:p w:rsidR="00133324" w:rsidRPr="00133324" w:rsidRDefault="00133324" w:rsidP="00133324">
            <w:pPr>
              <w:jc w:val="center"/>
              <w:rPr>
                <w:lang w:val="it-IT"/>
              </w:rPr>
            </w:pPr>
            <w:r w:rsidRPr="00133324">
              <w:rPr>
                <w:lang w:val="it-IT"/>
              </w:rPr>
              <w:t>363</w:t>
            </w:r>
          </w:p>
        </w:tc>
      </w:tr>
    </w:tbl>
    <w:p w:rsidR="00952E2A" w:rsidRPr="00133324" w:rsidRDefault="00062D78" w:rsidP="00A77970">
      <w:pPr>
        <w:jc w:val="both"/>
        <w:rPr>
          <w:b/>
          <w:lang w:bidi="en-US"/>
        </w:rPr>
      </w:pPr>
      <w:r w:rsidRPr="00133324">
        <w:rPr>
          <w:b/>
          <w:lang w:bidi="en-US"/>
        </w:rPr>
        <w:tab/>
      </w:r>
    </w:p>
    <w:p w:rsidR="00952E2A" w:rsidRPr="00133324" w:rsidRDefault="00952E2A" w:rsidP="00A77970">
      <w:pPr>
        <w:ind w:right="42"/>
        <w:jc w:val="both"/>
        <w:rPr>
          <w:b/>
          <w:lang w:bidi="en-US"/>
        </w:rPr>
      </w:pPr>
      <w:r w:rsidRPr="00133324">
        <w:rPr>
          <w:b/>
          <w:lang w:bidi="en-US"/>
        </w:rPr>
        <w:tab/>
        <w:t xml:space="preserve">Supravegerea calității apei potabile distribuite în sistem centralizat în zonele de aprovizionare mari  </w:t>
      </w:r>
    </w:p>
    <w:p w:rsidR="00952E2A" w:rsidRPr="00133324" w:rsidRDefault="00952E2A" w:rsidP="00A77970">
      <w:pPr>
        <w:ind w:right="42"/>
        <w:jc w:val="both"/>
        <w:rPr>
          <w:lang w:bidi="en-US"/>
        </w:rPr>
      </w:pPr>
      <w:r w:rsidRPr="00133324">
        <w:rPr>
          <w:b/>
          <w:lang w:bidi="en-US"/>
        </w:rPr>
        <w:t xml:space="preserve">     </w:t>
      </w:r>
      <w:r w:rsidRPr="00133324">
        <w:rPr>
          <w:b/>
          <w:lang w:bidi="en-US"/>
        </w:rPr>
        <w:tab/>
      </w:r>
      <w:r w:rsidRPr="00133324">
        <w:rPr>
          <w:lang w:bidi="en-US"/>
        </w:rPr>
        <w:t xml:space="preserve">În conformitate cu prevederile HGR. 974/2004 cu modificările și completările ulterioare-Norme de supraveghere, inspecție sanitară și monitorizare a calității apei potabile, s-a efectuat monitorizarea de audit  a calității apei potabile distribuite în municipiul București de către SC Apa Nova SA. </w:t>
      </w:r>
    </w:p>
    <w:p w:rsidR="00952E2A" w:rsidRPr="00133324" w:rsidRDefault="00952E2A" w:rsidP="00A77970">
      <w:pPr>
        <w:ind w:right="42"/>
        <w:jc w:val="both"/>
        <w:rPr>
          <w:lang w:bidi="en-US"/>
        </w:rPr>
      </w:pPr>
      <w:r w:rsidRPr="00133324">
        <w:rPr>
          <w:lang w:bidi="en-US"/>
        </w:rPr>
        <w:t xml:space="preserve">  </w:t>
      </w:r>
    </w:p>
    <w:p w:rsidR="00952E2A" w:rsidRPr="00133324" w:rsidRDefault="00952E2A" w:rsidP="00A77970">
      <w:pPr>
        <w:ind w:right="42"/>
        <w:jc w:val="both"/>
        <w:rPr>
          <w:lang w:bidi="en-US"/>
        </w:rPr>
      </w:pPr>
      <w:r w:rsidRPr="00133324">
        <w:rPr>
          <w:lang w:bidi="en-US"/>
        </w:rPr>
        <w:tab/>
        <w:t xml:space="preserve">Au fost monitorizate cele două surse, autorizate, de apă captată pentru potabilizare în sistemul centralizat de apă potabilă:   </w:t>
      </w:r>
    </w:p>
    <w:p w:rsidR="00952E2A" w:rsidRPr="00133324" w:rsidRDefault="00952E2A" w:rsidP="00A77970">
      <w:pPr>
        <w:ind w:right="42"/>
        <w:jc w:val="both"/>
        <w:rPr>
          <w:lang w:bidi="en-US"/>
        </w:rPr>
      </w:pPr>
      <w:r w:rsidRPr="00133324">
        <w:rPr>
          <w:lang w:bidi="en-US"/>
        </w:rPr>
        <w:tab/>
        <w:t xml:space="preserve">1. Râul Dâmbovița, prin stația de tratare Arcuda </w:t>
      </w:r>
    </w:p>
    <w:p w:rsidR="00952E2A" w:rsidRPr="00133324" w:rsidRDefault="00952E2A" w:rsidP="00A77970">
      <w:pPr>
        <w:ind w:right="42"/>
        <w:jc w:val="both"/>
        <w:rPr>
          <w:lang w:bidi="en-US"/>
        </w:rPr>
      </w:pPr>
      <w:r w:rsidRPr="00133324">
        <w:rPr>
          <w:lang w:bidi="en-US"/>
        </w:rPr>
        <w:tab/>
        <w:t xml:space="preserve">2. Râul Argeș, prin stațiile de tratare Roșu și Crivină  </w:t>
      </w:r>
    </w:p>
    <w:p w:rsidR="00952E2A" w:rsidRPr="00133324" w:rsidRDefault="00952E2A" w:rsidP="00A77970">
      <w:pPr>
        <w:ind w:right="42"/>
        <w:jc w:val="both"/>
        <w:rPr>
          <w:lang w:bidi="en-US"/>
        </w:rPr>
      </w:pPr>
      <w:r w:rsidRPr="00133324">
        <w:rPr>
          <w:lang w:bidi="en-US"/>
        </w:rPr>
        <w:t xml:space="preserve">  </w:t>
      </w:r>
    </w:p>
    <w:p w:rsidR="00B35833" w:rsidRPr="00133324" w:rsidRDefault="00952E2A" w:rsidP="00A77970">
      <w:pPr>
        <w:ind w:right="42"/>
        <w:jc w:val="both"/>
        <w:rPr>
          <w:lang w:bidi="en-US"/>
        </w:rPr>
      </w:pPr>
      <w:r w:rsidRPr="00133324">
        <w:rPr>
          <w:lang w:bidi="en-US"/>
        </w:rPr>
        <w:tab/>
        <w:t xml:space="preserve">La nivelul rețelei de distribuție a Municipiul București, s-au fixat împreună cu reprezentanții producătorului/distribuitorului de apă potabilă, în funcție de volumul de apă produs și dat spre consum, 49 puncte fixe de recoltare și analizare a calității apei distribuite consumatorilor (răspândite uniform pe toată suprafața capitalei, fiind ușor accesibile, plasate în zone publice cu acces liber). Orice modificare a compoziției apei potabile, față de normele stabilite prin legislația în vigoare – Legea nr. 458/2002  cu modificările  și completările ulterioare, poate constitui un risc asupra sănătății celor ce o consumă sau o folosesc și de aceea pentru prevenirea îmbolnăvirilor datorate unei (eventuale) încărcături bacteriologice, s-a urmărit prezența clorului rezidual liber în apa prelucrată și distribuită consumatorilor, acesta fiind un element care atestă efectuarea dezinfecției apei și un element de rezervă pentru a acționa la nevoie pe traseul rețelei de distribuție.  </w:t>
      </w:r>
    </w:p>
    <w:p w:rsidR="00952E2A" w:rsidRPr="00133324" w:rsidRDefault="00B35833" w:rsidP="00A77970">
      <w:pPr>
        <w:ind w:right="42"/>
        <w:jc w:val="both"/>
        <w:rPr>
          <w:lang w:bidi="en-US"/>
        </w:rPr>
      </w:pPr>
      <w:r w:rsidRPr="00133324">
        <w:rPr>
          <w:lang w:bidi="en-US"/>
        </w:rPr>
        <w:tab/>
      </w:r>
      <w:r w:rsidR="00952E2A" w:rsidRPr="00133324">
        <w:rPr>
          <w:lang w:bidi="en-US"/>
        </w:rPr>
        <w:t xml:space="preserve">S-a urmărit de asemenea modificarea parametrilor organoleptici, fizico-chimici și  bacteriologici. </w:t>
      </w:r>
    </w:p>
    <w:p w:rsidR="00952E2A" w:rsidRPr="00133324" w:rsidRDefault="00B35833" w:rsidP="00A77970">
      <w:pPr>
        <w:ind w:right="42"/>
        <w:jc w:val="both"/>
        <w:rPr>
          <w:lang w:bidi="en-US"/>
        </w:rPr>
      </w:pPr>
      <w:r w:rsidRPr="00133324">
        <w:rPr>
          <w:lang w:bidi="en-US"/>
        </w:rPr>
        <w:tab/>
      </w:r>
      <w:r w:rsidR="00952E2A" w:rsidRPr="00133324">
        <w:rPr>
          <w:lang w:bidi="en-US"/>
        </w:rPr>
        <w:t xml:space="preserve">Prezența clorului în apa potabilă este considerată ca un “anticorp” în sistemul de distribuție, oferind un oarecare grad de protecție împotrivă germenilor patogeni care ar putea ajunge ocazional în rețea și de aici  la consumator. </w:t>
      </w:r>
    </w:p>
    <w:p w:rsidR="00BE187D" w:rsidRPr="00133324" w:rsidRDefault="00B35833" w:rsidP="00A77970">
      <w:pPr>
        <w:ind w:right="42"/>
        <w:jc w:val="both"/>
        <w:rPr>
          <w:lang w:bidi="en-US"/>
        </w:rPr>
      </w:pPr>
      <w:r w:rsidRPr="00133324">
        <w:rPr>
          <w:lang w:bidi="en-US"/>
        </w:rPr>
        <w:tab/>
      </w:r>
      <w:r w:rsidR="00952E2A" w:rsidRPr="00133324">
        <w:rPr>
          <w:lang w:bidi="en-US"/>
        </w:rPr>
        <w:t xml:space="preserve">Probele de apă recoltate la stațiile de tratare și la punctele fixe ale rețelei orașului au demonstrat potabilitatea apei distribuite populației din București.  </w:t>
      </w:r>
    </w:p>
    <w:p w:rsidR="00976FB1" w:rsidRPr="00306F64" w:rsidRDefault="00133324" w:rsidP="00A77970">
      <w:pPr>
        <w:jc w:val="both"/>
        <w:rPr>
          <w:highlight w:val="yellow"/>
          <w:lang w:eastAsia="en-US"/>
        </w:rPr>
      </w:pPr>
      <w:r>
        <w:rPr>
          <w:lang w:bidi="en-US"/>
        </w:rPr>
        <w:tab/>
      </w:r>
      <w:r w:rsidRPr="00133324">
        <w:rPr>
          <w:lang w:bidi="en-US"/>
        </w:rPr>
        <w:t>Probele de apă recoltate în anul 2018 la stațiile de tratare (134 probe) și la punctele fixe ale rețelei orașului (1996 probe) au demonstrat potabilitatea apei distribuite populației de către SC APA NOVA BUCURESTI SA.</w:t>
      </w:r>
    </w:p>
    <w:p w:rsidR="00976FB1" w:rsidRPr="00306F64" w:rsidRDefault="00976FB1" w:rsidP="00A77970">
      <w:pPr>
        <w:ind w:left="180"/>
        <w:jc w:val="both"/>
        <w:rPr>
          <w:b/>
          <w:highlight w:val="yellow"/>
          <w:u w:val="single"/>
          <w:lang w:bidi="en-US"/>
        </w:rPr>
      </w:pPr>
    </w:p>
    <w:p w:rsidR="001E2B78" w:rsidRPr="001E2B78" w:rsidRDefault="001E2B78" w:rsidP="001E2B78">
      <w:pPr>
        <w:jc w:val="both"/>
        <w:rPr>
          <w:rFonts w:eastAsia="MS Mincho"/>
          <w:lang w:eastAsia="en-US"/>
        </w:rPr>
      </w:pPr>
      <w:r w:rsidRPr="001E2B78">
        <w:rPr>
          <w:rFonts w:eastAsia="MS Mincho"/>
          <w:lang w:eastAsia="en-US"/>
        </w:rPr>
        <w:tab/>
      </w:r>
      <w:r w:rsidRPr="001E2B78">
        <w:rPr>
          <w:rFonts w:eastAsia="MS Mincho"/>
          <w:b/>
          <w:lang w:eastAsia="en-US"/>
        </w:rPr>
        <w:t>Administraţia Spitalelor şi Serviciilor Medicale Bucureşti</w:t>
      </w:r>
      <w:r>
        <w:rPr>
          <w:rFonts w:eastAsia="MS Mincho"/>
          <w:lang w:eastAsia="en-US"/>
        </w:rPr>
        <w:t>,</w:t>
      </w:r>
      <w:r w:rsidRPr="001E2B78">
        <w:rPr>
          <w:rFonts w:eastAsia="MS Mincho"/>
          <w:lang w:eastAsia="en-US"/>
        </w:rPr>
        <w:t xml:space="preserve"> structură administrativă înfiinţată prin H.C.G.M.B. nr.378 din data de 09.12.2008 de către Primăria Municipiului Bucureşti, asigură organizarea, coordonarea şi funcţionarea activităţii medicale în cadrul a 19 spitale cu specialităţi medicale complexe şi coordonează reţeaua de cabinete medicale din unităţile de învăţământ.</w:t>
      </w:r>
    </w:p>
    <w:p w:rsidR="001E2B78" w:rsidRPr="001E2B78" w:rsidRDefault="001E2B78" w:rsidP="001E2B78">
      <w:pPr>
        <w:jc w:val="both"/>
        <w:rPr>
          <w:rFonts w:eastAsia="MS Mincho"/>
          <w:lang w:eastAsia="en-US"/>
        </w:rPr>
      </w:pPr>
      <w:r w:rsidRPr="001E2B78">
        <w:rPr>
          <w:rFonts w:eastAsia="MS Mincho"/>
          <w:lang w:eastAsia="en-US"/>
        </w:rPr>
        <w:lastRenderedPageBreak/>
        <w:tab/>
        <w:t>Pe parcursul anului 2018, A.S.S.M.B. şi-a canalizat resursele pentru atingerea următoarelor ţinte:</w:t>
      </w:r>
    </w:p>
    <w:p w:rsidR="001E2B78" w:rsidRPr="001E2B78" w:rsidRDefault="001E2B78" w:rsidP="001E2B78">
      <w:pPr>
        <w:jc w:val="both"/>
        <w:rPr>
          <w:rFonts w:eastAsia="MS Mincho"/>
          <w:lang w:eastAsia="en-US"/>
        </w:rPr>
      </w:pPr>
      <w:r w:rsidRPr="001E2B78">
        <w:rPr>
          <w:rFonts w:eastAsia="MS Mincho"/>
          <w:lang w:eastAsia="en-US"/>
        </w:rPr>
        <w:t>► Modernizarea ambulatoriilor de specialitate, a unităților de primiri urgențe, precum și a centrelor medicale integrate</w:t>
      </w:r>
    </w:p>
    <w:p w:rsidR="001E2B78" w:rsidRPr="001E2B78" w:rsidRDefault="001E2B78" w:rsidP="001E2B78">
      <w:pPr>
        <w:jc w:val="both"/>
        <w:rPr>
          <w:rFonts w:eastAsia="MS Mincho"/>
          <w:lang w:eastAsia="en-US"/>
        </w:rPr>
      </w:pPr>
      <w:r w:rsidRPr="001E2B78">
        <w:rPr>
          <w:rFonts w:eastAsia="MS Mincho"/>
          <w:lang w:eastAsia="en-US"/>
        </w:rPr>
        <w:t xml:space="preserve">   ● Proiect "Tehnologie revoluționară de eliminare a infecțiilor nosocomiale din spitale cu ajutorul roboților"</w:t>
      </w:r>
    </w:p>
    <w:p w:rsidR="001E2B78" w:rsidRPr="001E2B78" w:rsidRDefault="001E2B78" w:rsidP="001E2B78">
      <w:pPr>
        <w:jc w:val="both"/>
        <w:rPr>
          <w:rFonts w:eastAsia="MS Mincho"/>
          <w:lang w:eastAsia="en-US"/>
        </w:rPr>
      </w:pPr>
      <w:r w:rsidRPr="001E2B78">
        <w:rPr>
          <w:rFonts w:eastAsia="MS Mincho"/>
          <w:lang w:eastAsia="en-US"/>
        </w:rPr>
        <w:t>Proiectul a fost aprobat prin H.C.G.M.B. nr.306/14.06.2018. Durată proiect 1 iulie 2018 - 31 martie 2019. Buget total: 877,877 mii lei (159.000 Euro+TVA)</w:t>
      </w:r>
    </w:p>
    <w:p w:rsidR="001E2B78" w:rsidRPr="001E2B78" w:rsidRDefault="001E2B78" w:rsidP="001E2B78">
      <w:pPr>
        <w:jc w:val="both"/>
        <w:rPr>
          <w:rFonts w:eastAsia="MS Mincho"/>
          <w:lang w:eastAsia="en-US"/>
        </w:rPr>
      </w:pPr>
      <w:r w:rsidRPr="001E2B78">
        <w:rPr>
          <w:rFonts w:eastAsia="MS Mincho"/>
          <w:lang w:eastAsia="en-US"/>
        </w:rPr>
        <w:t>Realizat 2018: achiziție echipament de eliminare a infecțiilor nosocomiale - Robotul cu lumină ultravioletă pulsată cu xenon, pentru Spitalul Clinic de Boli Infecțioase și Tropicale ”Dr. V. Babes” - 877,863 mii lei.</w:t>
      </w:r>
    </w:p>
    <w:p w:rsidR="001E2B78" w:rsidRPr="001E2B78" w:rsidRDefault="001E2B78" w:rsidP="001E2B78">
      <w:pPr>
        <w:jc w:val="both"/>
        <w:rPr>
          <w:rFonts w:eastAsia="MS Mincho"/>
          <w:lang w:eastAsia="en-US"/>
        </w:rPr>
      </w:pPr>
    </w:p>
    <w:p w:rsidR="001E2B78" w:rsidRPr="001E2B78" w:rsidRDefault="001E2B78" w:rsidP="001E2B78">
      <w:pPr>
        <w:jc w:val="both"/>
        <w:rPr>
          <w:rFonts w:eastAsia="MS Mincho"/>
          <w:lang w:eastAsia="en-US"/>
        </w:rPr>
      </w:pPr>
      <w:r w:rsidRPr="001E2B78">
        <w:rPr>
          <w:rFonts w:eastAsia="MS Mincho"/>
          <w:lang w:eastAsia="en-US"/>
        </w:rPr>
        <w:t>► Implementarea programelor profilactice pentru copii pentru toate ariile terapeutice, prin introducerea consultațiilor obligatorii pentru copii, prin rețeaua de medicină școlară sau prin cabinetele de medicină</w:t>
      </w:r>
    </w:p>
    <w:p w:rsidR="001E2B78" w:rsidRPr="001E2B78" w:rsidRDefault="001E2B78" w:rsidP="001E2B78">
      <w:pPr>
        <w:jc w:val="both"/>
        <w:rPr>
          <w:rFonts w:eastAsia="MS Mincho"/>
          <w:lang w:eastAsia="en-US"/>
        </w:rPr>
      </w:pPr>
      <w:r w:rsidRPr="001E2B78">
        <w:rPr>
          <w:rFonts w:eastAsia="MS Mincho"/>
          <w:lang w:eastAsia="en-US"/>
        </w:rPr>
        <w:t xml:space="preserve">   ● Proiect “Consultațíi stomatologice și aplicare de aparate ortodontice pentru elevii din Municipiul București”</w:t>
      </w:r>
    </w:p>
    <w:p w:rsidR="001E2B78" w:rsidRPr="001E2B78" w:rsidRDefault="001E2B78" w:rsidP="001E2B78">
      <w:pPr>
        <w:jc w:val="both"/>
        <w:rPr>
          <w:rFonts w:eastAsia="MS Mincho"/>
          <w:lang w:eastAsia="en-US"/>
        </w:rPr>
      </w:pPr>
      <w:r w:rsidRPr="001E2B78">
        <w:rPr>
          <w:rFonts w:eastAsia="MS Mincho"/>
          <w:lang w:eastAsia="en-US"/>
        </w:rPr>
        <w:t>Proiectul, aprobat prin H.C.G.M.B. nr.307/14.06.2018, prevede acordarea unui sprijin financiar cu o valoare totală de până la 1500 lei (750 lei/arcadă) pentru elevii din Municipiul București cu vârsta între 7-16 ani care primesc recomandare privind aplicarea de aparate ortodontice mobile. Durată proiect: 17 Sept. 2018 - 17 Sept. 2019. Buget total: 925,50 mii lei (1234 arcade)</w:t>
      </w:r>
    </w:p>
    <w:p w:rsidR="001E2B78" w:rsidRPr="001E2B78" w:rsidRDefault="001E2B78" w:rsidP="001E2B78">
      <w:pPr>
        <w:jc w:val="both"/>
        <w:rPr>
          <w:rFonts w:eastAsia="MS Mincho"/>
          <w:lang w:eastAsia="en-US"/>
        </w:rPr>
      </w:pPr>
      <w:r w:rsidRPr="001E2B78">
        <w:rPr>
          <w:rFonts w:eastAsia="MS Mincho"/>
          <w:lang w:eastAsia="en-US"/>
        </w:rPr>
        <w:t>-</w:t>
      </w:r>
      <w:r w:rsidRPr="001E2B78">
        <w:rPr>
          <w:rFonts w:eastAsia="MS Mincho"/>
          <w:lang w:eastAsia="en-US"/>
        </w:rPr>
        <w:tab/>
        <w:t>Număr beneficiari (elevi) cu dosare aprobate 2018: 200 elevi (360 arcade)</w:t>
      </w:r>
    </w:p>
    <w:p w:rsidR="001E2B78" w:rsidRPr="001E2B78" w:rsidRDefault="001E2B78" w:rsidP="001E2B78">
      <w:pPr>
        <w:jc w:val="both"/>
        <w:rPr>
          <w:rFonts w:eastAsia="MS Mincho"/>
          <w:lang w:eastAsia="en-US"/>
        </w:rPr>
      </w:pPr>
      <w:r w:rsidRPr="001E2B78">
        <w:rPr>
          <w:rFonts w:eastAsia="MS Mincho"/>
          <w:lang w:eastAsia="en-US"/>
        </w:rPr>
        <w:t>-</w:t>
      </w:r>
      <w:r w:rsidRPr="001E2B78">
        <w:rPr>
          <w:rFonts w:eastAsia="MS Mincho"/>
          <w:lang w:eastAsia="en-US"/>
        </w:rPr>
        <w:tab/>
        <w:t>Realizat 2018 (facturi achitate): 11,25 mii lei (15 arcade)</w:t>
      </w:r>
    </w:p>
    <w:p w:rsidR="001E2B78" w:rsidRPr="001E2B78" w:rsidRDefault="001E2B78" w:rsidP="001E2B78">
      <w:pPr>
        <w:jc w:val="both"/>
        <w:rPr>
          <w:rFonts w:eastAsia="MS Mincho"/>
          <w:lang w:eastAsia="en-US"/>
        </w:rPr>
      </w:pPr>
      <w:r w:rsidRPr="001E2B78">
        <w:rPr>
          <w:rFonts w:eastAsia="MS Mincho"/>
          <w:lang w:eastAsia="en-US"/>
        </w:rPr>
        <w:t xml:space="preserve">      -     Număr arcade aplicate in 2018: 100 arcade. </w:t>
      </w:r>
    </w:p>
    <w:p w:rsidR="001E2B78" w:rsidRPr="001E2B78" w:rsidRDefault="001E2B78" w:rsidP="001E2B78">
      <w:pPr>
        <w:jc w:val="both"/>
        <w:rPr>
          <w:rFonts w:eastAsia="MS Mincho"/>
          <w:lang w:eastAsia="en-US"/>
        </w:rPr>
      </w:pPr>
      <w:r w:rsidRPr="001E2B78">
        <w:rPr>
          <w:rFonts w:eastAsia="MS Mincho"/>
          <w:lang w:eastAsia="en-US"/>
        </w:rPr>
        <w:t xml:space="preserve">   ● Servicii medicale stomatologice gratuite pentru copiii din centrele de plasament din Municipiul București</w:t>
      </w:r>
    </w:p>
    <w:p w:rsidR="001E2B78" w:rsidRPr="001E2B78" w:rsidRDefault="001E2B78" w:rsidP="001E2B78">
      <w:pPr>
        <w:jc w:val="both"/>
        <w:rPr>
          <w:rFonts w:eastAsia="MS Mincho"/>
          <w:lang w:eastAsia="en-US"/>
        </w:rPr>
      </w:pPr>
      <w:r w:rsidRPr="001E2B78">
        <w:rPr>
          <w:rFonts w:eastAsia="MS Mincho"/>
          <w:lang w:eastAsia="en-US"/>
        </w:rPr>
        <w:t xml:space="preserve">Administrația Spitalelor și Serviciilor Medicale București a pus la dispoziția centrelor de plasament aflate în subordinea Direcțiilor Generale de Asistență Socială și Protecția Copilului din Municipiul București, servicii medicale stomatologice gratuite (consultații, tratamente) tuturor minorilor. </w:t>
      </w:r>
    </w:p>
    <w:p w:rsidR="00705F78" w:rsidRDefault="001E2B78" w:rsidP="001E2B78">
      <w:pPr>
        <w:jc w:val="both"/>
        <w:rPr>
          <w:rFonts w:eastAsia="MS Mincho"/>
          <w:lang w:eastAsia="en-US"/>
        </w:rPr>
      </w:pPr>
      <w:r w:rsidRPr="001E2B78">
        <w:rPr>
          <w:rFonts w:eastAsia="MS Mincho"/>
          <w:lang w:eastAsia="en-US"/>
        </w:rPr>
        <w:t>Aceste servicii se desfășoară în cadrul cabinetelor stomatologice din unitățile de învățământ de stat aflate în proximitatea fiecărui centru de plasament în parte.</w:t>
      </w:r>
    </w:p>
    <w:p w:rsidR="001E2B78" w:rsidRPr="00187A4E" w:rsidRDefault="001E2B78" w:rsidP="001E2B78">
      <w:pPr>
        <w:jc w:val="both"/>
      </w:pPr>
    </w:p>
    <w:p w:rsidR="005C57E2" w:rsidRDefault="005C57E2" w:rsidP="00A77970">
      <w:pPr>
        <w:pStyle w:val="ListParagraph"/>
        <w:numPr>
          <w:ilvl w:val="0"/>
          <w:numId w:val="4"/>
        </w:numPr>
        <w:jc w:val="both"/>
      </w:pPr>
      <w:r>
        <w:t>Educație</w:t>
      </w:r>
    </w:p>
    <w:p w:rsidR="007611EB" w:rsidRPr="007611EB" w:rsidRDefault="007611EB" w:rsidP="00A77970">
      <w:pPr>
        <w:jc w:val="both"/>
        <w:rPr>
          <w:b/>
        </w:rPr>
      </w:pPr>
    </w:p>
    <w:p w:rsidR="00E32EE5" w:rsidRDefault="00705F78" w:rsidP="00A77970">
      <w:pPr>
        <w:ind w:firstLine="709"/>
        <w:jc w:val="both"/>
        <w:rPr>
          <w:b/>
        </w:rPr>
      </w:pPr>
      <w:r>
        <w:rPr>
          <w:b/>
        </w:rPr>
        <w:t xml:space="preserve">Statistica învățământului preuniversitar prezentată de </w:t>
      </w:r>
      <w:r w:rsidRPr="00A95A2C">
        <w:rPr>
          <w:b/>
        </w:rPr>
        <w:t xml:space="preserve">Inspectoratul Școlar </w:t>
      </w:r>
      <w:r>
        <w:rPr>
          <w:b/>
        </w:rPr>
        <w:t>a</w:t>
      </w:r>
      <w:r w:rsidRPr="00A95A2C">
        <w:rPr>
          <w:b/>
        </w:rPr>
        <w:t xml:space="preserve">l Municipiului București </w:t>
      </w:r>
      <w:r w:rsidR="00A95A2C" w:rsidRPr="00A95A2C">
        <w:rPr>
          <w:b/>
        </w:rPr>
        <w:t>(ISMB)</w:t>
      </w:r>
    </w:p>
    <w:p w:rsidR="00A55728" w:rsidRPr="00A95A2C" w:rsidRDefault="00A55728" w:rsidP="00A77970">
      <w:pPr>
        <w:ind w:firstLine="709"/>
        <w:jc w:val="both"/>
        <w:rPr>
          <w:b/>
        </w:rPr>
      </w:pPr>
    </w:p>
    <w:p w:rsidR="00E32EE5" w:rsidRPr="007B1D41" w:rsidRDefault="00021BC8" w:rsidP="00A77970">
      <w:pPr>
        <w:keepNext/>
        <w:jc w:val="both"/>
        <w:outlineLvl w:val="0"/>
        <w:rPr>
          <w:u w:val="single"/>
          <w:lang w:eastAsia="en-US"/>
        </w:rPr>
      </w:pPr>
      <w:bookmarkStart w:id="25" w:name="_Toc446946760"/>
      <w:bookmarkStart w:id="26" w:name="_Toc463344228"/>
      <w:r w:rsidRPr="00021BC8">
        <w:rPr>
          <w:b/>
          <w:noProof/>
        </w:rPr>
        <w:pict>
          <v:shapetype id="_x0000_t202" coordsize="21600,21600" o:spt="202" path="m,l,21600r21600,l21600,xe">
            <v:stroke joinstyle="miter"/>
            <v:path gradientshapeok="t" o:connecttype="rect"/>
          </v:shapetype>
          <v:shape id="Text Box 2" o:spid="_x0000_s1061" type="#_x0000_t202" style="position:absolute;left:0;text-align:left;margin-left:850.2pt;margin-top:532pt;width:220.85pt;height:132.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" fillcolor="#4f81bd" stroked="f">
            <v:shadow on="t" color="black" opacity="18350f" offset="-5.40094mm,4.37361mm"/>
            <v:textbox inset="5.4pt,2.7pt,5.4pt,2.7pt">
              <w:txbxContent>
                <w:p w:rsidR="00DC0C5F" w:rsidRDefault="00DC0C5F" w:rsidP="00980D72">
                  <w:pPr>
                    <w:pStyle w:val="ListParagraph"/>
                    <w:numPr>
                      <w:ilvl w:val="0"/>
                      <w:numId w:val="23"/>
                    </w:numPr>
                    <w:spacing w:line="276" w:lineRule="auto"/>
                    <w:rPr>
                      <w:sz w:val="30"/>
                    </w:rPr>
                  </w:pPr>
                  <w:r w:rsidRPr="00A210AC">
                    <w:rPr>
                      <w:rFonts w:eastAsia="Calibri"/>
                      <w:b/>
                      <w:bCs/>
                      <w:color w:val="FFFFFF"/>
                      <w:kern w:val="24"/>
                      <w:sz w:val="30"/>
                      <w:szCs w:val="30"/>
                    </w:rPr>
                    <w:t xml:space="preserve">Număr posturi  ISMB : 103.5 </w:t>
                  </w:r>
                </w:p>
                <w:p w:rsidR="00DC0C5F" w:rsidRDefault="00DC0C5F" w:rsidP="00980D72">
                  <w:pPr>
                    <w:pStyle w:val="ListParagraph"/>
                    <w:numPr>
                      <w:ilvl w:val="0"/>
                      <w:numId w:val="23"/>
                    </w:numPr>
                    <w:spacing w:line="276" w:lineRule="auto"/>
                    <w:rPr>
                      <w:sz w:val="30"/>
                    </w:rPr>
                  </w:pPr>
                  <w:r w:rsidRPr="00A210AC">
                    <w:rPr>
                      <w:rFonts w:eastAsia="Calibri"/>
                      <w:b/>
                      <w:bCs/>
                      <w:color w:val="FFFFFF"/>
                      <w:kern w:val="24"/>
                      <w:sz w:val="30"/>
                      <w:szCs w:val="30"/>
                    </w:rPr>
                    <w:t>Curriculum-29</w:t>
                  </w:r>
                </w:p>
                <w:p w:rsidR="00DC0C5F" w:rsidRDefault="00DC0C5F" w:rsidP="00980D72">
                  <w:pPr>
                    <w:pStyle w:val="ListParagraph"/>
                    <w:numPr>
                      <w:ilvl w:val="0"/>
                      <w:numId w:val="23"/>
                    </w:numPr>
                    <w:spacing w:line="276" w:lineRule="auto"/>
                    <w:rPr>
                      <w:sz w:val="30"/>
                    </w:rPr>
                  </w:pPr>
                  <w:r w:rsidRPr="00A210AC">
                    <w:rPr>
                      <w:rFonts w:eastAsia="Calibri"/>
                      <w:b/>
                      <w:bCs/>
                      <w:color w:val="FFFFFF"/>
                      <w:kern w:val="24"/>
                      <w:sz w:val="30"/>
                      <w:szCs w:val="30"/>
                    </w:rPr>
                    <w:t>Management, Resurse Umane- 20</w:t>
                  </w:r>
                </w:p>
                <w:p w:rsidR="00DC0C5F" w:rsidRDefault="00DC0C5F" w:rsidP="00980D72">
                  <w:pPr>
                    <w:pStyle w:val="ListParagraph"/>
                    <w:numPr>
                      <w:ilvl w:val="0"/>
                      <w:numId w:val="23"/>
                    </w:numPr>
                    <w:spacing w:line="276" w:lineRule="auto"/>
                    <w:rPr>
                      <w:sz w:val="30"/>
                    </w:rPr>
                  </w:pPr>
                  <w:r w:rsidRPr="00A210AC">
                    <w:rPr>
                      <w:rFonts w:eastAsia="Calibri"/>
                      <w:b/>
                      <w:bCs/>
                      <w:color w:val="FFFFFF"/>
                      <w:kern w:val="24"/>
                      <w:sz w:val="30"/>
                      <w:szCs w:val="30"/>
                    </w:rPr>
                    <w:t>Administrativ -54.5</w:t>
                  </w:r>
                </w:p>
                <w:p w:rsidR="00DC0C5F" w:rsidRPr="00A210AC" w:rsidRDefault="00DC0C5F" w:rsidP="00E32EE5">
                  <w:pPr>
                    <w:pStyle w:val="NormalWeb"/>
                    <w:spacing w:before="0" w:beforeAutospacing="0" w:after="150" w:afterAutospacing="0" w:line="276" w:lineRule="auto"/>
                    <w:jc w:val="center"/>
                  </w:pPr>
                  <w:r w:rsidRPr="00A210AC">
                    <w:rPr>
                      <w:rFonts w:ascii="Calibri" w:hAnsi="Calibri"/>
                      <w:b/>
                      <w:bCs/>
                      <w:color w:val="FFFFFF"/>
                      <w:kern w:val="24"/>
                      <w:sz w:val="30"/>
                      <w:szCs w:val="30"/>
                    </w:rPr>
                    <w:t> </w:t>
                  </w:r>
                </w:p>
              </w:txbxContent>
            </v:textbox>
          </v:shape>
        </w:pict>
      </w:r>
      <w:bookmarkStart w:id="27" w:name="_Toc336953315"/>
      <w:bookmarkStart w:id="28" w:name="_Toc367704109"/>
      <w:bookmarkStart w:id="29" w:name="_Toc367704219"/>
      <w:bookmarkStart w:id="30" w:name="_Toc367704392"/>
      <w:r w:rsidR="00E32EE5" w:rsidRPr="00E32EE5">
        <w:rPr>
          <w:b/>
          <w:lang w:eastAsia="en-US"/>
        </w:rPr>
        <w:tab/>
      </w:r>
      <w:r w:rsidR="00E32EE5" w:rsidRPr="007B1D41">
        <w:rPr>
          <w:u w:val="single"/>
          <w:lang w:eastAsia="en-US"/>
        </w:rPr>
        <w:t>Evoluţia efectivelor de elevi</w:t>
      </w:r>
      <w:bookmarkEnd w:id="25"/>
      <w:bookmarkEnd w:id="26"/>
      <w:bookmarkEnd w:id="27"/>
      <w:bookmarkEnd w:id="28"/>
      <w:bookmarkEnd w:id="29"/>
      <w:bookmarkEnd w:id="30"/>
    </w:p>
    <w:p w:rsidR="00A55728" w:rsidRDefault="006C7D1C" w:rsidP="006C7D1C">
      <w:pPr>
        <w:jc w:val="both"/>
        <w:rPr>
          <w:rFonts w:eastAsia="Calibri"/>
          <w:color w:val="252525"/>
          <w:spacing w:val="-1"/>
        </w:rPr>
      </w:pPr>
      <w:r>
        <w:rPr>
          <w:rFonts w:eastAsia="Calibri"/>
          <w:color w:val="252525"/>
          <w:spacing w:val="-1"/>
        </w:rPr>
        <w:tab/>
      </w:r>
      <w:r w:rsidRPr="006C7D1C">
        <w:rPr>
          <w:rFonts w:eastAsia="Calibri"/>
          <w:color w:val="252525"/>
          <w:spacing w:val="-1"/>
        </w:rPr>
        <w:t>Municipiul Bucureşti cuprinde cea mai vastă reţea şcolară la nivel naţional, populaţia şcolară a Capitalei reprezentând aproximativ 10% din totalul preşcolarilor şi elevilor din România.</w:t>
      </w:r>
    </w:p>
    <w:p w:rsidR="006C7D1C" w:rsidRPr="006C7D1C" w:rsidRDefault="006C7D1C" w:rsidP="006C7D1C">
      <w:pPr>
        <w:jc w:val="both"/>
        <w:rPr>
          <w:rFonts w:eastAsia="Calibri"/>
          <w:color w:val="252525"/>
          <w:spacing w:val="-1"/>
        </w:rPr>
      </w:pPr>
      <w:r>
        <w:rPr>
          <w:rFonts w:eastAsia="Calibri"/>
          <w:color w:val="252525"/>
          <w:spacing w:val="-1"/>
        </w:rPr>
        <w:tab/>
      </w:r>
      <w:r w:rsidRPr="006C7D1C">
        <w:rPr>
          <w:rFonts w:eastAsia="Calibri"/>
          <w:color w:val="252525"/>
          <w:spacing w:val="-1"/>
        </w:rPr>
        <w:t>La nivelul anului şcolar 2017-2018, numărul elevilor din învăţământul de masă a fost de 244.667 elevi, dintre care cei mai mulţi s-au înregistrat în cadrul învăţământului primar (83.364 elevi). Pentru învăţământul liceal s-a înregistrat un număr de 62.076 elevi, iar la nivelul învăţământului gimnazial au fost 56.628 elevi.</w:t>
      </w:r>
    </w:p>
    <w:p w:rsidR="006C7D1C" w:rsidRPr="006C7D1C" w:rsidRDefault="006C7D1C" w:rsidP="006C7D1C">
      <w:pPr>
        <w:jc w:val="both"/>
        <w:rPr>
          <w:rFonts w:eastAsia="Calibri"/>
          <w:color w:val="252525"/>
          <w:spacing w:val="-1"/>
        </w:rPr>
      </w:pPr>
      <w:r>
        <w:rPr>
          <w:rFonts w:eastAsia="Calibri"/>
          <w:color w:val="252525"/>
          <w:spacing w:val="-1"/>
        </w:rPr>
        <w:tab/>
      </w:r>
      <w:r w:rsidRPr="006C7D1C">
        <w:rPr>
          <w:rFonts w:eastAsia="Calibri"/>
          <w:color w:val="252525"/>
          <w:spacing w:val="-1"/>
        </w:rPr>
        <w:t>În ceea ce priveşte învăţământul special, cei mai mulţi elevi au fost în învăţământul gimnazial (1.044 elevi). Numărul elevilor din învăţământul primar a fost de 992 elevi, cei mai puţini elevi fiind înregistraţi în cadrul învăţământului postliceal (84 elevi). În învăţământul profesional, la nivelul anului şcolar 2017-2018, au fost înscrişi 537 elevi. Un număr de 206 elevi s-a înregistrat în învăţământul liceal, iar pentru învăţământul preşcolar au fost înregistraţi 204 de copii. Numărul total al elevilor din învăţământul preuniversitar de stat, pentru anul şcolar 2017-2018, a fost de 247.734 elevi.</w:t>
      </w:r>
    </w:p>
    <w:p w:rsidR="006C7D1C" w:rsidRDefault="006C7D1C" w:rsidP="006C7D1C">
      <w:pPr>
        <w:jc w:val="both"/>
        <w:rPr>
          <w:rFonts w:eastAsia="Calibri"/>
          <w:color w:val="252525"/>
          <w:spacing w:val="-1"/>
        </w:rPr>
      </w:pPr>
      <w:r>
        <w:rPr>
          <w:rFonts w:eastAsia="Calibri"/>
          <w:color w:val="252525"/>
          <w:spacing w:val="-1"/>
        </w:rPr>
        <w:tab/>
      </w:r>
      <w:r w:rsidRPr="006C7D1C">
        <w:rPr>
          <w:rFonts w:eastAsia="Calibri"/>
          <w:color w:val="252525"/>
          <w:spacing w:val="-1"/>
        </w:rPr>
        <w:t xml:space="preserve">Repartizarea unităţilor şcolare după tipul de unitate, în perioada 2010-2018, scoate în evidenţă faptul că cele mai multe grădiniţe s-au înregistrat în anul şcolar 2010-2011 (154 grădiniţe), în anul şcolar </w:t>
      </w:r>
      <w:r w:rsidRPr="006C7D1C">
        <w:rPr>
          <w:rFonts w:eastAsia="Calibri"/>
          <w:color w:val="252525"/>
          <w:spacing w:val="-1"/>
        </w:rPr>
        <w:lastRenderedPageBreak/>
        <w:t>următor, numărul grădiniţelor a scăzut (136 grădiniţe), iar în anul şcolar 2017-2018 a fost de 125. Numărul şcolilor gimnaziale, din anul şcolar 2012-2013 până în anul şcolar 2017-2018 a fost acelaşi, 171 şcoli, cel mai scăzut număr din perioada analizată. În anul şcolar 2010-2011 au fost 177 şcoii gimnaziale, cele mai multe din ultimii 7 ani şcolari. Pentru învăţământul liceal, numărul liceelor a înregistrat un trend ascendent, de la 41 în anul şcolar 2010-2011 ajungând la 50 în anul şcolar 2017-2018. Aceeaşi situaţie se poate observa şi în cadrul colegiilor naţionale/ tehnice/ economice, numărul acestora fiind mai mare cu 10.4% în anul şcolar 2017-2018 faţă de anul şcolar 2010-2011.</w:t>
      </w:r>
    </w:p>
    <w:p w:rsidR="006C7D1C" w:rsidRDefault="006C7D1C" w:rsidP="006C7D1C">
      <w:pPr>
        <w:jc w:val="both"/>
        <w:rPr>
          <w:rFonts w:eastAsia="Calibri"/>
          <w:color w:val="252525"/>
          <w:spacing w:val="-1"/>
        </w:rPr>
      </w:pPr>
    </w:p>
    <w:p w:rsidR="006C7D1C" w:rsidRPr="00191361" w:rsidRDefault="00E32EE5" w:rsidP="006C7D1C">
      <w:pPr>
        <w:jc w:val="both"/>
        <w:rPr>
          <w:rFonts w:eastAsia="Arial Narrow"/>
          <w:b/>
          <w:bCs/>
          <w:color w:val="252525"/>
          <w:spacing w:val="-6"/>
          <w:lang w:eastAsia="en-US"/>
        </w:rPr>
      </w:pPr>
      <w:r w:rsidRPr="00E32EE5">
        <w:rPr>
          <w:rFonts w:eastAsia="Arial Narrow"/>
          <w:b/>
          <w:bCs/>
          <w:color w:val="252525"/>
          <w:spacing w:val="-6"/>
          <w:lang w:eastAsia="en-US"/>
        </w:rPr>
        <w:t>Populația</w:t>
      </w:r>
      <w:r w:rsidRPr="00E32EE5">
        <w:rPr>
          <w:rFonts w:eastAsia="Arial Narrow"/>
          <w:b/>
          <w:bCs/>
          <w:color w:val="252525"/>
          <w:spacing w:val="-13"/>
          <w:lang w:eastAsia="en-US"/>
        </w:rPr>
        <w:t xml:space="preserve"> </w:t>
      </w:r>
      <w:r w:rsidRPr="00E32EE5">
        <w:rPr>
          <w:rFonts w:eastAsia="Arial Narrow"/>
          <w:b/>
          <w:bCs/>
          <w:color w:val="252525"/>
          <w:spacing w:val="-6"/>
          <w:lang w:eastAsia="en-US"/>
        </w:rPr>
        <w:t>școlară</w:t>
      </w:r>
      <w:r w:rsidR="00F46AC7">
        <w:rPr>
          <w:rFonts w:eastAsia="Arial Narrow"/>
          <w:b/>
          <w:bCs/>
          <w:color w:val="252525"/>
          <w:spacing w:val="-6"/>
          <w:lang w:eastAsia="en-US"/>
        </w:rPr>
        <w:t xml:space="preserve"> </w:t>
      </w:r>
      <w:r w:rsidRPr="00E32EE5">
        <w:rPr>
          <w:rFonts w:eastAsia="Arial Narrow"/>
          <w:b/>
          <w:bCs/>
          <w:color w:val="252525"/>
          <w:spacing w:val="-6"/>
          <w:lang w:eastAsia="en-US"/>
        </w:rPr>
        <w:t>–</w:t>
      </w:r>
      <w:r w:rsidR="00F46AC7">
        <w:rPr>
          <w:rFonts w:eastAsia="Arial Narrow"/>
          <w:b/>
          <w:bCs/>
          <w:color w:val="252525"/>
          <w:spacing w:val="-6"/>
          <w:lang w:eastAsia="en-US"/>
        </w:rPr>
        <w:t xml:space="preserve"> </w:t>
      </w:r>
      <w:r w:rsidRPr="00E32EE5">
        <w:rPr>
          <w:rFonts w:eastAsia="Arial Narrow"/>
          <w:b/>
          <w:bCs/>
          <w:color w:val="252525"/>
          <w:spacing w:val="-6"/>
          <w:lang w:eastAsia="en-US"/>
        </w:rPr>
        <w:t>număr</w:t>
      </w:r>
      <w:r w:rsidR="00F46AC7">
        <w:rPr>
          <w:rFonts w:eastAsia="Arial Narrow"/>
          <w:b/>
          <w:bCs/>
          <w:color w:val="252525"/>
          <w:spacing w:val="-6"/>
          <w:lang w:eastAsia="en-US"/>
        </w:rPr>
        <w:t>ul de</w:t>
      </w:r>
      <w:r w:rsidRPr="00E32EE5">
        <w:rPr>
          <w:rFonts w:eastAsia="Arial Narrow"/>
          <w:b/>
          <w:bCs/>
          <w:color w:val="252525"/>
          <w:spacing w:val="-14"/>
          <w:lang w:eastAsia="en-US"/>
        </w:rPr>
        <w:t xml:space="preserve"> </w:t>
      </w:r>
      <w:r w:rsidRPr="00E32EE5">
        <w:rPr>
          <w:rFonts w:eastAsia="Arial Narrow"/>
          <w:b/>
          <w:bCs/>
          <w:color w:val="252525"/>
          <w:spacing w:val="-5"/>
          <w:lang w:eastAsia="en-US"/>
        </w:rPr>
        <w:t>elevi</w:t>
      </w:r>
      <w:r w:rsidRPr="00E32EE5">
        <w:rPr>
          <w:rFonts w:eastAsia="Arial Narrow"/>
          <w:b/>
          <w:bCs/>
          <w:color w:val="252525"/>
          <w:spacing w:val="-14"/>
          <w:lang w:eastAsia="en-US"/>
        </w:rPr>
        <w:t xml:space="preserve"> </w:t>
      </w:r>
      <w:r w:rsidRPr="00E32EE5">
        <w:rPr>
          <w:rFonts w:eastAsia="Arial Narrow"/>
          <w:b/>
          <w:bCs/>
          <w:color w:val="252525"/>
          <w:spacing w:val="-5"/>
          <w:lang w:eastAsia="en-US"/>
        </w:rPr>
        <w:t>din</w:t>
      </w:r>
      <w:r w:rsidRPr="00E32EE5">
        <w:rPr>
          <w:rFonts w:eastAsia="Arial Narrow"/>
          <w:b/>
          <w:bCs/>
          <w:color w:val="252525"/>
          <w:spacing w:val="-12"/>
          <w:lang w:eastAsia="en-US"/>
        </w:rPr>
        <w:t xml:space="preserve"> </w:t>
      </w:r>
      <w:r w:rsidRPr="00E32EE5">
        <w:rPr>
          <w:rFonts w:eastAsia="Arial Narrow"/>
          <w:b/>
          <w:bCs/>
          <w:color w:val="252525"/>
          <w:spacing w:val="-6"/>
          <w:lang w:eastAsia="en-US"/>
        </w:rPr>
        <w:t>învățământul</w:t>
      </w:r>
      <w:r w:rsidRPr="00E32EE5">
        <w:rPr>
          <w:rFonts w:eastAsia="Arial Narrow"/>
          <w:b/>
          <w:bCs/>
          <w:color w:val="252525"/>
          <w:spacing w:val="-12"/>
          <w:lang w:eastAsia="en-US"/>
        </w:rPr>
        <w:t xml:space="preserve"> </w:t>
      </w:r>
      <w:r w:rsidRPr="00E32EE5">
        <w:rPr>
          <w:rFonts w:eastAsia="Arial Narrow"/>
          <w:b/>
          <w:bCs/>
          <w:color w:val="252525"/>
          <w:spacing w:val="-7"/>
          <w:lang w:eastAsia="en-US"/>
        </w:rPr>
        <w:t>preuniversitar</w:t>
      </w:r>
      <w:r w:rsidRPr="00E32EE5">
        <w:rPr>
          <w:rFonts w:eastAsia="Arial Narrow"/>
          <w:b/>
          <w:bCs/>
          <w:color w:val="252525"/>
          <w:spacing w:val="-12"/>
          <w:lang w:eastAsia="en-US"/>
        </w:rPr>
        <w:t xml:space="preserve"> </w:t>
      </w:r>
      <w:r w:rsidRPr="00E32EE5">
        <w:rPr>
          <w:rFonts w:eastAsia="Arial Narrow"/>
          <w:b/>
          <w:bCs/>
          <w:color w:val="252525"/>
          <w:spacing w:val="-4"/>
          <w:lang w:eastAsia="en-US"/>
        </w:rPr>
        <w:t>de</w:t>
      </w:r>
      <w:r w:rsidRPr="00E32EE5">
        <w:rPr>
          <w:rFonts w:eastAsia="Arial Narrow"/>
          <w:b/>
          <w:bCs/>
          <w:color w:val="252525"/>
          <w:spacing w:val="-11"/>
          <w:lang w:eastAsia="en-US"/>
        </w:rPr>
        <w:t xml:space="preserve"> </w:t>
      </w:r>
      <w:r w:rsidRPr="00E32EE5">
        <w:rPr>
          <w:rFonts w:eastAsia="Arial Narrow"/>
          <w:b/>
          <w:bCs/>
          <w:color w:val="252525"/>
          <w:spacing w:val="-5"/>
          <w:lang w:eastAsia="en-US"/>
        </w:rPr>
        <w:t>stat</w:t>
      </w:r>
      <w:r w:rsidRPr="00E32EE5">
        <w:rPr>
          <w:rFonts w:eastAsia="Arial Narrow"/>
          <w:b/>
          <w:bCs/>
          <w:color w:val="252525"/>
          <w:spacing w:val="-13"/>
          <w:lang w:eastAsia="en-US"/>
        </w:rPr>
        <w:t xml:space="preserve"> </w:t>
      </w:r>
      <w:r w:rsidRPr="00E32EE5">
        <w:rPr>
          <w:rFonts w:eastAsia="Arial Narrow"/>
          <w:b/>
          <w:bCs/>
          <w:color w:val="252525"/>
          <w:spacing w:val="-3"/>
          <w:lang w:eastAsia="en-US"/>
        </w:rPr>
        <w:t>în</w:t>
      </w:r>
      <w:r w:rsidRPr="00E32EE5">
        <w:rPr>
          <w:rFonts w:eastAsia="Arial Narrow"/>
          <w:b/>
          <w:bCs/>
          <w:color w:val="252525"/>
          <w:spacing w:val="-15"/>
          <w:lang w:eastAsia="en-US"/>
        </w:rPr>
        <w:t xml:space="preserve"> </w:t>
      </w:r>
      <w:r w:rsidRPr="00E32EE5">
        <w:rPr>
          <w:rFonts w:eastAsia="Arial Narrow"/>
          <w:b/>
          <w:bCs/>
          <w:color w:val="252525"/>
          <w:spacing w:val="-5"/>
          <w:lang w:eastAsia="en-US"/>
        </w:rPr>
        <w:t>anul</w:t>
      </w:r>
      <w:r w:rsidRPr="00E32EE5">
        <w:rPr>
          <w:rFonts w:eastAsia="Arial Narrow"/>
          <w:b/>
          <w:bCs/>
          <w:color w:val="252525"/>
          <w:spacing w:val="-14"/>
          <w:lang w:eastAsia="en-US"/>
        </w:rPr>
        <w:t xml:space="preserve"> </w:t>
      </w:r>
      <w:r w:rsidRPr="00E32EE5">
        <w:rPr>
          <w:rFonts w:eastAsia="Arial Narrow"/>
          <w:b/>
          <w:bCs/>
          <w:color w:val="252525"/>
          <w:spacing w:val="-6"/>
          <w:lang w:eastAsia="en-US"/>
        </w:rPr>
        <w:t>școlar</w:t>
      </w:r>
      <w:r w:rsidRPr="00E32EE5">
        <w:rPr>
          <w:rFonts w:eastAsia="Arial Narrow"/>
          <w:b/>
          <w:bCs/>
          <w:color w:val="252525"/>
          <w:spacing w:val="-14"/>
          <w:lang w:eastAsia="en-US"/>
        </w:rPr>
        <w:t xml:space="preserve"> </w:t>
      </w:r>
      <w:r w:rsidRPr="00E32EE5">
        <w:rPr>
          <w:rFonts w:eastAsia="Arial Narrow"/>
          <w:b/>
          <w:bCs/>
          <w:color w:val="252525"/>
          <w:spacing w:val="-6"/>
          <w:lang w:eastAsia="en-US"/>
        </w:rPr>
        <w:t>201</w:t>
      </w:r>
      <w:r w:rsidR="004514C3">
        <w:rPr>
          <w:rFonts w:eastAsia="Arial Narrow"/>
          <w:b/>
          <w:bCs/>
          <w:color w:val="252525"/>
          <w:spacing w:val="-6"/>
          <w:lang w:eastAsia="en-US"/>
        </w:rPr>
        <w:t>7</w:t>
      </w:r>
      <w:r w:rsidRPr="00E32EE5">
        <w:rPr>
          <w:rFonts w:eastAsia="Arial Narrow"/>
          <w:b/>
          <w:bCs/>
          <w:color w:val="252525"/>
          <w:spacing w:val="-7"/>
          <w:lang w:eastAsia="en-US"/>
        </w:rPr>
        <w:t>-</w:t>
      </w:r>
      <w:r w:rsidR="004514C3">
        <w:rPr>
          <w:rFonts w:eastAsia="Arial Narrow"/>
          <w:b/>
          <w:bCs/>
          <w:color w:val="252525"/>
          <w:spacing w:val="-6"/>
          <w:lang w:eastAsia="en-US"/>
        </w:rPr>
        <w:t>2018</w:t>
      </w:r>
    </w:p>
    <w:tbl>
      <w:tblPr>
        <w:tblStyle w:val="TableGrid"/>
        <w:tblW w:w="0" w:type="auto"/>
        <w:tblInd w:w="108" w:type="dxa"/>
        <w:tblLook w:val="04A0"/>
      </w:tblPr>
      <w:tblGrid>
        <w:gridCol w:w="2476"/>
        <w:gridCol w:w="2584"/>
        <w:gridCol w:w="2584"/>
        <w:gridCol w:w="2436"/>
      </w:tblGrid>
      <w:tr w:rsidR="00F46AC7" w:rsidTr="006C7D1C">
        <w:tc>
          <w:tcPr>
            <w:tcW w:w="2476" w:type="dxa"/>
            <w:vAlign w:val="center"/>
          </w:tcPr>
          <w:p w:rsidR="00F46AC7" w:rsidRDefault="00F46AC7" w:rsidP="00A77970">
            <w:pPr>
              <w:rPr>
                <w:rFonts w:eastAsia="Arial Narrow"/>
                <w:b/>
                <w:lang w:eastAsia="en-US"/>
              </w:rPr>
            </w:pPr>
            <w:r>
              <w:rPr>
                <w:rFonts w:eastAsia="Arial Narrow"/>
                <w:b/>
                <w:lang w:eastAsia="en-US"/>
              </w:rPr>
              <w:t>Forma de învățământ</w:t>
            </w:r>
          </w:p>
        </w:tc>
        <w:tc>
          <w:tcPr>
            <w:tcW w:w="2584" w:type="dxa"/>
          </w:tcPr>
          <w:p w:rsidR="00F46AC7" w:rsidRDefault="00F46AC7" w:rsidP="00A77970">
            <w:pPr>
              <w:jc w:val="center"/>
              <w:rPr>
                <w:rFonts w:eastAsia="Arial Narrow"/>
                <w:b/>
                <w:lang w:eastAsia="en-US"/>
              </w:rPr>
            </w:pPr>
            <w:r>
              <w:rPr>
                <w:rFonts w:eastAsia="Arial Narrow"/>
                <w:b/>
                <w:lang w:eastAsia="en-US"/>
              </w:rPr>
              <w:t>Invățământ de masă</w:t>
            </w:r>
          </w:p>
        </w:tc>
        <w:tc>
          <w:tcPr>
            <w:tcW w:w="2584" w:type="dxa"/>
          </w:tcPr>
          <w:p w:rsidR="00F46AC7" w:rsidRDefault="00F46AC7" w:rsidP="00A77970">
            <w:pPr>
              <w:jc w:val="center"/>
              <w:rPr>
                <w:rFonts w:eastAsia="Arial Narrow"/>
                <w:b/>
                <w:lang w:eastAsia="en-US"/>
              </w:rPr>
            </w:pPr>
            <w:r>
              <w:rPr>
                <w:rFonts w:eastAsia="Arial Narrow"/>
                <w:b/>
                <w:lang w:eastAsia="en-US"/>
              </w:rPr>
              <w:t>Învățământ special</w:t>
            </w:r>
          </w:p>
        </w:tc>
        <w:tc>
          <w:tcPr>
            <w:tcW w:w="2436" w:type="dxa"/>
          </w:tcPr>
          <w:p w:rsidR="00F46AC7" w:rsidRDefault="00F46AC7" w:rsidP="00A77970">
            <w:pPr>
              <w:jc w:val="center"/>
              <w:rPr>
                <w:rFonts w:eastAsia="Arial Narrow"/>
                <w:b/>
                <w:lang w:eastAsia="en-US"/>
              </w:rPr>
            </w:pPr>
            <w:r>
              <w:rPr>
                <w:rFonts w:eastAsia="Arial Narrow"/>
                <w:b/>
                <w:lang w:eastAsia="en-US"/>
              </w:rPr>
              <w:t>Total</w:t>
            </w:r>
          </w:p>
        </w:tc>
      </w:tr>
      <w:tr w:rsidR="006C7D1C" w:rsidTr="006C7D1C">
        <w:tc>
          <w:tcPr>
            <w:tcW w:w="2476" w:type="dxa"/>
          </w:tcPr>
          <w:p w:rsidR="006C7D1C" w:rsidRPr="00E32EE5" w:rsidRDefault="006C7D1C" w:rsidP="00A77970">
            <w:pPr>
              <w:widowControl w:val="0"/>
              <w:spacing w:before="35"/>
              <w:ind w:left="8"/>
              <w:jc w:val="both"/>
              <w:rPr>
                <w:rFonts w:eastAsia="Arial Narrow"/>
                <w:lang w:eastAsia="en-US"/>
              </w:rPr>
            </w:pPr>
            <w:r w:rsidRPr="00E32EE5">
              <w:rPr>
                <w:rFonts w:eastAsia="Calibri"/>
                <w:color w:val="252525"/>
                <w:lang w:eastAsia="en-US"/>
              </w:rPr>
              <w:t>Învățământ</w:t>
            </w:r>
            <w:r w:rsidRPr="00E32EE5">
              <w:rPr>
                <w:rFonts w:eastAsia="Calibri"/>
                <w:color w:val="252525"/>
                <w:spacing w:val="-16"/>
                <w:lang w:eastAsia="en-US"/>
              </w:rPr>
              <w:t xml:space="preserve"> </w:t>
            </w:r>
            <w:r w:rsidRPr="00E32EE5">
              <w:rPr>
                <w:rFonts w:eastAsia="Calibri"/>
                <w:color w:val="252525"/>
                <w:lang w:eastAsia="en-US"/>
              </w:rPr>
              <w:t>preșcolar</w:t>
            </w:r>
          </w:p>
        </w:tc>
        <w:tc>
          <w:tcPr>
            <w:tcW w:w="2584" w:type="dxa"/>
            <w:vAlign w:val="center"/>
          </w:tcPr>
          <w:p w:rsidR="006C7D1C" w:rsidRPr="009A6023" w:rsidRDefault="006C7D1C" w:rsidP="003E3FEE">
            <w:pPr>
              <w:jc w:val="center"/>
              <w:rPr>
                <w:color w:val="000000"/>
                <w:szCs w:val="24"/>
              </w:rPr>
            </w:pPr>
            <w:r w:rsidRPr="009A6023">
              <w:rPr>
                <w:color w:val="000000"/>
                <w:szCs w:val="24"/>
              </w:rPr>
              <w:t>37.553</w:t>
            </w:r>
          </w:p>
        </w:tc>
        <w:tc>
          <w:tcPr>
            <w:tcW w:w="2584" w:type="dxa"/>
            <w:vAlign w:val="center"/>
          </w:tcPr>
          <w:p w:rsidR="006C7D1C" w:rsidRPr="009A6023" w:rsidRDefault="006C7D1C" w:rsidP="003E3FEE">
            <w:pPr>
              <w:jc w:val="center"/>
              <w:rPr>
                <w:color w:val="000000"/>
                <w:szCs w:val="24"/>
              </w:rPr>
            </w:pPr>
            <w:r w:rsidRPr="009A6023">
              <w:rPr>
                <w:color w:val="000000"/>
                <w:szCs w:val="24"/>
              </w:rPr>
              <w:t>204</w:t>
            </w:r>
          </w:p>
        </w:tc>
        <w:tc>
          <w:tcPr>
            <w:tcW w:w="2436" w:type="dxa"/>
            <w:vAlign w:val="center"/>
          </w:tcPr>
          <w:p w:rsidR="006C7D1C" w:rsidRPr="009A6023" w:rsidRDefault="006C7D1C" w:rsidP="003E3FEE">
            <w:pPr>
              <w:jc w:val="center"/>
              <w:rPr>
                <w:color w:val="000000"/>
                <w:szCs w:val="24"/>
              </w:rPr>
            </w:pPr>
            <w:r w:rsidRPr="009A6023">
              <w:rPr>
                <w:color w:val="000000"/>
                <w:szCs w:val="24"/>
              </w:rPr>
              <w:t>37.757</w:t>
            </w:r>
          </w:p>
        </w:tc>
      </w:tr>
      <w:tr w:rsidR="006C7D1C" w:rsidTr="006C7D1C">
        <w:tc>
          <w:tcPr>
            <w:tcW w:w="2476" w:type="dxa"/>
          </w:tcPr>
          <w:p w:rsidR="006C7D1C" w:rsidRPr="00E32EE5" w:rsidRDefault="006C7D1C" w:rsidP="00A77970">
            <w:pPr>
              <w:widowControl w:val="0"/>
              <w:spacing w:before="34"/>
              <w:ind w:left="8"/>
              <w:jc w:val="both"/>
              <w:rPr>
                <w:rFonts w:eastAsia="Arial Narrow"/>
                <w:lang w:eastAsia="en-US"/>
              </w:rPr>
            </w:pPr>
            <w:r w:rsidRPr="00E32EE5">
              <w:rPr>
                <w:rFonts w:eastAsia="Calibri"/>
                <w:color w:val="252525"/>
                <w:lang w:eastAsia="en-US"/>
              </w:rPr>
              <w:t>Învățământ</w:t>
            </w:r>
            <w:r w:rsidRPr="00E32EE5">
              <w:rPr>
                <w:rFonts w:eastAsia="Calibri"/>
                <w:color w:val="252525"/>
                <w:spacing w:val="-14"/>
                <w:lang w:eastAsia="en-US"/>
              </w:rPr>
              <w:t xml:space="preserve"> </w:t>
            </w:r>
            <w:r w:rsidRPr="00E32EE5">
              <w:rPr>
                <w:rFonts w:eastAsia="Calibri"/>
                <w:color w:val="252525"/>
                <w:lang w:eastAsia="en-US"/>
              </w:rPr>
              <w:t>primar</w:t>
            </w:r>
          </w:p>
        </w:tc>
        <w:tc>
          <w:tcPr>
            <w:tcW w:w="2584" w:type="dxa"/>
            <w:vAlign w:val="center"/>
          </w:tcPr>
          <w:p w:rsidR="006C7D1C" w:rsidRPr="009A6023" w:rsidRDefault="006C7D1C" w:rsidP="003E3FEE">
            <w:pPr>
              <w:jc w:val="center"/>
              <w:rPr>
                <w:color w:val="000000"/>
                <w:szCs w:val="24"/>
              </w:rPr>
            </w:pPr>
            <w:r w:rsidRPr="009A6023">
              <w:rPr>
                <w:color w:val="000000"/>
                <w:szCs w:val="24"/>
              </w:rPr>
              <w:t>83.364</w:t>
            </w:r>
          </w:p>
        </w:tc>
        <w:tc>
          <w:tcPr>
            <w:tcW w:w="2584" w:type="dxa"/>
            <w:vAlign w:val="center"/>
          </w:tcPr>
          <w:p w:rsidR="006C7D1C" w:rsidRPr="009A6023" w:rsidRDefault="006C7D1C" w:rsidP="003E3FEE">
            <w:pPr>
              <w:jc w:val="center"/>
              <w:rPr>
                <w:color w:val="000000"/>
                <w:szCs w:val="24"/>
              </w:rPr>
            </w:pPr>
            <w:r w:rsidRPr="009A6023">
              <w:rPr>
                <w:color w:val="000000"/>
                <w:szCs w:val="24"/>
              </w:rPr>
              <w:t>992</w:t>
            </w:r>
          </w:p>
        </w:tc>
        <w:tc>
          <w:tcPr>
            <w:tcW w:w="2436" w:type="dxa"/>
            <w:vAlign w:val="center"/>
          </w:tcPr>
          <w:p w:rsidR="006C7D1C" w:rsidRPr="009A6023" w:rsidRDefault="006C7D1C" w:rsidP="003E3FEE">
            <w:pPr>
              <w:jc w:val="center"/>
              <w:rPr>
                <w:color w:val="000000"/>
                <w:szCs w:val="24"/>
              </w:rPr>
            </w:pPr>
            <w:r w:rsidRPr="009A6023">
              <w:rPr>
                <w:color w:val="000000"/>
                <w:szCs w:val="24"/>
              </w:rPr>
              <w:t>84.356</w:t>
            </w:r>
          </w:p>
        </w:tc>
      </w:tr>
      <w:tr w:rsidR="006C7D1C" w:rsidTr="006C7D1C">
        <w:tc>
          <w:tcPr>
            <w:tcW w:w="2476" w:type="dxa"/>
          </w:tcPr>
          <w:p w:rsidR="006C7D1C" w:rsidRPr="00E32EE5" w:rsidRDefault="006C7D1C" w:rsidP="00A77970">
            <w:pPr>
              <w:widowControl w:val="0"/>
              <w:spacing w:before="34"/>
              <w:ind w:left="8"/>
              <w:jc w:val="both"/>
              <w:rPr>
                <w:rFonts w:eastAsia="Arial Narrow"/>
                <w:lang w:eastAsia="en-US"/>
              </w:rPr>
            </w:pPr>
            <w:r w:rsidRPr="00E32EE5">
              <w:rPr>
                <w:rFonts w:eastAsia="Calibri"/>
                <w:color w:val="252525"/>
                <w:lang w:eastAsia="en-US"/>
              </w:rPr>
              <w:t>Învățământ</w:t>
            </w:r>
            <w:r w:rsidRPr="00E32EE5">
              <w:rPr>
                <w:rFonts w:eastAsia="Calibri"/>
                <w:color w:val="252525"/>
                <w:spacing w:val="-17"/>
                <w:lang w:eastAsia="en-US"/>
              </w:rPr>
              <w:t xml:space="preserve"> </w:t>
            </w:r>
            <w:r w:rsidRPr="00E32EE5">
              <w:rPr>
                <w:rFonts w:eastAsia="Calibri"/>
                <w:color w:val="252525"/>
                <w:lang w:eastAsia="en-US"/>
              </w:rPr>
              <w:t>gimnazial</w:t>
            </w:r>
          </w:p>
        </w:tc>
        <w:tc>
          <w:tcPr>
            <w:tcW w:w="2584" w:type="dxa"/>
            <w:vAlign w:val="center"/>
          </w:tcPr>
          <w:p w:rsidR="006C7D1C" w:rsidRPr="009A6023" w:rsidRDefault="006C7D1C" w:rsidP="003E3FEE">
            <w:pPr>
              <w:jc w:val="center"/>
              <w:rPr>
                <w:color w:val="000000"/>
                <w:szCs w:val="24"/>
              </w:rPr>
            </w:pPr>
            <w:r w:rsidRPr="009A6023">
              <w:rPr>
                <w:color w:val="000000"/>
                <w:szCs w:val="24"/>
              </w:rPr>
              <w:t>56.628</w:t>
            </w:r>
          </w:p>
        </w:tc>
        <w:tc>
          <w:tcPr>
            <w:tcW w:w="2584" w:type="dxa"/>
            <w:vAlign w:val="center"/>
          </w:tcPr>
          <w:p w:rsidR="006C7D1C" w:rsidRPr="009A6023" w:rsidRDefault="006C7D1C" w:rsidP="003E3FEE">
            <w:pPr>
              <w:jc w:val="center"/>
              <w:rPr>
                <w:color w:val="000000"/>
                <w:szCs w:val="24"/>
              </w:rPr>
            </w:pPr>
            <w:r w:rsidRPr="009A6023">
              <w:rPr>
                <w:color w:val="000000"/>
                <w:szCs w:val="24"/>
              </w:rPr>
              <w:t>1.044</w:t>
            </w:r>
          </w:p>
        </w:tc>
        <w:tc>
          <w:tcPr>
            <w:tcW w:w="2436" w:type="dxa"/>
            <w:vAlign w:val="center"/>
          </w:tcPr>
          <w:p w:rsidR="006C7D1C" w:rsidRPr="009A6023" w:rsidRDefault="006C7D1C" w:rsidP="003E3FEE">
            <w:pPr>
              <w:jc w:val="center"/>
              <w:rPr>
                <w:color w:val="000000"/>
                <w:szCs w:val="24"/>
              </w:rPr>
            </w:pPr>
            <w:r w:rsidRPr="009A6023">
              <w:rPr>
                <w:color w:val="000000"/>
                <w:szCs w:val="24"/>
              </w:rPr>
              <w:t>57.672</w:t>
            </w:r>
          </w:p>
        </w:tc>
      </w:tr>
      <w:tr w:rsidR="006C7D1C" w:rsidTr="006C7D1C">
        <w:tc>
          <w:tcPr>
            <w:tcW w:w="2476" w:type="dxa"/>
          </w:tcPr>
          <w:p w:rsidR="006C7D1C" w:rsidRPr="00E32EE5" w:rsidRDefault="006C7D1C" w:rsidP="00A77970">
            <w:pPr>
              <w:widowControl w:val="0"/>
              <w:spacing w:before="34"/>
              <w:ind w:left="8"/>
              <w:jc w:val="both"/>
              <w:rPr>
                <w:rFonts w:eastAsia="Arial Narrow"/>
                <w:lang w:eastAsia="en-US"/>
              </w:rPr>
            </w:pPr>
            <w:r w:rsidRPr="00E32EE5">
              <w:rPr>
                <w:rFonts w:eastAsia="Calibri"/>
                <w:color w:val="252525"/>
                <w:lang w:eastAsia="en-US"/>
              </w:rPr>
              <w:t>Învățământ</w:t>
            </w:r>
            <w:r w:rsidRPr="00E32EE5">
              <w:rPr>
                <w:rFonts w:eastAsia="Calibri"/>
                <w:color w:val="252525"/>
                <w:spacing w:val="-13"/>
                <w:lang w:eastAsia="en-US"/>
              </w:rPr>
              <w:t xml:space="preserve"> </w:t>
            </w:r>
            <w:r w:rsidRPr="00E32EE5">
              <w:rPr>
                <w:rFonts w:eastAsia="Calibri"/>
                <w:color w:val="252525"/>
                <w:lang w:eastAsia="en-US"/>
              </w:rPr>
              <w:t>liceal</w:t>
            </w:r>
          </w:p>
        </w:tc>
        <w:tc>
          <w:tcPr>
            <w:tcW w:w="2584" w:type="dxa"/>
            <w:vAlign w:val="center"/>
          </w:tcPr>
          <w:p w:rsidR="006C7D1C" w:rsidRPr="009A6023" w:rsidRDefault="006C7D1C" w:rsidP="003E3FEE">
            <w:pPr>
              <w:jc w:val="center"/>
              <w:rPr>
                <w:color w:val="000000"/>
                <w:szCs w:val="24"/>
              </w:rPr>
            </w:pPr>
            <w:r w:rsidRPr="009A6023">
              <w:rPr>
                <w:color w:val="000000"/>
                <w:szCs w:val="24"/>
              </w:rPr>
              <w:t>62.076</w:t>
            </w:r>
          </w:p>
        </w:tc>
        <w:tc>
          <w:tcPr>
            <w:tcW w:w="2584" w:type="dxa"/>
            <w:vAlign w:val="center"/>
          </w:tcPr>
          <w:p w:rsidR="006C7D1C" w:rsidRPr="009A6023" w:rsidRDefault="006C7D1C" w:rsidP="003E3FEE">
            <w:pPr>
              <w:jc w:val="center"/>
              <w:rPr>
                <w:color w:val="000000"/>
                <w:szCs w:val="24"/>
              </w:rPr>
            </w:pPr>
            <w:r w:rsidRPr="009A6023">
              <w:rPr>
                <w:color w:val="000000"/>
                <w:szCs w:val="24"/>
              </w:rPr>
              <w:t>206</w:t>
            </w:r>
          </w:p>
        </w:tc>
        <w:tc>
          <w:tcPr>
            <w:tcW w:w="2436" w:type="dxa"/>
            <w:vAlign w:val="center"/>
          </w:tcPr>
          <w:p w:rsidR="006C7D1C" w:rsidRPr="009A6023" w:rsidRDefault="006C7D1C" w:rsidP="003E3FEE">
            <w:pPr>
              <w:jc w:val="center"/>
              <w:rPr>
                <w:color w:val="000000"/>
                <w:szCs w:val="24"/>
              </w:rPr>
            </w:pPr>
            <w:r w:rsidRPr="009A6023">
              <w:rPr>
                <w:color w:val="000000"/>
                <w:szCs w:val="24"/>
              </w:rPr>
              <w:t>62.282</w:t>
            </w:r>
          </w:p>
        </w:tc>
      </w:tr>
      <w:tr w:rsidR="006C7D1C" w:rsidTr="006C7D1C">
        <w:tc>
          <w:tcPr>
            <w:tcW w:w="2476" w:type="dxa"/>
          </w:tcPr>
          <w:p w:rsidR="006C7D1C" w:rsidRPr="00E32EE5" w:rsidRDefault="006C7D1C" w:rsidP="00A77970">
            <w:pPr>
              <w:widowControl w:val="0"/>
              <w:spacing w:before="34"/>
              <w:ind w:left="8"/>
              <w:jc w:val="both"/>
              <w:rPr>
                <w:rFonts w:eastAsia="Arial Narrow"/>
                <w:lang w:eastAsia="en-US"/>
              </w:rPr>
            </w:pPr>
            <w:r w:rsidRPr="00E32EE5">
              <w:rPr>
                <w:rFonts w:eastAsia="Calibri"/>
                <w:color w:val="252525"/>
                <w:lang w:eastAsia="en-US"/>
              </w:rPr>
              <w:t>Învățământ</w:t>
            </w:r>
            <w:r w:rsidRPr="00E32EE5">
              <w:rPr>
                <w:rFonts w:eastAsia="Calibri"/>
                <w:color w:val="252525"/>
                <w:spacing w:val="-18"/>
                <w:lang w:eastAsia="en-US"/>
              </w:rPr>
              <w:t xml:space="preserve"> </w:t>
            </w:r>
            <w:r w:rsidRPr="00E32EE5">
              <w:rPr>
                <w:rFonts w:eastAsia="Calibri"/>
                <w:color w:val="252525"/>
                <w:lang w:eastAsia="en-US"/>
              </w:rPr>
              <w:t>profesional</w:t>
            </w:r>
          </w:p>
        </w:tc>
        <w:tc>
          <w:tcPr>
            <w:tcW w:w="2584" w:type="dxa"/>
            <w:vAlign w:val="center"/>
          </w:tcPr>
          <w:p w:rsidR="006C7D1C" w:rsidRPr="009A6023" w:rsidRDefault="006C7D1C" w:rsidP="003E3FEE">
            <w:pPr>
              <w:jc w:val="center"/>
              <w:rPr>
                <w:color w:val="000000"/>
                <w:szCs w:val="24"/>
              </w:rPr>
            </w:pPr>
            <w:r w:rsidRPr="009A6023">
              <w:rPr>
                <w:color w:val="000000"/>
                <w:szCs w:val="24"/>
              </w:rPr>
              <w:t>1.816</w:t>
            </w:r>
          </w:p>
        </w:tc>
        <w:tc>
          <w:tcPr>
            <w:tcW w:w="2584" w:type="dxa"/>
            <w:vAlign w:val="center"/>
          </w:tcPr>
          <w:p w:rsidR="006C7D1C" w:rsidRPr="009A6023" w:rsidRDefault="006C7D1C" w:rsidP="003E3FEE">
            <w:pPr>
              <w:jc w:val="center"/>
              <w:rPr>
                <w:color w:val="000000"/>
                <w:szCs w:val="24"/>
              </w:rPr>
            </w:pPr>
            <w:r w:rsidRPr="009A6023">
              <w:rPr>
                <w:color w:val="000000"/>
                <w:szCs w:val="24"/>
              </w:rPr>
              <w:t>537</w:t>
            </w:r>
          </w:p>
        </w:tc>
        <w:tc>
          <w:tcPr>
            <w:tcW w:w="2436" w:type="dxa"/>
            <w:vAlign w:val="center"/>
          </w:tcPr>
          <w:p w:rsidR="006C7D1C" w:rsidRPr="009A6023" w:rsidRDefault="006C7D1C" w:rsidP="003E3FEE">
            <w:pPr>
              <w:jc w:val="center"/>
              <w:rPr>
                <w:color w:val="000000"/>
                <w:szCs w:val="24"/>
              </w:rPr>
            </w:pPr>
            <w:r w:rsidRPr="009A6023">
              <w:rPr>
                <w:color w:val="000000"/>
                <w:szCs w:val="24"/>
              </w:rPr>
              <w:t>2.353</w:t>
            </w:r>
          </w:p>
        </w:tc>
      </w:tr>
      <w:tr w:rsidR="006C7D1C" w:rsidTr="006C7D1C">
        <w:tc>
          <w:tcPr>
            <w:tcW w:w="2476" w:type="dxa"/>
          </w:tcPr>
          <w:p w:rsidR="006C7D1C" w:rsidRPr="00E32EE5" w:rsidRDefault="006C7D1C" w:rsidP="00A77970">
            <w:pPr>
              <w:widowControl w:val="0"/>
              <w:spacing w:before="37"/>
              <w:ind w:left="8"/>
              <w:jc w:val="both"/>
              <w:rPr>
                <w:rFonts w:eastAsia="Arial Narrow"/>
                <w:lang w:eastAsia="en-US"/>
              </w:rPr>
            </w:pPr>
            <w:r w:rsidRPr="00E32EE5">
              <w:rPr>
                <w:rFonts w:eastAsia="Calibri"/>
                <w:color w:val="252525"/>
                <w:lang w:eastAsia="en-US"/>
              </w:rPr>
              <w:t>Învățământ</w:t>
            </w:r>
            <w:r w:rsidRPr="00E32EE5">
              <w:rPr>
                <w:rFonts w:eastAsia="Calibri"/>
                <w:color w:val="252525"/>
                <w:spacing w:val="-16"/>
                <w:lang w:eastAsia="en-US"/>
              </w:rPr>
              <w:t xml:space="preserve"> </w:t>
            </w:r>
            <w:r w:rsidRPr="00E32EE5">
              <w:rPr>
                <w:rFonts w:eastAsia="Calibri"/>
                <w:color w:val="252525"/>
                <w:lang w:eastAsia="en-US"/>
              </w:rPr>
              <w:t>postliceal</w:t>
            </w:r>
          </w:p>
        </w:tc>
        <w:tc>
          <w:tcPr>
            <w:tcW w:w="2584" w:type="dxa"/>
            <w:vAlign w:val="center"/>
          </w:tcPr>
          <w:p w:rsidR="006C7D1C" w:rsidRPr="009A6023" w:rsidRDefault="006C7D1C" w:rsidP="003E3FEE">
            <w:pPr>
              <w:jc w:val="center"/>
              <w:rPr>
                <w:color w:val="000000"/>
                <w:szCs w:val="24"/>
              </w:rPr>
            </w:pPr>
            <w:r w:rsidRPr="009A6023">
              <w:rPr>
                <w:color w:val="000000"/>
                <w:szCs w:val="24"/>
              </w:rPr>
              <w:t>3.230</w:t>
            </w:r>
          </w:p>
        </w:tc>
        <w:tc>
          <w:tcPr>
            <w:tcW w:w="2584" w:type="dxa"/>
            <w:vAlign w:val="center"/>
          </w:tcPr>
          <w:p w:rsidR="006C7D1C" w:rsidRPr="009A6023" w:rsidRDefault="006C7D1C" w:rsidP="003E3FEE">
            <w:pPr>
              <w:jc w:val="center"/>
              <w:rPr>
                <w:color w:val="000000"/>
                <w:szCs w:val="24"/>
              </w:rPr>
            </w:pPr>
            <w:r w:rsidRPr="009A6023">
              <w:rPr>
                <w:color w:val="000000"/>
                <w:szCs w:val="24"/>
              </w:rPr>
              <w:t>84</w:t>
            </w:r>
          </w:p>
        </w:tc>
        <w:tc>
          <w:tcPr>
            <w:tcW w:w="2436" w:type="dxa"/>
            <w:vAlign w:val="center"/>
          </w:tcPr>
          <w:p w:rsidR="006C7D1C" w:rsidRPr="009A6023" w:rsidRDefault="006C7D1C" w:rsidP="003E3FEE">
            <w:pPr>
              <w:jc w:val="center"/>
              <w:rPr>
                <w:color w:val="000000"/>
                <w:szCs w:val="24"/>
              </w:rPr>
            </w:pPr>
            <w:r w:rsidRPr="009A6023">
              <w:rPr>
                <w:color w:val="000000"/>
                <w:szCs w:val="24"/>
              </w:rPr>
              <w:t>3.314</w:t>
            </w:r>
          </w:p>
        </w:tc>
      </w:tr>
      <w:tr w:rsidR="006C7D1C" w:rsidTr="006C7D1C">
        <w:tc>
          <w:tcPr>
            <w:tcW w:w="2476" w:type="dxa"/>
          </w:tcPr>
          <w:p w:rsidR="006C7D1C" w:rsidRPr="00E32EE5" w:rsidRDefault="006C7D1C" w:rsidP="00A77970">
            <w:pPr>
              <w:widowControl w:val="0"/>
              <w:spacing w:before="34"/>
              <w:ind w:left="8"/>
              <w:jc w:val="both"/>
              <w:rPr>
                <w:rFonts w:eastAsia="Arial Narrow"/>
                <w:lang w:eastAsia="en-US"/>
              </w:rPr>
            </w:pPr>
            <w:r w:rsidRPr="00E32EE5">
              <w:rPr>
                <w:rFonts w:eastAsia="Calibri"/>
                <w:color w:val="252525"/>
                <w:lang w:eastAsia="en-US"/>
              </w:rPr>
              <w:t>Total</w:t>
            </w:r>
          </w:p>
        </w:tc>
        <w:tc>
          <w:tcPr>
            <w:tcW w:w="2584" w:type="dxa"/>
            <w:vAlign w:val="center"/>
          </w:tcPr>
          <w:p w:rsidR="006C7D1C" w:rsidRPr="009A6023" w:rsidRDefault="006C7D1C" w:rsidP="003E3FEE">
            <w:pPr>
              <w:jc w:val="center"/>
              <w:rPr>
                <w:b/>
                <w:color w:val="000000"/>
                <w:szCs w:val="24"/>
              </w:rPr>
            </w:pPr>
            <w:r w:rsidRPr="009A6023">
              <w:rPr>
                <w:b/>
                <w:color w:val="000000"/>
                <w:szCs w:val="24"/>
              </w:rPr>
              <w:t>244.667</w:t>
            </w:r>
          </w:p>
        </w:tc>
        <w:tc>
          <w:tcPr>
            <w:tcW w:w="2584" w:type="dxa"/>
            <w:vAlign w:val="center"/>
          </w:tcPr>
          <w:p w:rsidR="006C7D1C" w:rsidRPr="009A6023" w:rsidRDefault="006C7D1C" w:rsidP="003E3FEE">
            <w:pPr>
              <w:jc w:val="center"/>
              <w:rPr>
                <w:b/>
                <w:color w:val="000000"/>
                <w:szCs w:val="24"/>
              </w:rPr>
            </w:pPr>
            <w:r w:rsidRPr="009A6023">
              <w:rPr>
                <w:b/>
                <w:color w:val="000000"/>
                <w:szCs w:val="24"/>
              </w:rPr>
              <w:t>3.067</w:t>
            </w:r>
          </w:p>
        </w:tc>
        <w:tc>
          <w:tcPr>
            <w:tcW w:w="2436" w:type="dxa"/>
            <w:vAlign w:val="center"/>
          </w:tcPr>
          <w:p w:rsidR="006C7D1C" w:rsidRPr="009A6023" w:rsidRDefault="006C7D1C" w:rsidP="003E3FEE">
            <w:pPr>
              <w:jc w:val="center"/>
              <w:rPr>
                <w:b/>
                <w:color w:val="000000"/>
                <w:szCs w:val="24"/>
              </w:rPr>
            </w:pPr>
            <w:r w:rsidRPr="009A6023">
              <w:rPr>
                <w:b/>
                <w:color w:val="000000"/>
                <w:szCs w:val="24"/>
              </w:rPr>
              <w:t>247.734</w:t>
            </w:r>
          </w:p>
        </w:tc>
      </w:tr>
    </w:tbl>
    <w:p w:rsidR="00812485" w:rsidRPr="006C7D1C" w:rsidRDefault="00E32EE5" w:rsidP="00A77970">
      <w:pPr>
        <w:jc w:val="both"/>
        <w:rPr>
          <w:rFonts w:eastAsia="Calibri"/>
          <w:color w:val="252525"/>
          <w:spacing w:val="-1"/>
        </w:rPr>
      </w:pPr>
      <w:r w:rsidRPr="00E32EE5">
        <w:rPr>
          <w:rFonts w:eastAsia="Calibri"/>
          <w:color w:val="252525"/>
          <w:spacing w:val="31"/>
        </w:rPr>
        <w:tab/>
      </w:r>
      <w:r w:rsidR="006C7D1C" w:rsidRPr="006C7D1C">
        <w:rPr>
          <w:rFonts w:eastAsia="Calibri"/>
          <w:color w:val="252525"/>
          <w:spacing w:val="-1"/>
        </w:rPr>
        <w:t>Pentru învăţământul liceal, numărul liceelor a înregistrat un trend ascendent, de la 41 în anul şcolar 2010-2011 ajungând la 50 în anul şcolar 2017-2018. Aceeaşi situaţie se poate observa şi în cadrul colegiilor naţionale/ tehnice/ economice, numărul acestora fiind mai mare cu 10.4% în anul şcolar 2017-2018 faţă de anul şcolar 2010-2011.</w:t>
      </w:r>
    </w:p>
    <w:p w:rsidR="006C7D1C" w:rsidRPr="006C7D1C" w:rsidRDefault="006C7D1C" w:rsidP="006C7D1C">
      <w:pPr>
        <w:jc w:val="both"/>
        <w:rPr>
          <w:bCs/>
          <w:iCs/>
          <w:lang w:val="en-US" w:eastAsia="en-US"/>
        </w:rPr>
      </w:pPr>
      <w:r>
        <w:rPr>
          <w:b/>
          <w:color w:val="262626"/>
          <w:spacing w:val="-6"/>
          <w:lang w:eastAsia="en-US"/>
        </w:rPr>
        <w:tab/>
      </w:r>
      <w:r w:rsidR="00E32EE5" w:rsidRPr="00E32EE5">
        <w:rPr>
          <w:b/>
          <w:color w:val="262626"/>
          <w:spacing w:val="-6"/>
          <w:lang w:eastAsia="en-US"/>
        </w:rPr>
        <w:t>Învățământ special în anul școlar 201</w:t>
      </w:r>
      <w:r w:rsidR="004514C3">
        <w:rPr>
          <w:b/>
          <w:color w:val="262626"/>
          <w:spacing w:val="-6"/>
          <w:lang w:eastAsia="en-US"/>
        </w:rPr>
        <w:t>7</w:t>
      </w:r>
      <w:r w:rsidR="00E32EE5" w:rsidRPr="00E32EE5">
        <w:rPr>
          <w:b/>
          <w:color w:val="262626"/>
          <w:spacing w:val="-6"/>
          <w:lang w:eastAsia="en-US"/>
        </w:rPr>
        <w:t>-201</w:t>
      </w:r>
      <w:r w:rsidR="004514C3">
        <w:rPr>
          <w:b/>
          <w:color w:val="262626"/>
          <w:spacing w:val="-6"/>
          <w:lang w:eastAsia="en-US"/>
        </w:rPr>
        <w:t>8</w:t>
      </w:r>
      <w:r>
        <w:rPr>
          <w:bCs/>
          <w:iCs/>
          <w:lang w:val="en-US" w:eastAsia="en-US"/>
        </w:rPr>
        <w:t xml:space="preserve">. </w:t>
      </w:r>
      <w:r w:rsidRPr="006C7D1C">
        <w:t>În anul școlar 2017-2018 au fost înmatriculați în învățământul special 3053 copii/elevi repartizați astfel :</w:t>
      </w:r>
    </w:p>
    <w:tbl>
      <w:tblPr>
        <w:tblW w:w="471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1654"/>
        <w:gridCol w:w="2844"/>
        <w:gridCol w:w="2555"/>
      </w:tblGrid>
      <w:tr w:rsidR="006C7D1C" w:rsidRPr="006C7D1C" w:rsidTr="00565C64">
        <w:trPr>
          <w:trHeight w:val="107"/>
        </w:trPr>
        <w:tc>
          <w:tcPr>
            <w:tcW w:w="13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7D1C" w:rsidRPr="006C7D1C" w:rsidRDefault="006C7D1C" w:rsidP="006C7D1C">
            <w:pPr>
              <w:pStyle w:val="ListParagraph1"/>
              <w:spacing w:after="0"/>
              <w:ind w:left="0"/>
              <w:jc w:val="center"/>
              <w:rPr>
                <w:rFonts w:ascii="Times New Roman" w:hAnsi="Times New Roman"/>
                <w:b/>
                <w:szCs w:val="24"/>
              </w:rPr>
            </w:pPr>
            <w:r w:rsidRPr="006C7D1C">
              <w:rPr>
                <w:rFonts w:ascii="Times New Roman" w:hAnsi="Times New Roman"/>
                <w:b/>
                <w:szCs w:val="24"/>
              </w:rPr>
              <w:t>Nivel de învățământ</w:t>
            </w:r>
          </w:p>
        </w:tc>
        <w:tc>
          <w:tcPr>
            <w:tcW w:w="8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7D1C" w:rsidRPr="006C7D1C" w:rsidRDefault="006C7D1C" w:rsidP="006C7D1C">
            <w:pPr>
              <w:pStyle w:val="ListParagraph1"/>
              <w:spacing w:after="0"/>
              <w:ind w:left="0"/>
              <w:jc w:val="center"/>
              <w:rPr>
                <w:rFonts w:ascii="Times New Roman" w:hAnsi="Times New Roman"/>
                <w:b/>
                <w:szCs w:val="24"/>
              </w:rPr>
            </w:pPr>
            <w:r w:rsidRPr="006C7D1C">
              <w:rPr>
                <w:rFonts w:ascii="Times New Roman" w:hAnsi="Times New Roman"/>
                <w:b/>
                <w:szCs w:val="24"/>
              </w:rPr>
              <w:t>Număr de elevi</w:t>
            </w:r>
          </w:p>
        </w:tc>
        <w:tc>
          <w:tcPr>
            <w:tcW w:w="14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7D1C" w:rsidRPr="006C7D1C" w:rsidRDefault="006C7D1C" w:rsidP="006C7D1C">
            <w:pPr>
              <w:pStyle w:val="ListParagraph1"/>
              <w:spacing w:after="0"/>
              <w:ind w:left="33"/>
              <w:jc w:val="center"/>
              <w:rPr>
                <w:rFonts w:ascii="Times New Roman" w:hAnsi="Times New Roman"/>
                <w:b/>
                <w:szCs w:val="24"/>
              </w:rPr>
            </w:pPr>
            <w:r w:rsidRPr="006C7D1C">
              <w:rPr>
                <w:rFonts w:ascii="Times New Roman" w:hAnsi="Times New Roman"/>
                <w:b/>
                <w:szCs w:val="24"/>
              </w:rPr>
              <w:t>Număr de</w:t>
            </w:r>
            <w:r>
              <w:rPr>
                <w:rFonts w:ascii="Times New Roman" w:hAnsi="Times New Roman"/>
                <w:b/>
                <w:szCs w:val="24"/>
              </w:rPr>
              <w:t xml:space="preserve"> </w:t>
            </w:r>
            <w:r w:rsidRPr="006C7D1C">
              <w:rPr>
                <w:rFonts w:ascii="Times New Roman" w:hAnsi="Times New Roman"/>
                <w:b/>
                <w:szCs w:val="24"/>
              </w:rPr>
              <w:t>grupe/clase</w:t>
            </w:r>
          </w:p>
        </w:tc>
        <w:tc>
          <w:tcPr>
            <w:tcW w:w="13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7D1C" w:rsidRPr="006C7D1C" w:rsidRDefault="006C7D1C" w:rsidP="006C7D1C">
            <w:pPr>
              <w:pStyle w:val="ListParagraph1"/>
              <w:spacing w:after="0"/>
              <w:ind w:left="13"/>
              <w:jc w:val="center"/>
              <w:rPr>
                <w:rFonts w:ascii="Times New Roman" w:hAnsi="Times New Roman"/>
                <w:b/>
                <w:szCs w:val="24"/>
              </w:rPr>
            </w:pPr>
            <w:r w:rsidRPr="006C7D1C">
              <w:rPr>
                <w:rFonts w:ascii="Times New Roman" w:hAnsi="Times New Roman"/>
                <w:b/>
                <w:szCs w:val="24"/>
              </w:rPr>
              <w:t>Media pe grupă/clasă</w:t>
            </w:r>
          </w:p>
        </w:tc>
      </w:tr>
      <w:tr w:rsidR="006C7D1C" w:rsidRPr="006C7D1C" w:rsidTr="006C7D1C">
        <w:trPr>
          <w:trHeight w:val="260"/>
        </w:trPr>
        <w:tc>
          <w:tcPr>
            <w:tcW w:w="1384" w:type="pct"/>
            <w:tcBorders>
              <w:top w:val="single" w:sz="4" w:space="0" w:color="auto"/>
              <w:left w:val="single" w:sz="4" w:space="0" w:color="auto"/>
              <w:bottom w:val="single" w:sz="4" w:space="0" w:color="auto"/>
              <w:right w:val="single" w:sz="4" w:space="0" w:color="auto"/>
            </w:tcBorders>
            <w:vAlign w:val="center"/>
          </w:tcPr>
          <w:p w:rsidR="006C7D1C" w:rsidRPr="006C7D1C" w:rsidRDefault="006C7D1C" w:rsidP="006C7D1C">
            <w:pPr>
              <w:pStyle w:val="ListParagraph1"/>
              <w:spacing w:after="0"/>
              <w:ind w:left="0"/>
              <w:rPr>
                <w:rFonts w:ascii="Times New Roman" w:hAnsi="Times New Roman"/>
                <w:szCs w:val="24"/>
              </w:rPr>
            </w:pPr>
            <w:r w:rsidRPr="006C7D1C">
              <w:rPr>
                <w:rFonts w:ascii="Times New Roman" w:hAnsi="Times New Roman"/>
                <w:color w:val="000000"/>
                <w:szCs w:val="24"/>
              </w:rPr>
              <w:t>învățământ preşcolar</w:t>
            </w:r>
          </w:p>
        </w:tc>
        <w:tc>
          <w:tcPr>
            <w:tcW w:w="848" w:type="pct"/>
            <w:tcBorders>
              <w:top w:val="single" w:sz="4" w:space="0" w:color="auto"/>
              <w:left w:val="single" w:sz="4" w:space="0" w:color="auto"/>
              <w:bottom w:val="single" w:sz="4" w:space="0" w:color="auto"/>
              <w:right w:val="single" w:sz="4" w:space="0" w:color="auto"/>
            </w:tcBorders>
            <w:vAlign w:val="center"/>
          </w:tcPr>
          <w:p w:rsidR="006C7D1C" w:rsidRPr="006C7D1C" w:rsidRDefault="006C7D1C" w:rsidP="006C7D1C">
            <w:pPr>
              <w:pStyle w:val="ListParagraph1"/>
              <w:spacing w:after="0"/>
              <w:ind w:left="-18"/>
              <w:jc w:val="center"/>
              <w:rPr>
                <w:rFonts w:ascii="Times New Roman" w:hAnsi="Times New Roman"/>
                <w:color w:val="000000"/>
                <w:szCs w:val="24"/>
              </w:rPr>
            </w:pPr>
            <w:r w:rsidRPr="006C7D1C">
              <w:rPr>
                <w:rFonts w:ascii="Times New Roman" w:hAnsi="Times New Roman"/>
                <w:color w:val="000000"/>
                <w:szCs w:val="24"/>
              </w:rPr>
              <w:t>201</w:t>
            </w:r>
          </w:p>
        </w:tc>
        <w:tc>
          <w:tcPr>
            <w:tcW w:w="1458" w:type="pct"/>
            <w:tcBorders>
              <w:top w:val="single" w:sz="4" w:space="0" w:color="auto"/>
              <w:left w:val="single" w:sz="4" w:space="0" w:color="auto"/>
              <w:bottom w:val="single" w:sz="4" w:space="0" w:color="auto"/>
              <w:right w:val="single" w:sz="4" w:space="0" w:color="auto"/>
            </w:tcBorders>
            <w:vAlign w:val="center"/>
          </w:tcPr>
          <w:p w:rsidR="006C7D1C" w:rsidRPr="006C7D1C" w:rsidRDefault="006C7D1C" w:rsidP="006C7D1C">
            <w:pPr>
              <w:pStyle w:val="ListParagraph1"/>
              <w:spacing w:after="0"/>
              <w:ind w:left="0"/>
              <w:jc w:val="center"/>
              <w:rPr>
                <w:rFonts w:ascii="Times New Roman" w:hAnsi="Times New Roman"/>
                <w:color w:val="000000"/>
                <w:szCs w:val="24"/>
              </w:rPr>
            </w:pPr>
            <w:r w:rsidRPr="006C7D1C">
              <w:rPr>
                <w:rFonts w:ascii="Times New Roman" w:hAnsi="Times New Roman"/>
                <w:color w:val="000000"/>
                <w:szCs w:val="24"/>
              </w:rPr>
              <w:t>24</w:t>
            </w:r>
          </w:p>
        </w:tc>
        <w:tc>
          <w:tcPr>
            <w:tcW w:w="1310" w:type="pct"/>
            <w:tcBorders>
              <w:top w:val="single" w:sz="4" w:space="0" w:color="auto"/>
              <w:left w:val="single" w:sz="4" w:space="0" w:color="auto"/>
              <w:bottom w:val="single" w:sz="4" w:space="0" w:color="auto"/>
              <w:right w:val="single" w:sz="4" w:space="0" w:color="auto"/>
            </w:tcBorders>
            <w:vAlign w:val="center"/>
          </w:tcPr>
          <w:p w:rsidR="006C7D1C" w:rsidRPr="006C7D1C" w:rsidRDefault="006C7D1C" w:rsidP="006C7D1C">
            <w:pPr>
              <w:pStyle w:val="ListParagraph1"/>
              <w:spacing w:after="0"/>
              <w:ind w:left="13"/>
              <w:jc w:val="center"/>
              <w:rPr>
                <w:rFonts w:ascii="Times New Roman" w:hAnsi="Times New Roman"/>
                <w:color w:val="000000"/>
                <w:szCs w:val="24"/>
              </w:rPr>
            </w:pPr>
            <w:r w:rsidRPr="006C7D1C">
              <w:rPr>
                <w:rFonts w:ascii="Times New Roman" w:hAnsi="Times New Roman"/>
                <w:color w:val="000000"/>
                <w:szCs w:val="24"/>
              </w:rPr>
              <w:t>8.37</w:t>
            </w:r>
          </w:p>
        </w:tc>
      </w:tr>
      <w:tr w:rsidR="006C7D1C" w:rsidRPr="006C7D1C" w:rsidTr="006C7D1C">
        <w:trPr>
          <w:trHeight w:val="233"/>
        </w:trPr>
        <w:tc>
          <w:tcPr>
            <w:tcW w:w="1384" w:type="pct"/>
            <w:tcBorders>
              <w:top w:val="single" w:sz="4" w:space="0" w:color="auto"/>
              <w:left w:val="single" w:sz="4" w:space="0" w:color="auto"/>
              <w:bottom w:val="single" w:sz="4" w:space="0" w:color="auto"/>
              <w:right w:val="single" w:sz="4" w:space="0" w:color="auto"/>
            </w:tcBorders>
            <w:vAlign w:val="center"/>
          </w:tcPr>
          <w:p w:rsidR="006C7D1C" w:rsidRPr="006C7D1C" w:rsidRDefault="006C7D1C" w:rsidP="006C7D1C">
            <w:pPr>
              <w:pStyle w:val="ListParagraph1"/>
              <w:spacing w:after="0"/>
              <w:ind w:left="0"/>
              <w:rPr>
                <w:rFonts w:ascii="Times New Roman" w:hAnsi="Times New Roman"/>
                <w:szCs w:val="24"/>
              </w:rPr>
            </w:pPr>
            <w:r w:rsidRPr="006C7D1C">
              <w:rPr>
                <w:rFonts w:ascii="Times New Roman" w:hAnsi="Times New Roman"/>
                <w:color w:val="000000"/>
                <w:szCs w:val="24"/>
              </w:rPr>
              <w:t>învățământ primar</w:t>
            </w:r>
          </w:p>
        </w:tc>
        <w:tc>
          <w:tcPr>
            <w:tcW w:w="848" w:type="pct"/>
            <w:tcBorders>
              <w:top w:val="single" w:sz="4" w:space="0" w:color="auto"/>
              <w:left w:val="single" w:sz="4" w:space="0" w:color="auto"/>
              <w:bottom w:val="single" w:sz="4" w:space="0" w:color="auto"/>
              <w:right w:val="single" w:sz="4" w:space="0" w:color="auto"/>
            </w:tcBorders>
            <w:vAlign w:val="center"/>
          </w:tcPr>
          <w:p w:rsidR="006C7D1C" w:rsidRPr="006C7D1C" w:rsidRDefault="006C7D1C" w:rsidP="006C7D1C">
            <w:pPr>
              <w:pStyle w:val="ListParagraph1"/>
              <w:spacing w:after="0"/>
              <w:ind w:left="-18"/>
              <w:jc w:val="center"/>
              <w:rPr>
                <w:rFonts w:ascii="Times New Roman" w:hAnsi="Times New Roman"/>
                <w:color w:val="000000"/>
                <w:szCs w:val="24"/>
              </w:rPr>
            </w:pPr>
            <w:r w:rsidRPr="006C7D1C">
              <w:rPr>
                <w:rFonts w:ascii="Times New Roman" w:hAnsi="Times New Roman"/>
                <w:color w:val="000000"/>
                <w:szCs w:val="24"/>
              </w:rPr>
              <w:t>988</w:t>
            </w:r>
          </w:p>
        </w:tc>
        <w:tc>
          <w:tcPr>
            <w:tcW w:w="1458" w:type="pct"/>
            <w:tcBorders>
              <w:top w:val="single" w:sz="4" w:space="0" w:color="auto"/>
              <w:left w:val="single" w:sz="4" w:space="0" w:color="auto"/>
              <w:bottom w:val="single" w:sz="4" w:space="0" w:color="auto"/>
              <w:right w:val="single" w:sz="4" w:space="0" w:color="auto"/>
            </w:tcBorders>
            <w:vAlign w:val="center"/>
          </w:tcPr>
          <w:p w:rsidR="006C7D1C" w:rsidRPr="006C7D1C" w:rsidRDefault="006C7D1C" w:rsidP="006C7D1C">
            <w:pPr>
              <w:pStyle w:val="ListParagraph1"/>
              <w:spacing w:after="0"/>
              <w:ind w:left="0"/>
              <w:jc w:val="center"/>
              <w:rPr>
                <w:rFonts w:ascii="Times New Roman" w:hAnsi="Times New Roman"/>
                <w:color w:val="000000"/>
                <w:szCs w:val="24"/>
              </w:rPr>
            </w:pPr>
            <w:r w:rsidRPr="006C7D1C">
              <w:rPr>
                <w:rFonts w:ascii="Times New Roman" w:hAnsi="Times New Roman"/>
                <w:color w:val="000000"/>
                <w:szCs w:val="24"/>
              </w:rPr>
              <w:t>116</w:t>
            </w:r>
          </w:p>
        </w:tc>
        <w:tc>
          <w:tcPr>
            <w:tcW w:w="1310" w:type="pct"/>
            <w:tcBorders>
              <w:top w:val="single" w:sz="4" w:space="0" w:color="auto"/>
              <w:left w:val="single" w:sz="4" w:space="0" w:color="auto"/>
              <w:bottom w:val="single" w:sz="4" w:space="0" w:color="auto"/>
              <w:right w:val="single" w:sz="4" w:space="0" w:color="auto"/>
            </w:tcBorders>
            <w:vAlign w:val="center"/>
          </w:tcPr>
          <w:p w:rsidR="006C7D1C" w:rsidRPr="006C7D1C" w:rsidRDefault="006C7D1C" w:rsidP="006C7D1C">
            <w:pPr>
              <w:pStyle w:val="ListParagraph1"/>
              <w:spacing w:after="0"/>
              <w:ind w:left="13"/>
              <w:jc w:val="center"/>
              <w:rPr>
                <w:rFonts w:ascii="Times New Roman" w:hAnsi="Times New Roman"/>
                <w:color w:val="000000"/>
                <w:szCs w:val="24"/>
              </w:rPr>
            </w:pPr>
            <w:r w:rsidRPr="006C7D1C">
              <w:rPr>
                <w:rFonts w:ascii="Times New Roman" w:hAnsi="Times New Roman"/>
                <w:color w:val="000000"/>
                <w:szCs w:val="24"/>
              </w:rPr>
              <w:t>8.52</w:t>
            </w:r>
          </w:p>
        </w:tc>
      </w:tr>
      <w:tr w:rsidR="006C7D1C" w:rsidRPr="006C7D1C" w:rsidTr="006C7D1C">
        <w:trPr>
          <w:trHeight w:val="107"/>
        </w:trPr>
        <w:tc>
          <w:tcPr>
            <w:tcW w:w="1384" w:type="pct"/>
            <w:tcBorders>
              <w:top w:val="single" w:sz="4" w:space="0" w:color="auto"/>
              <w:left w:val="single" w:sz="4" w:space="0" w:color="auto"/>
              <w:bottom w:val="single" w:sz="4" w:space="0" w:color="auto"/>
              <w:right w:val="single" w:sz="4" w:space="0" w:color="auto"/>
            </w:tcBorders>
            <w:vAlign w:val="center"/>
          </w:tcPr>
          <w:p w:rsidR="006C7D1C" w:rsidRPr="006C7D1C" w:rsidRDefault="006C7D1C" w:rsidP="006C7D1C">
            <w:pPr>
              <w:pStyle w:val="ListParagraph1"/>
              <w:spacing w:after="0"/>
              <w:ind w:left="0"/>
              <w:rPr>
                <w:rFonts w:ascii="Times New Roman" w:hAnsi="Times New Roman"/>
                <w:bCs/>
                <w:szCs w:val="24"/>
              </w:rPr>
            </w:pPr>
            <w:r w:rsidRPr="006C7D1C">
              <w:rPr>
                <w:rFonts w:ascii="Times New Roman" w:hAnsi="Times New Roman"/>
                <w:color w:val="000000"/>
                <w:szCs w:val="24"/>
              </w:rPr>
              <w:t>învățământ  gimnazial</w:t>
            </w:r>
          </w:p>
        </w:tc>
        <w:tc>
          <w:tcPr>
            <w:tcW w:w="848" w:type="pct"/>
            <w:tcBorders>
              <w:top w:val="single" w:sz="4" w:space="0" w:color="auto"/>
              <w:left w:val="single" w:sz="4" w:space="0" w:color="auto"/>
              <w:bottom w:val="single" w:sz="4" w:space="0" w:color="auto"/>
              <w:right w:val="single" w:sz="4" w:space="0" w:color="auto"/>
            </w:tcBorders>
            <w:vAlign w:val="center"/>
          </w:tcPr>
          <w:p w:rsidR="006C7D1C" w:rsidRPr="006C7D1C" w:rsidRDefault="006C7D1C" w:rsidP="006C7D1C">
            <w:pPr>
              <w:pStyle w:val="ListParagraph1"/>
              <w:spacing w:after="0"/>
              <w:ind w:left="-18"/>
              <w:jc w:val="center"/>
              <w:rPr>
                <w:rFonts w:ascii="Times New Roman" w:hAnsi="Times New Roman"/>
                <w:color w:val="000000"/>
                <w:szCs w:val="24"/>
              </w:rPr>
            </w:pPr>
            <w:r w:rsidRPr="006C7D1C">
              <w:rPr>
                <w:rFonts w:ascii="Times New Roman" w:hAnsi="Times New Roman"/>
                <w:color w:val="000000"/>
                <w:szCs w:val="24"/>
              </w:rPr>
              <w:t>1045</w:t>
            </w:r>
          </w:p>
        </w:tc>
        <w:tc>
          <w:tcPr>
            <w:tcW w:w="1458" w:type="pct"/>
            <w:tcBorders>
              <w:top w:val="single" w:sz="4" w:space="0" w:color="auto"/>
              <w:left w:val="single" w:sz="4" w:space="0" w:color="auto"/>
              <w:bottom w:val="single" w:sz="4" w:space="0" w:color="auto"/>
              <w:right w:val="single" w:sz="4" w:space="0" w:color="auto"/>
            </w:tcBorders>
            <w:vAlign w:val="center"/>
          </w:tcPr>
          <w:p w:rsidR="006C7D1C" w:rsidRPr="006C7D1C" w:rsidRDefault="006C7D1C" w:rsidP="006C7D1C">
            <w:pPr>
              <w:pStyle w:val="ListParagraph1"/>
              <w:spacing w:after="0"/>
              <w:ind w:left="0"/>
              <w:jc w:val="center"/>
              <w:rPr>
                <w:rFonts w:ascii="Times New Roman" w:hAnsi="Times New Roman"/>
                <w:color w:val="000000"/>
                <w:szCs w:val="24"/>
              </w:rPr>
            </w:pPr>
            <w:r w:rsidRPr="006C7D1C">
              <w:rPr>
                <w:rFonts w:ascii="Times New Roman" w:hAnsi="Times New Roman"/>
                <w:color w:val="000000"/>
                <w:szCs w:val="24"/>
              </w:rPr>
              <w:t>123</w:t>
            </w:r>
          </w:p>
        </w:tc>
        <w:tc>
          <w:tcPr>
            <w:tcW w:w="1310" w:type="pct"/>
            <w:tcBorders>
              <w:top w:val="single" w:sz="4" w:space="0" w:color="auto"/>
              <w:left w:val="single" w:sz="4" w:space="0" w:color="auto"/>
              <w:bottom w:val="single" w:sz="4" w:space="0" w:color="auto"/>
              <w:right w:val="single" w:sz="4" w:space="0" w:color="auto"/>
            </w:tcBorders>
            <w:vAlign w:val="center"/>
          </w:tcPr>
          <w:p w:rsidR="006C7D1C" w:rsidRPr="006C7D1C" w:rsidRDefault="006C7D1C" w:rsidP="006C7D1C">
            <w:pPr>
              <w:pStyle w:val="ListParagraph1"/>
              <w:spacing w:after="0"/>
              <w:ind w:left="13"/>
              <w:jc w:val="center"/>
              <w:rPr>
                <w:rFonts w:ascii="Times New Roman" w:hAnsi="Times New Roman"/>
                <w:color w:val="000000"/>
                <w:szCs w:val="24"/>
              </w:rPr>
            </w:pPr>
            <w:r w:rsidRPr="006C7D1C">
              <w:rPr>
                <w:rFonts w:ascii="Times New Roman" w:hAnsi="Times New Roman"/>
                <w:color w:val="000000"/>
                <w:szCs w:val="24"/>
              </w:rPr>
              <w:t>8.50</w:t>
            </w:r>
          </w:p>
        </w:tc>
      </w:tr>
      <w:tr w:rsidR="006C7D1C" w:rsidRPr="006C7D1C" w:rsidTr="006C7D1C">
        <w:trPr>
          <w:trHeight w:val="70"/>
        </w:trPr>
        <w:tc>
          <w:tcPr>
            <w:tcW w:w="1384" w:type="pct"/>
            <w:tcBorders>
              <w:top w:val="single" w:sz="4" w:space="0" w:color="auto"/>
              <w:left w:val="single" w:sz="4" w:space="0" w:color="auto"/>
              <w:bottom w:val="single" w:sz="4" w:space="0" w:color="auto"/>
              <w:right w:val="single" w:sz="4" w:space="0" w:color="auto"/>
            </w:tcBorders>
            <w:vAlign w:val="center"/>
          </w:tcPr>
          <w:p w:rsidR="006C7D1C" w:rsidRPr="006C7D1C" w:rsidRDefault="006C7D1C" w:rsidP="006C7D1C">
            <w:pPr>
              <w:pStyle w:val="ListParagraph1"/>
              <w:spacing w:after="0"/>
              <w:ind w:left="0"/>
              <w:rPr>
                <w:rFonts w:ascii="Times New Roman" w:hAnsi="Times New Roman"/>
                <w:bCs/>
                <w:szCs w:val="24"/>
              </w:rPr>
            </w:pPr>
            <w:r w:rsidRPr="006C7D1C">
              <w:rPr>
                <w:rFonts w:ascii="Times New Roman" w:hAnsi="Times New Roman"/>
                <w:color w:val="000000"/>
                <w:szCs w:val="24"/>
              </w:rPr>
              <w:t>învățământ profesional</w:t>
            </w:r>
          </w:p>
        </w:tc>
        <w:tc>
          <w:tcPr>
            <w:tcW w:w="848" w:type="pct"/>
            <w:tcBorders>
              <w:top w:val="single" w:sz="4" w:space="0" w:color="auto"/>
              <w:left w:val="single" w:sz="4" w:space="0" w:color="auto"/>
              <w:bottom w:val="single" w:sz="4" w:space="0" w:color="auto"/>
              <w:right w:val="single" w:sz="4" w:space="0" w:color="auto"/>
            </w:tcBorders>
            <w:vAlign w:val="center"/>
          </w:tcPr>
          <w:p w:rsidR="006C7D1C" w:rsidRPr="006C7D1C" w:rsidRDefault="006C7D1C" w:rsidP="006C7D1C">
            <w:pPr>
              <w:pStyle w:val="ListParagraph1"/>
              <w:spacing w:after="0"/>
              <w:ind w:left="-18"/>
              <w:jc w:val="center"/>
              <w:rPr>
                <w:rFonts w:ascii="Times New Roman" w:hAnsi="Times New Roman"/>
                <w:color w:val="000000"/>
                <w:szCs w:val="24"/>
              </w:rPr>
            </w:pPr>
            <w:r w:rsidRPr="006C7D1C">
              <w:rPr>
                <w:rFonts w:ascii="Times New Roman" w:hAnsi="Times New Roman"/>
                <w:color w:val="000000"/>
                <w:szCs w:val="24"/>
              </w:rPr>
              <w:t>733</w:t>
            </w:r>
          </w:p>
        </w:tc>
        <w:tc>
          <w:tcPr>
            <w:tcW w:w="1458" w:type="pct"/>
            <w:tcBorders>
              <w:top w:val="single" w:sz="4" w:space="0" w:color="auto"/>
              <w:left w:val="single" w:sz="4" w:space="0" w:color="auto"/>
              <w:bottom w:val="single" w:sz="4" w:space="0" w:color="auto"/>
              <w:right w:val="single" w:sz="4" w:space="0" w:color="auto"/>
            </w:tcBorders>
            <w:vAlign w:val="center"/>
          </w:tcPr>
          <w:p w:rsidR="006C7D1C" w:rsidRPr="006C7D1C" w:rsidRDefault="006C7D1C" w:rsidP="006C7D1C">
            <w:pPr>
              <w:pStyle w:val="ListParagraph1"/>
              <w:spacing w:after="0"/>
              <w:ind w:left="0"/>
              <w:jc w:val="center"/>
              <w:rPr>
                <w:rFonts w:ascii="Times New Roman" w:hAnsi="Times New Roman"/>
                <w:color w:val="000000"/>
                <w:szCs w:val="24"/>
              </w:rPr>
            </w:pPr>
            <w:r w:rsidRPr="006C7D1C">
              <w:rPr>
                <w:rFonts w:ascii="Times New Roman" w:hAnsi="Times New Roman"/>
                <w:color w:val="000000"/>
                <w:szCs w:val="24"/>
              </w:rPr>
              <w:t>77</w:t>
            </w:r>
          </w:p>
        </w:tc>
        <w:tc>
          <w:tcPr>
            <w:tcW w:w="1310" w:type="pct"/>
            <w:tcBorders>
              <w:top w:val="single" w:sz="4" w:space="0" w:color="auto"/>
              <w:left w:val="single" w:sz="4" w:space="0" w:color="auto"/>
              <w:bottom w:val="single" w:sz="4" w:space="0" w:color="auto"/>
              <w:right w:val="single" w:sz="4" w:space="0" w:color="auto"/>
            </w:tcBorders>
            <w:vAlign w:val="center"/>
          </w:tcPr>
          <w:p w:rsidR="006C7D1C" w:rsidRPr="006C7D1C" w:rsidRDefault="006C7D1C" w:rsidP="006C7D1C">
            <w:pPr>
              <w:pStyle w:val="ListParagraph1"/>
              <w:spacing w:after="0"/>
              <w:ind w:left="13"/>
              <w:jc w:val="center"/>
              <w:rPr>
                <w:rFonts w:ascii="Times New Roman" w:hAnsi="Times New Roman"/>
                <w:color w:val="000000"/>
                <w:szCs w:val="24"/>
              </w:rPr>
            </w:pPr>
            <w:r w:rsidRPr="006C7D1C">
              <w:rPr>
                <w:rFonts w:ascii="Times New Roman" w:hAnsi="Times New Roman"/>
                <w:color w:val="000000"/>
                <w:szCs w:val="24"/>
              </w:rPr>
              <w:t>9.52</w:t>
            </w:r>
          </w:p>
        </w:tc>
      </w:tr>
      <w:tr w:rsidR="006C7D1C" w:rsidRPr="006C7D1C" w:rsidTr="006C7D1C">
        <w:trPr>
          <w:trHeight w:val="70"/>
        </w:trPr>
        <w:tc>
          <w:tcPr>
            <w:tcW w:w="1384" w:type="pct"/>
            <w:tcBorders>
              <w:top w:val="single" w:sz="4" w:space="0" w:color="auto"/>
              <w:left w:val="single" w:sz="4" w:space="0" w:color="auto"/>
              <w:bottom w:val="single" w:sz="4" w:space="0" w:color="auto"/>
              <w:right w:val="single" w:sz="4" w:space="0" w:color="auto"/>
            </w:tcBorders>
            <w:vAlign w:val="center"/>
          </w:tcPr>
          <w:p w:rsidR="006C7D1C" w:rsidRPr="006C7D1C" w:rsidRDefault="006C7D1C" w:rsidP="006C7D1C">
            <w:pPr>
              <w:pStyle w:val="ListParagraph1"/>
              <w:spacing w:after="0"/>
              <w:ind w:left="0"/>
              <w:rPr>
                <w:rFonts w:ascii="Times New Roman" w:hAnsi="Times New Roman"/>
                <w:bCs/>
                <w:szCs w:val="24"/>
              </w:rPr>
            </w:pPr>
            <w:r w:rsidRPr="006C7D1C">
              <w:rPr>
                <w:rFonts w:ascii="Times New Roman" w:hAnsi="Times New Roman"/>
                <w:color w:val="000000"/>
                <w:szCs w:val="24"/>
              </w:rPr>
              <w:t>învățământ liceal</w:t>
            </w:r>
          </w:p>
        </w:tc>
        <w:tc>
          <w:tcPr>
            <w:tcW w:w="848" w:type="pct"/>
            <w:tcBorders>
              <w:top w:val="single" w:sz="4" w:space="0" w:color="auto"/>
              <w:left w:val="single" w:sz="4" w:space="0" w:color="auto"/>
              <w:bottom w:val="single" w:sz="4" w:space="0" w:color="auto"/>
              <w:right w:val="single" w:sz="4" w:space="0" w:color="auto"/>
            </w:tcBorders>
            <w:vAlign w:val="center"/>
          </w:tcPr>
          <w:p w:rsidR="006C7D1C" w:rsidRPr="006C7D1C" w:rsidRDefault="006C7D1C" w:rsidP="006C7D1C">
            <w:pPr>
              <w:pStyle w:val="ListParagraph1"/>
              <w:spacing w:after="0"/>
              <w:ind w:left="-18"/>
              <w:jc w:val="center"/>
              <w:rPr>
                <w:rFonts w:ascii="Times New Roman" w:hAnsi="Times New Roman"/>
                <w:color w:val="000000"/>
                <w:szCs w:val="24"/>
              </w:rPr>
            </w:pPr>
            <w:r w:rsidRPr="006C7D1C">
              <w:rPr>
                <w:rFonts w:ascii="Times New Roman" w:hAnsi="Times New Roman"/>
                <w:color w:val="000000"/>
                <w:szCs w:val="24"/>
              </w:rPr>
              <w:t>86</w:t>
            </w:r>
          </w:p>
        </w:tc>
        <w:tc>
          <w:tcPr>
            <w:tcW w:w="1458" w:type="pct"/>
            <w:tcBorders>
              <w:top w:val="single" w:sz="4" w:space="0" w:color="auto"/>
              <w:left w:val="single" w:sz="4" w:space="0" w:color="auto"/>
              <w:bottom w:val="single" w:sz="4" w:space="0" w:color="auto"/>
              <w:right w:val="single" w:sz="4" w:space="0" w:color="auto"/>
            </w:tcBorders>
            <w:vAlign w:val="center"/>
          </w:tcPr>
          <w:p w:rsidR="006C7D1C" w:rsidRPr="006C7D1C" w:rsidRDefault="006C7D1C" w:rsidP="006C7D1C">
            <w:pPr>
              <w:pStyle w:val="ListParagraph1"/>
              <w:spacing w:after="0"/>
              <w:ind w:left="0"/>
              <w:jc w:val="center"/>
              <w:rPr>
                <w:rFonts w:ascii="Times New Roman" w:hAnsi="Times New Roman"/>
                <w:color w:val="000000"/>
                <w:szCs w:val="24"/>
              </w:rPr>
            </w:pPr>
            <w:r w:rsidRPr="006C7D1C">
              <w:rPr>
                <w:rFonts w:ascii="Times New Roman" w:hAnsi="Times New Roman"/>
                <w:color w:val="000000"/>
                <w:szCs w:val="24"/>
              </w:rPr>
              <w:t>11</w:t>
            </w:r>
          </w:p>
        </w:tc>
        <w:tc>
          <w:tcPr>
            <w:tcW w:w="1310" w:type="pct"/>
            <w:tcBorders>
              <w:top w:val="single" w:sz="4" w:space="0" w:color="auto"/>
              <w:left w:val="single" w:sz="4" w:space="0" w:color="auto"/>
              <w:bottom w:val="single" w:sz="4" w:space="0" w:color="auto"/>
              <w:right w:val="single" w:sz="4" w:space="0" w:color="auto"/>
            </w:tcBorders>
            <w:vAlign w:val="center"/>
          </w:tcPr>
          <w:p w:rsidR="006C7D1C" w:rsidRPr="006C7D1C" w:rsidRDefault="006C7D1C" w:rsidP="006C7D1C">
            <w:pPr>
              <w:pStyle w:val="ListParagraph1"/>
              <w:spacing w:after="0"/>
              <w:ind w:left="13"/>
              <w:jc w:val="center"/>
              <w:rPr>
                <w:rFonts w:ascii="Times New Roman" w:hAnsi="Times New Roman"/>
                <w:color w:val="000000"/>
                <w:szCs w:val="24"/>
              </w:rPr>
            </w:pPr>
            <w:r w:rsidRPr="006C7D1C">
              <w:rPr>
                <w:rFonts w:ascii="Times New Roman" w:hAnsi="Times New Roman"/>
                <w:color w:val="000000"/>
                <w:szCs w:val="24"/>
              </w:rPr>
              <w:t>7.82</w:t>
            </w:r>
          </w:p>
        </w:tc>
      </w:tr>
      <w:tr w:rsidR="006C7D1C" w:rsidRPr="006C7D1C" w:rsidTr="00191361">
        <w:trPr>
          <w:trHeight w:val="70"/>
        </w:trPr>
        <w:tc>
          <w:tcPr>
            <w:tcW w:w="1384" w:type="pct"/>
            <w:tcBorders>
              <w:top w:val="single" w:sz="4" w:space="0" w:color="auto"/>
              <w:left w:val="single" w:sz="4" w:space="0" w:color="auto"/>
              <w:bottom w:val="single" w:sz="4" w:space="0" w:color="auto"/>
              <w:right w:val="single" w:sz="4" w:space="0" w:color="auto"/>
            </w:tcBorders>
            <w:vAlign w:val="center"/>
          </w:tcPr>
          <w:p w:rsidR="006C7D1C" w:rsidRPr="006C7D1C" w:rsidRDefault="006C7D1C" w:rsidP="006C7D1C">
            <w:pPr>
              <w:pStyle w:val="ListParagraph1"/>
              <w:spacing w:after="0"/>
              <w:ind w:left="0"/>
              <w:rPr>
                <w:rFonts w:ascii="Times New Roman" w:hAnsi="Times New Roman"/>
                <w:bCs/>
                <w:szCs w:val="24"/>
              </w:rPr>
            </w:pPr>
            <w:r w:rsidRPr="006C7D1C">
              <w:rPr>
                <w:rFonts w:ascii="Times New Roman" w:hAnsi="Times New Roman"/>
                <w:color w:val="000000"/>
                <w:szCs w:val="24"/>
              </w:rPr>
              <w:t>învățământ postliceal</w:t>
            </w:r>
          </w:p>
        </w:tc>
        <w:tc>
          <w:tcPr>
            <w:tcW w:w="848" w:type="pct"/>
            <w:tcBorders>
              <w:top w:val="single" w:sz="4" w:space="0" w:color="auto"/>
              <w:left w:val="single" w:sz="4" w:space="0" w:color="auto"/>
              <w:bottom w:val="single" w:sz="4" w:space="0" w:color="auto"/>
              <w:right w:val="single" w:sz="4" w:space="0" w:color="auto"/>
            </w:tcBorders>
            <w:vAlign w:val="center"/>
          </w:tcPr>
          <w:p w:rsidR="006C7D1C" w:rsidRPr="006C7D1C" w:rsidRDefault="006C7D1C" w:rsidP="006C7D1C">
            <w:pPr>
              <w:pStyle w:val="ListParagraph1"/>
              <w:spacing w:after="0"/>
              <w:ind w:left="-18"/>
              <w:jc w:val="center"/>
              <w:rPr>
                <w:rFonts w:ascii="Times New Roman" w:hAnsi="Times New Roman"/>
                <w:color w:val="000000"/>
                <w:szCs w:val="24"/>
              </w:rPr>
            </w:pPr>
            <w:r w:rsidRPr="006C7D1C">
              <w:rPr>
                <w:rFonts w:ascii="Times New Roman" w:hAnsi="Times New Roman"/>
                <w:color w:val="000000"/>
                <w:szCs w:val="24"/>
              </w:rPr>
              <w:t>201</w:t>
            </w:r>
          </w:p>
        </w:tc>
        <w:tc>
          <w:tcPr>
            <w:tcW w:w="1458" w:type="pct"/>
            <w:tcBorders>
              <w:top w:val="single" w:sz="4" w:space="0" w:color="auto"/>
              <w:left w:val="single" w:sz="4" w:space="0" w:color="auto"/>
              <w:bottom w:val="single" w:sz="4" w:space="0" w:color="auto"/>
              <w:right w:val="single" w:sz="4" w:space="0" w:color="auto"/>
            </w:tcBorders>
            <w:vAlign w:val="center"/>
          </w:tcPr>
          <w:p w:rsidR="006C7D1C" w:rsidRPr="006C7D1C" w:rsidRDefault="006C7D1C" w:rsidP="006C7D1C">
            <w:pPr>
              <w:pStyle w:val="ListParagraph1"/>
              <w:spacing w:after="0"/>
              <w:ind w:left="0"/>
              <w:jc w:val="center"/>
              <w:rPr>
                <w:rFonts w:ascii="Times New Roman" w:hAnsi="Times New Roman"/>
                <w:color w:val="000000"/>
                <w:szCs w:val="24"/>
              </w:rPr>
            </w:pPr>
            <w:r w:rsidRPr="006C7D1C">
              <w:rPr>
                <w:rFonts w:ascii="Times New Roman" w:hAnsi="Times New Roman"/>
                <w:color w:val="000000"/>
                <w:szCs w:val="24"/>
              </w:rPr>
              <w:t>24</w:t>
            </w:r>
          </w:p>
        </w:tc>
        <w:tc>
          <w:tcPr>
            <w:tcW w:w="1310" w:type="pct"/>
            <w:tcBorders>
              <w:top w:val="single" w:sz="4" w:space="0" w:color="auto"/>
              <w:left w:val="single" w:sz="4" w:space="0" w:color="auto"/>
              <w:bottom w:val="single" w:sz="4" w:space="0" w:color="auto"/>
              <w:right w:val="single" w:sz="4" w:space="0" w:color="auto"/>
            </w:tcBorders>
            <w:vAlign w:val="center"/>
          </w:tcPr>
          <w:p w:rsidR="006C7D1C" w:rsidRPr="006C7D1C" w:rsidRDefault="006C7D1C" w:rsidP="006C7D1C">
            <w:pPr>
              <w:pStyle w:val="ListParagraph1"/>
              <w:spacing w:after="0"/>
              <w:ind w:left="13"/>
              <w:jc w:val="center"/>
              <w:rPr>
                <w:rFonts w:ascii="Times New Roman" w:hAnsi="Times New Roman"/>
                <w:color w:val="000000"/>
                <w:szCs w:val="24"/>
              </w:rPr>
            </w:pPr>
            <w:r w:rsidRPr="006C7D1C">
              <w:rPr>
                <w:rFonts w:ascii="Times New Roman" w:hAnsi="Times New Roman"/>
                <w:color w:val="000000"/>
                <w:szCs w:val="24"/>
              </w:rPr>
              <w:t>8.38</w:t>
            </w:r>
          </w:p>
        </w:tc>
      </w:tr>
      <w:tr w:rsidR="006C7D1C" w:rsidRPr="006C7D1C" w:rsidTr="00191361">
        <w:trPr>
          <w:trHeight w:val="70"/>
        </w:trPr>
        <w:tc>
          <w:tcPr>
            <w:tcW w:w="1384" w:type="pct"/>
            <w:tcBorders>
              <w:top w:val="single" w:sz="4" w:space="0" w:color="auto"/>
              <w:left w:val="single" w:sz="4" w:space="0" w:color="auto"/>
              <w:bottom w:val="single" w:sz="4" w:space="0" w:color="auto"/>
              <w:right w:val="single" w:sz="4" w:space="0" w:color="auto"/>
            </w:tcBorders>
            <w:vAlign w:val="center"/>
          </w:tcPr>
          <w:p w:rsidR="006C7D1C" w:rsidRPr="006C7D1C" w:rsidRDefault="006C7D1C" w:rsidP="006C7D1C">
            <w:pPr>
              <w:pStyle w:val="ListParagraph1"/>
              <w:spacing w:after="0"/>
              <w:ind w:left="0"/>
              <w:jc w:val="center"/>
              <w:rPr>
                <w:rFonts w:ascii="Times New Roman" w:hAnsi="Times New Roman"/>
                <w:b/>
                <w:color w:val="000000"/>
                <w:szCs w:val="24"/>
              </w:rPr>
            </w:pPr>
            <w:r w:rsidRPr="006C7D1C">
              <w:rPr>
                <w:rFonts w:ascii="Times New Roman" w:hAnsi="Times New Roman"/>
                <w:b/>
                <w:color w:val="000000"/>
                <w:szCs w:val="24"/>
              </w:rPr>
              <w:t>TOTAL</w:t>
            </w:r>
          </w:p>
        </w:tc>
        <w:tc>
          <w:tcPr>
            <w:tcW w:w="848" w:type="pct"/>
            <w:tcBorders>
              <w:top w:val="single" w:sz="4" w:space="0" w:color="auto"/>
              <w:left w:val="single" w:sz="4" w:space="0" w:color="auto"/>
              <w:bottom w:val="single" w:sz="4" w:space="0" w:color="auto"/>
              <w:right w:val="single" w:sz="4" w:space="0" w:color="auto"/>
            </w:tcBorders>
            <w:vAlign w:val="center"/>
          </w:tcPr>
          <w:p w:rsidR="006C7D1C" w:rsidRPr="006C7D1C" w:rsidRDefault="006C7D1C" w:rsidP="006C7D1C">
            <w:pPr>
              <w:pStyle w:val="ListParagraph1"/>
              <w:spacing w:after="0"/>
              <w:ind w:left="-18"/>
              <w:jc w:val="center"/>
              <w:rPr>
                <w:rFonts w:ascii="Times New Roman" w:hAnsi="Times New Roman"/>
                <w:b/>
                <w:color w:val="000000"/>
                <w:szCs w:val="24"/>
              </w:rPr>
            </w:pPr>
            <w:r w:rsidRPr="006C7D1C">
              <w:rPr>
                <w:rFonts w:ascii="Times New Roman" w:hAnsi="Times New Roman"/>
                <w:b/>
                <w:color w:val="000000"/>
                <w:szCs w:val="24"/>
              </w:rPr>
              <w:t>3054</w:t>
            </w:r>
          </w:p>
        </w:tc>
        <w:tc>
          <w:tcPr>
            <w:tcW w:w="1458" w:type="pct"/>
            <w:tcBorders>
              <w:top w:val="single" w:sz="4" w:space="0" w:color="auto"/>
              <w:left w:val="single" w:sz="4" w:space="0" w:color="auto"/>
              <w:bottom w:val="single" w:sz="4" w:space="0" w:color="auto"/>
              <w:right w:val="single" w:sz="4" w:space="0" w:color="auto"/>
            </w:tcBorders>
            <w:vAlign w:val="center"/>
          </w:tcPr>
          <w:p w:rsidR="006C7D1C" w:rsidRPr="006C7D1C" w:rsidRDefault="006C7D1C" w:rsidP="006C7D1C">
            <w:pPr>
              <w:pStyle w:val="ListParagraph1"/>
              <w:spacing w:after="0"/>
              <w:ind w:left="0"/>
              <w:jc w:val="center"/>
              <w:rPr>
                <w:rFonts w:ascii="Times New Roman" w:hAnsi="Times New Roman"/>
                <w:b/>
                <w:color w:val="000000"/>
                <w:szCs w:val="24"/>
              </w:rPr>
            </w:pPr>
            <w:r w:rsidRPr="006C7D1C">
              <w:rPr>
                <w:rFonts w:ascii="Times New Roman" w:hAnsi="Times New Roman"/>
                <w:b/>
                <w:color w:val="000000"/>
                <w:szCs w:val="24"/>
              </w:rPr>
              <w:t>375</w:t>
            </w:r>
          </w:p>
        </w:tc>
        <w:tc>
          <w:tcPr>
            <w:tcW w:w="1310" w:type="pct"/>
            <w:tcBorders>
              <w:top w:val="single" w:sz="4" w:space="0" w:color="auto"/>
              <w:left w:val="single" w:sz="4" w:space="0" w:color="auto"/>
              <w:bottom w:val="single" w:sz="4" w:space="0" w:color="auto"/>
              <w:right w:val="single" w:sz="4" w:space="0" w:color="auto"/>
            </w:tcBorders>
            <w:vAlign w:val="center"/>
          </w:tcPr>
          <w:p w:rsidR="006C7D1C" w:rsidRPr="006C7D1C" w:rsidRDefault="006C7D1C" w:rsidP="006C7D1C">
            <w:pPr>
              <w:pStyle w:val="ListParagraph1"/>
              <w:spacing w:after="0"/>
              <w:ind w:left="13"/>
              <w:jc w:val="center"/>
              <w:rPr>
                <w:rFonts w:ascii="Times New Roman" w:hAnsi="Times New Roman"/>
                <w:b/>
                <w:color w:val="000000"/>
                <w:szCs w:val="24"/>
              </w:rPr>
            </w:pPr>
            <w:r w:rsidRPr="006C7D1C">
              <w:rPr>
                <w:rFonts w:ascii="Times New Roman" w:hAnsi="Times New Roman"/>
                <w:b/>
                <w:color w:val="000000"/>
                <w:szCs w:val="24"/>
              </w:rPr>
              <w:t>8.14</w:t>
            </w:r>
          </w:p>
        </w:tc>
      </w:tr>
    </w:tbl>
    <w:p w:rsidR="006C7D1C" w:rsidRPr="006C7D1C" w:rsidRDefault="006C7D1C" w:rsidP="006C7D1C"/>
    <w:p w:rsidR="006C7D1C" w:rsidRPr="006C7D1C" w:rsidRDefault="006C7D1C" w:rsidP="006C7D1C">
      <w:pPr>
        <w:ind w:firstLine="708"/>
      </w:pPr>
      <w:r w:rsidRPr="006C7D1C">
        <w:t>În anul școlar 2017-2018 au funcţionat și:</w:t>
      </w:r>
    </w:p>
    <w:p w:rsidR="006C7D1C" w:rsidRPr="006C7D1C" w:rsidRDefault="006C7D1C" w:rsidP="00980D72">
      <w:pPr>
        <w:pStyle w:val="ListParagraph1"/>
        <w:numPr>
          <w:ilvl w:val="0"/>
          <w:numId w:val="32"/>
        </w:numPr>
        <w:spacing w:after="0" w:line="240" w:lineRule="auto"/>
        <w:jc w:val="both"/>
        <w:rPr>
          <w:rFonts w:ascii="Times New Roman" w:hAnsi="Times New Roman"/>
          <w:szCs w:val="24"/>
        </w:rPr>
      </w:pPr>
      <w:r w:rsidRPr="006C7D1C">
        <w:rPr>
          <w:rFonts w:ascii="Times New Roman" w:hAnsi="Times New Roman"/>
          <w:szCs w:val="24"/>
        </w:rPr>
        <w:t>7 grupe/clase pentru copii/elevi cu autism în Şcoala Gimnazială Specială Nr. 3, Şcoala Gimnazială Specială „Constantin Păunescu” și Şcoala Gimnazială Specială pentru Surzi Nr.1</w:t>
      </w:r>
    </w:p>
    <w:p w:rsidR="006C7D1C" w:rsidRPr="006C7D1C" w:rsidRDefault="006C7D1C" w:rsidP="00980D72">
      <w:pPr>
        <w:pStyle w:val="ListParagraph1"/>
        <w:numPr>
          <w:ilvl w:val="0"/>
          <w:numId w:val="32"/>
        </w:numPr>
        <w:spacing w:after="0" w:line="240" w:lineRule="auto"/>
        <w:jc w:val="both"/>
        <w:rPr>
          <w:rFonts w:ascii="Times New Roman" w:hAnsi="Times New Roman"/>
          <w:szCs w:val="24"/>
        </w:rPr>
      </w:pPr>
      <w:r w:rsidRPr="006C7D1C">
        <w:rPr>
          <w:rFonts w:ascii="Times New Roman" w:hAnsi="Times New Roman"/>
          <w:szCs w:val="24"/>
        </w:rPr>
        <w:t>125 grupe/clase pentru copii/elevi cu deficiențe severe, profunde şi asociate</w:t>
      </w:r>
    </w:p>
    <w:p w:rsidR="006C7D1C" w:rsidRDefault="006C7D1C" w:rsidP="00980D72">
      <w:pPr>
        <w:pStyle w:val="ListParagraph1"/>
        <w:numPr>
          <w:ilvl w:val="0"/>
          <w:numId w:val="32"/>
        </w:numPr>
        <w:spacing w:after="0" w:line="240" w:lineRule="auto"/>
        <w:jc w:val="both"/>
        <w:rPr>
          <w:rFonts w:ascii="Times New Roman" w:hAnsi="Times New Roman"/>
          <w:szCs w:val="24"/>
        </w:rPr>
      </w:pPr>
      <w:r w:rsidRPr="006C7D1C">
        <w:rPr>
          <w:rFonts w:ascii="Times New Roman" w:hAnsi="Times New Roman"/>
          <w:szCs w:val="24"/>
        </w:rPr>
        <w:t>4 grupe/clase pentru copii/elevi cu deficienţe senzoriale multiple (surdo-cecitate) în Grădinița Specială pentru Hipoacuzici, Şcoala Gimnazială Specială pentru Deficienţi de Auz „Sf. Maria” şi Şcoala Gimnazială Specială pentru Deficienți de Vedere.</w:t>
      </w:r>
    </w:p>
    <w:p w:rsidR="000D61A1" w:rsidRDefault="000D61A1" w:rsidP="000D61A1">
      <w:pPr>
        <w:pStyle w:val="ListParagraph1"/>
        <w:spacing w:after="0" w:line="240" w:lineRule="auto"/>
        <w:ind w:left="0"/>
        <w:jc w:val="both"/>
        <w:rPr>
          <w:rFonts w:ascii="Times New Roman" w:hAnsi="Times New Roman"/>
          <w:szCs w:val="24"/>
        </w:rPr>
      </w:pPr>
    </w:p>
    <w:p w:rsidR="000D61A1" w:rsidRPr="000D61A1" w:rsidRDefault="000D61A1" w:rsidP="000D61A1">
      <w:pPr>
        <w:pStyle w:val="ListParagraph1"/>
        <w:ind w:left="360"/>
        <w:jc w:val="both"/>
        <w:rPr>
          <w:rFonts w:ascii="Times New Roman" w:hAnsi="Times New Roman"/>
          <w:b/>
          <w:szCs w:val="24"/>
        </w:rPr>
      </w:pPr>
      <w:r w:rsidRPr="000D61A1">
        <w:rPr>
          <w:rFonts w:ascii="Times New Roman" w:hAnsi="Times New Roman"/>
          <w:szCs w:val="24"/>
        </w:rPr>
        <w:tab/>
      </w:r>
      <w:r w:rsidRPr="000D61A1">
        <w:rPr>
          <w:rFonts w:ascii="Times New Roman" w:hAnsi="Times New Roman"/>
          <w:b/>
          <w:szCs w:val="24"/>
        </w:rPr>
        <w:t>Premii câștigate la concursurile naționale de elevi cu dizabilități din învățământul special bucureștean</w:t>
      </w:r>
    </w:p>
    <w:p w:rsidR="000D61A1" w:rsidRPr="000D61A1" w:rsidRDefault="000D61A1" w:rsidP="000D61A1">
      <w:pPr>
        <w:pStyle w:val="ListParagraph1"/>
        <w:ind w:left="0"/>
        <w:jc w:val="both"/>
        <w:rPr>
          <w:rFonts w:ascii="Times New Roman" w:hAnsi="Times New Roman"/>
          <w:i/>
          <w:szCs w:val="24"/>
        </w:rPr>
      </w:pPr>
      <w:r w:rsidRPr="000D61A1">
        <w:rPr>
          <w:rFonts w:ascii="Times New Roman" w:hAnsi="Times New Roman"/>
          <w:i/>
          <w:szCs w:val="24"/>
        </w:rPr>
        <w:t>Concursul Naţional pentru Deficienţi de Vedere, Târgu Frumos, 2018</w:t>
      </w:r>
    </w:p>
    <w:p w:rsidR="000D61A1" w:rsidRPr="000D61A1" w:rsidRDefault="000D61A1" w:rsidP="00980D72">
      <w:pPr>
        <w:pStyle w:val="ListParagraph1"/>
        <w:numPr>
          <w:ilvl w:val="0"/>
          <w:numId w:val="31"/>
        </w:numPr>
        <w:spacing w:after="0" w:line="240" w:lineRule="auto"/>
        <w:ind w:left="0" w:firstLine="0"/>
        <w:jc w:val="both"/>
        <w:rPr>
          <w:rFonts w:ascii="Times New Roman" w:hAnsi="Times New Roman"/>
          <w:szCs w:val="24"/>
        </w:rPr>
      </w:pPr>
      <w:r w:rsidRPr="000D61A1">
        <w:rPr>
          <w:rFonts w:ascii="Times New Roman" w:hAnsi="Times New Roman"/>
          <w:szCs w:val="24"/>
        </w:rPr>
        <w:t>Premiul II la Limba şi literatura română, clasa a VIII-a, MATACHE ELENA de la Scoala Gimnaziala Speciala pentru Deficienti de Vedere</w:t>
      </w:r>
    </w:p>
    <w:p w:rsidR="000D61A1" w:rsidRPr="000D61A1" w:rsidRDefault="000D61A1" w:rsidP="00980D72">
      <w:pPr>
        <w:pStyle w:val="ListParagraph1"/>
        <w:numPr>
          <w:ilvl w:val="0"/>
          <w:numId w:val="31"/>
        </w:numPr>
        <w:spacing w:after="0" w:line="240" w:lineRule="auto"/>
        <w:ind w:left="0" w:firstLine="0"/>
        <w:jc w:val="both"/>
        <w:rPr>
          <w:rFonts w:ascii="Times New Roman" w:hAnsi="Times New Roman"/>
          <w:szCs w:val="24"/>
        </w:rPr>
      </w:pPr>
      <w:r w:rsidRPr="000D61A1">
        <w:rPr>
          <w:rFonts w:ascii="Times New Roman" w:hAnsi="Times New Roman"/>
          <w:szCs w:val="24"/>
        </w:rPr>
        <w:t>Premiul II la Matematică, clasa a VIII-a,  VLAICU RALUCA de la Şcoala Gimnazială Specială pentru Deficienţi de Vedere</w:t>
      </w:r>
    </w:p>
    <w:p w:rsidR="000D61A1" w:rsidRPr="000D61A1" w:rsidRDefault="000D61A1" w:rsidP="00980D72">
      <w:pPr>
        <w:pStyle w:val="ListParagraph1"/>
        <w:numPr>
          <w:ilvl w:val="0"/>
          <w:numId w:val="31"/>
        </w:numPr>
        <w:spacing w:after="0" w:line="240" w:lineRule="auto"/>
        <w:ind w:left="0" w:firstLine="0"/>
        <w:jc w:val="both"/>
        <w:rPr>
          <w:rFonts w:ascii="Times New Roman" w:hAnsi="Times New Roman"/>
          <w:szCs w:val="24"/>
        </w:rPr>
      </w:pPr>
      <w:r w:rsidRPr="000D61A1">
        <w:rPr>
          <w:rFonts w:ascii="Times New Roman" w:hAnsi="Times New Roman"/>
          <w:szCs w:val="24"/>
        </w:rPr>
        <w:t>Premiul II la Limba engleză, clasa  a VIII-a,  CIUCA CEZAR de la Şcoala Gimnazială Specială pentru Deficienţi de Vedere</w:t>
      </w:r>
    </w:p>
    <w:p w:rsidR="000D61A1" w:rsidRPr="000D61A1" w:rsidRDefault="000D61A1" w:rsidP="00980D72">
      <w:pPr>
        <w:pStyle w:val="ListParagraph1"/>
        <w:numPr>
          <w:ilvl w:val="0"/>
          <w:numId w:val="31"/>
        </w:numPr>
        <w:spacing w:after="0" w:line="240" w:lineRule="auto"/>
        <w:ind w:left="0" w:firstLine="0"/>
        <w:jc w:val="both"/>
        <w:rPr>
          <w:rFonts w:ascii="Times New Roman" w:hAnsi="Times New Roman"/>
          <w:szCs w:val="24"/>
        </w:rPr>
      </w:pPr>
      <w:r w:rsidRPr="000D61A1">
        <w:rPr>
          <w:rFonts w:ascii="Times New Roman" w:hAnsi="Times New Roman"/>
          <w:szCs w:val="24"/>
        </w:rPr>
        <w:lastRenderedPageBreak/>
        <w:t>Premiul I la TIC, clasa  a VIII-a,  PAUNESCU PAUL de la Şcoala Gimnazială Specială pentru Deficienţi de Vedere</w:t>
      </w:r>
    </w:p>
    <w:p w:rsidR="000D61A1" w:rsidRPr="000D61A1" w:rsidRDefault="000D61A1" w:rsidP="00980D72">
      <w:pPr>
        <w:pStyle w:val="ListParagraph1"/>
        <w:numPr>
          <w:ilvl w:val="0"/>
          <w:numId w:val="31"/>
        </w:numPr>
        <w:spacing w:after="0" w:line="240" w:lineRule="auto"/>
        <w:ind w:left="0" w:firstLine="0"/>
        <w:jc w:val="both"/>
        <w:rPr>
          <w:rFonts w:ascii="Times New Roman" w:hAnsi="Times New Roman"/>
          <w:szCs w:val="24"/>
        </w:rPr>
      </w:pPr>
      <w:r w:rsidRPr="000D61A1">
        <w:rPr>
          <w:rFonts w:ascii="Times New Roman" w:hAnsi="Times New Roman"/>
          <w:szCs w:val="24"/>
        </w:rPr>
        <w:t>Premiul II la Citire Rapidă, clasa a VI-a,  DICA DIANA de la Şcoala Gimnazială Specială pentru Deficienţi de Vedere</w:t>
      </w:r>
    </w:p>
    <w:p w:rsidR="000D61A1" w:rsidRPr="000D61A1" w:rsidRDefault="000D61A1" w:rsidP="00980D72">
      <w:pPr>
        <w:pStyle w:val="ListParagraph1"/>
        <w:numPr>
          <w:ilvl w:val="0"/>
          <w:numId w:val="31"/>
        </w:numPr>
        <w:spacing w:after="0" w:line="240" w:lineRule="auto"/>
        <w:ind w:left="0" w:firstLine="0"/>
        <w:jc w:val="both"/>
        <w:rPr>
          <w:rFonts w:ascii="Times New Roman" w:hAnsi="Times New Roman"/>
          <w:szCs w:val="24"/>
        </w:rPr>
      </w:pPr>
      <w:r w:rsidRPr="000D61A1">
        <w:rPr>
          <w:rFonts w:ascii="Times New Roman" w:hAnsi="Times New Roman"/>
          <w:szCs w:val="24"/>
        </w:rPr>
        <w:t>Premiul III la Limba Engleza, clasa a XII-a, CIORAP ELISEI de la Liceul Tehnologic Special ,,Regina Elisabeta’’</w:t>
      </w:r>
    </w:p>
    <w:p w:rsidR="000D61A1" w:rsidRPr="000D61A1" w:rsidRDefault="000D61A1" w:rsidP="00980D72">
      <w:pPr>
        <w:pStyle w:val="ListParagraph1"/>
        <w:numPr>
          <w:ilvl w:val="0"/>
          <w:numId w:val="31"/>
        </w:numPr>
        <w:spacing w:after="0" w:line="240" w:lineRule="auto"/>
        <w:ind w:left="0" w:firstLine="0"/>
        <w:jc w:val="both"/>
        <w:rPr>
          <w:rFonts w:ascii="Times New Roman" w:hAnsi="Times New Roman"/>
          <w:szCs w:val="24"/>
        </w:rPr>
      </w:pPr>
      <w:r w:rsidRPr="000D61A1">
        <w:rPr>
          <w:rFonts w:ascii="Times New Roman" w:hAnsi="Times New Roman"/>
          <w:szCs w:val="24"/>
        </w:rPr>
        <w:t>Premiul II la Limba şi Literatura română, clasa a XII-a, SANDA ANDREEA ALEXANDRA de la Liceul Tehnologic ,,Regina Elisabeta’’</w:t>
      </w:r>
    </w:p>
    <w:p w:rsidR="000D61A1" w:rsidRPr="000D61A1" w:rsidRDefault="000D61A1" w:rsidP="00980D72">
      <w:pPr>
        <w:pStyle w:val="ListParagraph1"/>
        <w:numPr>
          <w:ilvl w:val="0"/>
          <w:numId w:val="31"/>
        </w:numPr>
        <w:spacing w:after="0" w:line="240" w:lineRule="auto"/>
        <w:ind w:left="0" w:firstLine="0"/>
        <w:jc w:val="both"/>
        <w:rPr>
          <w:rFonts w:ascii="Times New Roman" w:hAnsi="Times New Roman"/>
          <w:szCs w:val="24"/>
        </w:rPr>
      </w:pPr>
      <w:r w:rsidRPr="000D61A1">
        <w:rPr>
          <w:rFonts w:ascii="Times New Roman" w:hAnsi="Times New Roman"/>
          <w:szCs w:val="24"/>
        </w:rPr>
        <w:t>Premiul II la Citire Rapida Braille, clasa a X-a, LECA ANDREEA NICOLETA de la Liceul Tehnologic ,,Regina Elisabeta’’</w:t>
      </w:r>
    </w:p>
    <w:p w:rsidR="000D61A1" w:rsidRPr="000D61A1" w:rsidRDefault="000D61A1" w:rsidP="000D61A1">
      <w:pPr>
        <w:pStyle w:val="ListParagraph1"/>
        <w:jc w:val="both"/>
        <w:rPr>
          <w:rFonts w:ascii="Times New Roman" w:hAnsi="Times New Roman"/>
          <w:szCs w:val="24"/>
        </w:rPr>
      </w:pPr>
    </w:p>
    <w:p w:rsidR="000D61A1" w:rsidRPr="000D61A1" w:rsidRDefault="000D61A1" w:rsidP="000D61A1">
      <w:pPr>
        <w:pStyle w:val="ListParagraph1"/>
        <w:ind w:left="0"/>
        <w:jc w:val="both"/>
        <w:rPr>
          <w:rFonts w:ascii="Times New Roman" w:hAnsi="Times New Roman"/>
          <w:i/>
          <w:szCs w:val="24"/>
        </w:rPr>
      </w:pPr>
      <w:r w:rsidRPr="000D61A1">
        <w:rPr>
          <w:rFonts w:ascii="Times New Roman" w:hAnsi="Times New Roman"/>
          <w:i/>
          <w:szCs w:val="24"/>
        </w:rPr>
        <w:t>Concursul Naţional pentru Deficienţi de Auz, Bucureşti, 2018</w:t>
      </w:r>
    </w:p>
    <w:p w:rsidR="000D61A1" w:rsidRPr="000D61A1" w:rsidRDefault="000D61A1" w:rsidP="00980D72">
      <w:pPr>
        <w:pStyle w:val="ListParagraph1"/>
        <w:numPr>
          <w:ilvl w:val="0"/>
          <w:numId w:val="31"/>
        </w:numPr>
        <w:spacing w:after="0" w:line="240" w:lineRule="auto"/>
        <w:ind w:left="0" w:firstLine="0"/>
        <w:jc w:val="both"/>
        <w:rPr>
          <w:rFonts w:ascii="Times New Roman" w:hAnsi="Times New Roman"/>
          <w:szCs w:val="24"/>
        </w:rPr>
      </w:pPr>
      <w:r w:rsidRPr="000D61A1">
        <w:rPr>
          <w:rFonts w:ascii="Times New Roman" w:hAnsi="Times New Roman"/>
          <w:szCs w:val="24"/>
        </w:rPr>
        <w:t>Premiul I la Limba şi literatura română, clasa a VII-a, ILIE ANDREI de la Şcoala Profesională Specială pentru Deficienţi de Auz „Sfânta Maria”;</w:t>
      </w:r>
    </w:p>
    <w:p w:rsidR="000D61A1" w:rsidRPr="000D61A1" w:rsidRDefault="000D61A1" w:rsidP="00980D72">
      <w:pPr>
        <w:pStyle w:val="ListParagraph1"/>
        <w:numPr>
          <w:ilvl w:val="0"/>
          <w:numId w:val="31"/>
        </w:numPr>
        <w:spacing w:after="0" w:line="240" w:lineRule="auto"/>
        <w:ind w:left="0" w:firstLine="0"/>
        <w:jc w:val="both"/>
        <w:rPr>
          <w:rFonts w:ascii="Times New Roman" w:hAnsi="Times New Roman"/>
          <w:szCs w:val="24"/>
        </w:rPr>
      </w:pPr>
      <w:r w:rsidRPr="000D61A1">
        <w:rPr>
          <w:rFonts w:ascii="Times New Roman" w:hAnsi="Times New Roman"/>
          <w:szCs w:val="24"/>
        </w:rPr>
        <w:t>Premiul I la Matematică, clasa a VII-a RAICU MARIO, de la Şcoala Profesională Specială pentru Deficienţi de Auz „Sfânta Maria”;</w:t>
      </w:r>
    </w:p>
    <w:p w:rsidR="000D61A1" w:rsidRPr="000D61A1" w:rsidRDefault="000D61A1" w:rsidP="00980D72">
      <w:pPr>
        <w:pStyle w:val="ListParagraph1"/>
        <w:numPr>
          <w:ilvl w:val="0"/>
          <w:numId w:val="31"/>
        </w:numPr>
        <w:spacing w:after="0" w:line="240" w:lineRule="auto"/>
        <w:ind w:left="0" w:firstLine="0"/>
        <w:jc w:val="both"/>
        <w:rPr>
          <w:rFonts w:ascii="Times New Roman" w:hAnsi="Times New Roman"/>
          <w:szCs w:val="24"/>
        </w:rPr>
      </w:pPr>
      <w:r w:rsidRPr="000D61A1">
        <w:rPr>
          <w:rFonts w:ascii="Times New Roman" w:hAnsi="Times New Roman"/>
          <w:szCs w:val="24"/>
        </w:rPr>
        <w:t>Premiul III la Matematică, clasa a VIII-a TĂNASE ANDREEA de la Şcoala Profesională Specială pentru Deficienţi de Auz „Sfânta Maria”;</w:t>
      </w:r>
    </w:p>
    <w:p w:rsidR="000D61A1" w:rsidRPr="000D61A1" w:rsidRDefault="000D61A1" w:rsidP="00980D72">
      <w:pPr>
        <w:pStyle w:val="ListParagraph1"/>
        <w:numPr>
          <w:ilvl w:val="0"/>
          <w:numId w:val="31"/>
        </w:numPr>
        <w:spacing w:after="0" w:line="240" w:lineRule="auto"/>
        <w:ind w:left="0" w:firstLine="0"/>
        <w:jc w:val="both"/>
        <w:rPr>
          <w:rFonts w:ascii="Times New Roman" w:hAnsi="Times New Roman"/>
          <w:szCs w:val="24"/>
        </w:rPr>
      </w:pPr>
      <w:r w:rsidRPr="000D61A1">
        <w:rPr>
          <w:rFonts w:ascii="Times New Roman" w:hAnsi="Times New Roman"/>
          <w:szCs w:val="24"/>
        </w:rPr>
        <w:t>Premiul I la Educaţie plastică, clasa a VII-a BRANIŞTE IONELA de la Şcoala Profesională Specială pentru Deficienţi de Auz „Sfânta Maria”;</w:t>
      </w:r>
    </w:p>
    <w:p w:rsidR="000D61A1" w:rsidRPr="000D61A1" w:rsidRDefault="000D61A1" w:rsidP="00980D72">
      <w:pPr>
        <w:pStyle w:val="ListParagraph1"/>
        <w:numPr>
          <w:ilvl w:val="0"/>
          <w:numId w:val="31"/>
        </w:numPr>
        <w:spacing w:after="0" w:line="240" w:lineRule="auto"/>
        <w:ind w:left="0" w:firstLine="0"/>
        <w:jc w:val="both"/>
        <w:rPr>
          <w:rFonts w:ascii="Times New Roman" w:hAnsi="Times New Roman"/>
          <w:szCs w:val="24"/>
        </w:rPr>
      </w:pPr>
      <w:r w:rsidRPr="000D61A1">
        <w:rPr>
          <w:rFonts w:ascii="Times New Roman" w:hAnsi="Times New Roman"/>
          <w:szCs w:val="24"/>
        </w:rPr>
        <w:t>Premiul I la Educaţie plastică, clasa a VIII-a IRIMIA DAVID de la Şcoala Profesională Specială pentru Deficienţi de Auz „Sfânta Maria”;</w:t>
      </w:r>
    </w:p>
    <w:p w:rsidR="000D61A1" w:rsidRPr="000D61A1" w:rsidRDefault="000D61A1" w:rsidP="00980D72">
      <w:pPr>
        <w:pStyle w:val="ListParagraph1"/>
        <w:numPr>
          <w:ilvl w:val="0"/>
          <w:numId w:val="31"/>
        </w:numPr>
        <w:spacing w:after="0" w:line="240" w:lineRule="auto"/>
        <w:ind w:left="0" w:firstLine="0"/>
        <w:jc w:val="both"/>
        <w:rPr>
          <w:rFonts w:ascii="Times New Roman" w:hAnsi="Times New Roman"/>
          <w:szCs w:val="24"/>
        </w:rPr>
      </w:pPr>
      <w:r w:rsidRPr="000D61A1">
        <w:rPr>
          <w:rFonts w:ascii="Times New Roman" w:hAnsi="Times New Roman"/>
          <w:szCs w:val="24"/>
        </w:rPr>
        <w:t>Premiul III la Informatică, clasa a VII-a LINCĂ DANIELA de la Şcoala Profesională Specială pentru Deficienţi de Auz „Sfânta Maria”;</w:t>
      </w:r>
    </w:p>
    <w:p w:rsidR="000D61A1" w:rsidRPr="000D61A1" w:rsidRDefault="000D61A1" w:rsidP="00980D72">
      <w:pPr>
        <w:pStyle w:val="ListParagraph1"/>
        <w:numPr>
          <w:ilvl w:val="0"/>
          <w:numId w:val="31"/>
        </w:numPr>
        <w:spacing w:after="0" w:line="240" w:lineRule="auto"/>
        <w:ind w:left="0" w:firstLine="0"/>
        <w:jc w:val="both"/>
        <w:rPr>
          <w:rFonts w:ascii="Times New Roman" w:hAnsi="Times New Roman"/>
          <w:szCs w:val="24"/>
        </w:rPr>
      </w:pPr>
      <w:r w:rsidRPr="000D61A1">
        <w:rPr>
          <w:rFonts w:ascii="Times New Roman" w:hAnsi="Times New Roman"/>
          <w:szCs w:val="24"/>
        </w:rPr>
        <w:t>Premiul I la Informatică, clasa a VII-a ZECA ANDREI de la Şcoala Profesională Specială pentru Deficienţi de Auz „Sfânta Maria”;</w:t>
      </w:r>
    </w:p>
    <w:p w:rsidR="000D61A1" w:rsidRPr="000D61A1" w:rsidRDefault="000D61A1" w:rsidP="00980D72">
      <w:pPr>
        <w:pStyle w:val="ListParagraph1"/>
        <w:numPr>
          <w:ilvl w:val="0"/>
          <w:numId w:val="31"/>
        </w:numPr>
        <w:spacing w:after="0" w:line="240" w:lineRule="auto"/>
        <w:ind w:left="0" w:firstLine="0"/>
        <w:jc w:val="both"/>
        <w:rPr>
          <w:rFonts w:ascii="Times New Roman" w:hAnsi="Times New Roman"/>
          <w:szCs w:val="24"/>
        </w:rPr>
      </w:pPr>
      <w:r w:rsidRPr="000D61A1">
        <w:rPr>
          <w:rFonts w:ascii="Times New Roman" w:hAnsi="Times New Roman"/>
          <w:szCs w:val="24"/>
        </w:rPr>
        <w:t>Premiul II la Tehnic (profesională), clasa a IX-a  MARTIN CORINA de la Şcoala Profesională Specială pentru Deficienţi de Auz „Sfânta Maria”;</w:t>
      </w:r>
    </w:p>
    <w:p w:rsidR="000D61A1" w:rsidRPr="000D61A1" w:rsidRDefault="000D61A1" w:rsidP="00980D72">
      <w:pPr>
        <w:pStyle w:val="ListParagraph1"/>
        <w:numPr>
          <w:ilvl w:val="0"/>
          <w:numId w:val="31"/>
        </w:numPr>
        <w:spacing w:after="0" w:line="240" w:lineRule="auto"/>
        <w:ind w:left="0" w:firstLine="0"/>
        <w:jc w:val="both"/>
        <w:rPr>
          <w:rFonts w:ascii="Times New Roman" w:hAnsi="Times New Roman"/>
          <w:szCs w:val="24"/>
        </w:rPr>
      </w:pPr>
      <w:r w:rsidRPr="000D61A1">
        <w:rPr>
          <w:rFonts w:ascii="Times New Roman" w:hAnsi="Times New Roman"/>
          <w:szCs w:val="24"/>
        </w:rPr>
        <w:t>Premiul III la Tehnic (profesională), clasa a X-a FLOREA IOANA de la Şcoala Profesională Specială pentru Deficienţi de Auz „Sfânta Maria”;</w:t>
      </w:r>
    </w:p>
    <w:p w:rsidR="000D61A1" w:rsidRPr="000D61A1" w:rsidRDefault="000D61A1" w:rsidP="00980D72">
      <w:pPr>
        <w:pStyle w:val="ListParagraph1"/>
        <w:numPr>
          <w:ilvl w:val="0"/>
          <w:numId w:val="31"/>
        </w:numPr>
        <w:spacing w:after="0" w:line="240" w:lineRule="auto"/>
        <w:ind w:left="0" w:firstLine="0"/>
        <w:jc w:val="both"/>
        <w:rPr>
          <w:rFonts w:ascii="Times New Roman" w:hAnsi="Times New Roman"/>
          <w:szCs w:val="24"/>
        </w:rPr>
      </w:pPr>
      <w:r w:rsidRPr="000D61A1">
        <w:rPr>
          <w:rFonts w:ascii="Times New Roman" w:hAnsi="Times New Roman"/>
          <w:szCs w:val="24"/>
        </w:rPr>
        <w:t>Premiul I la Tehnic (profesională), clasa a XI-a  MEHEDINŢU MIHAELA şi BRANIŞTE FLORENTINA de la Şcoala Profesională Specială pentru Deficienţi de Auz „Sfânta Maria”;</w:t>
      </w:r>
    </w:p>
    <w:p w:rsidR="000D61A1" w:rsidRPr="000D61A1" w:rsidRDefault="000D61A1" w:rsidP="00980D72">
      <w:pPr>
        <w:pStyle w:val="ListParagraph1"/>
        <w:numPr>
          <w:ilvl w:val="0"/>
          <w:numId w:val="31"/>
        </w:numPr>
        <w:spacing w:after="0" w:line="240" w:lineRule="auto"/>
        <w:ind w:left="0" w:firstLine="0"/>
        <w:jc w:val="both"/>
        <w:rPr>
          <w:rFonts w:ascii="Times New Roman" w:hAnsi="Times New Roman"/>
          <w:szCs w:val="24"/>
        </w:rPr>
      </w:pPr>
      <w:r w:rsidRPr="000D61A1">
        <w:rPr>
          <w:rFonts w:ascii="Times New Roman" w:hAnsi="Times New Roman"/>
          <w:szCs w:val="24"/>
        </w:rPr>
        <w:t>Premiul III-lea la Educaţie plastică, clasa a VII-a, MITU TEODORA de la Şcoala Gimnazială Specială pentru Surzi nr. 1 ;</w:t>
      </w:r>
    </w:p>
    <w:p w:rsidR="000D61A1" w:rsidRPr="000D61A1" w:rsidRDefault="000D61A1" w:rsidP="00980D72">
      <w:pPr>
        <w:pStyle w:val="ListParagraph1"/>
        <w:numPr>
          <w:ilvl w:val="0"/>
          <w:numId w:val="31"/>
        </w:numPr>
        <w:spacing w:after="0" w:line="240" w:lineRule="auto"/>
        <w:ind w:left="0" w:firstLine="0"/>
        <w:jc w:val="both"/>
        <w:rPr>
          <w:rFonts w:ascii="Times New Roman" w:hAnsi="Times New Roman"/>
          <w:szCs w:val="24"/>
        </w:rPr>
      </w:pPr>
      <w:r w:rsidRPr="000D61A1">
        <w:rPr>
          <w:rFonts w:ascii="Times New Roman" w:hAnsi="Times New Roman"/>
          <w:szCs w:val="24"/>
        </w:rPr>
        <w:t>Premiul Special la TIC clasa a VIII-a PETRE ANDREI de la Şcoala Gimnazială Specială pentru Surzi nr. 1 ;</w:t>
      </w:r>
    </w:p>
    <w:p w:rsidR="000D61A1" w:rsidRDefault="000D61A1" w:rsidP="00980D72">
      <w:pPr>
        <w:pStyle w:val="ListParagraph1"/>
        <w:numPr>
          <w:ilvl w:val="0"/>
          <w:numId w:val="31"/>
        </w:numPr>
        <w:spacing w:after="0" w:line="240" w:lineRule="auto"/>
        <w:ind w:left="0" w:firstLine="0"/>
        <w:jc w:val="both"/>
        <w:rPr>
          <w:rFonts w:ascii="Times New Roman" w:hAnsi="Times New Roman"/>
          <w:szCs w:val="24"/>
        </w:rPr>
      </w:pPr>
      <w:r w:rsidRPr="000D61A1">
        <w:rPr>
          <w:rFonts w:ascii="Times New Roman" w:hAnsi="Times New Roman"/>
          <w:szCs w:val="24"/>
        </w:rPr>
        <w:t>Menţiune la Limba şi literatura romană, clasa a VII-a, ANDRONACHE MĂDĂLIN OLIVER de la Şcoala Gimnazială Specială pentru Surzi nr. 1.</w:t>
      </w:r>
    </w:p>
    <w:p w:rsidR="007A6D72" w:rsidRPr="006C7D1C" w:rsidRDefault="007A6D72" w:rsidP="007A6D72">
      <w:pPr>
        <w:pStyle w:val="ListParagraph1"/>
        <w:spacing w:after="0" w:line="240" w:lineRule="auto"/>
        <w:ind w:left="0"/>
        <w:jc w:val="both"/>
        <w:rPr>
          <w:rFonts w:ascii="Times New Roman" w:hAnsi="Times New Roman"/>
          <w:szCs w:val="24"/>
        </w:rPr>
      </w:pPr>
    </w:p>
    <w:p w:rsidR="00E32EE5" w:rsidRPr="00E32EE5" w:rsidRDefault="00E32EE5" w:rsidP="00A77970">
      <w:pPr>
        <w:jc w:val="both"/>
        <w:rPr>
          <w:rFonts w:eastAsia="Arial Narrow"/>
          <w:b/>
          <w:lang w:eastAsia="en-US"/>
        </w:rPr>
      </w:pPr>
      <w:r w:rsidRPr="00E32EE5">
        <w:rPr>
          <w:rFonts w:eastAsia="Arial Narrow"/>
          <w:b/>
          <w:lang w:eastAsia="en-US"/>
        </w:rPr>
        <w:tab/>
        <w:t>Ocuparea posturilor didactice/catedrelor din unitățile de învățământ preuniversitar de stat cu personal calificat</w:t>
      </w:r>
    </w:p>
    <w:p w:rsidR="00E32EE5" w:rsidRDefault="00E32EE5" w:rsidP="00A77970">
      <w:pPr>
        <w:widowControl w:val="0"/>
        <w:tabs>
          <w:tab w:val="left" w:pos="417"/>
        </w:tabs>
        <w:jc w:val="both"/>
        <w:rPr>
          <w:rFonts w:eastAsia="Calibri"/>
          <w:spacing w:val="-1"/>
        </w:rPr>
      </w:pPr>
      <w:r w:rsidRPr="00E32EE5">
        <w:rPr>
          <w:rFonts w:eastAsia="Calibri"/>
          <w:spacing w:val="-1"/>
        </w:rPr>
        <w:tab/>
      </w:r>
      <w:r w:rsidRPr="00E32EE5">
        <w:rPr>
          <w:rFonts w:eastAsia="Calibri"/>
          <w:spacing w:val="-1"/>
        </w:rPr>
        <w:tab/>
      </w:r>
      <w:r w:rsidR="00191361" w:rsidRPr="00191361">
        <w:rPr>
          <w:rFonts w:eastAsia="Calibri"/>
          <w:spacing w:val="-1"/>
        </w:rPr>
        <w:t>Posturile didactice de predare au fost acoperite cu personal didactic calificat în proporție de 98,26%, la începutul anului școlar (procent care a crescut pe parcursul anului școlar). Din cele 273 de cadre didactice care nu au avut studii corespunzătoare postului solicitat, 156 aveau studii superioare finalizate, 55 erau în curs de calificare și 62 studii medii.</w:t>
      </w:r>
    </w:p>
    <w:p w:rsidR="007A6D72" w:rsidRPr="00E32EE5" w:rsidRDefault="007A6D72" w:rsidP="00A77970">
      <w:pPr>
        <w:widowControl w:val="0"/>
        <w:tabs>
          <w:tab w:val="left" w:pos="417"/>
        </w:tabs>
        <w:jc w:val="both"/>
        <w:rPr>
          <w:rFonts w:eastAsia="Calibri"/>
        </w:rPr>
      </w:pPr>
    </w:p>
    <w:p w:rsidR="00E32EE5" w:rsidRPr="00E32EE5" w:rsidRDefault="00E32EE5" w:rsidP="00A77970">
      <w:pPr>
        <w:jc w:val="both"/>
        <w:rPr>
          <w:rFonts w:eastAsia="Arial Narrow"/>
          <w:b/>
          <w:lang w:eastAsia="en-US"/>
        </w:rPr>
      </w:pPr>
      <w:r w:rsidRPr="00E32EE5">
        <w:rPr>
          <w:rFonts w:eastAsia="Arial Narrow"/>
          <w:b/>
          <w:lang w:eastAsia="en-US"/>
        </w:rPr>
        <w:tab/>
        <w:t>Realizarea activităţilor specifice mişcării personalului didactic în vederea începerii anului şcolar 2017-2018</w:t>
      </w:r>
    </w:p>
    <w:p w:rsidR="00E32EE5" w:rsidRPr="00E32EE5" w:rsidRDefault="00E32EE5" w:rsidP="00A77970">
      <w:pPr>
        <w:jc w:val="both"/>
        <w:rPr>
          <w:rFonts w:eastAsia="Calibri"/>
          <w:b/>
        </w:rPr>
      </w:pPr>
      <w:r w:rsidRPr="00E32EE5">
        <w:rPr>
          <w:rFonts w:eastAsia="Calibri"/>
          <w:color w:val="252525"/>
          <w:spacing w:val="-1"/>
        </w:rPr>
        <w:tab/>
        <w:t>Au</w:t>
      </w:r>
      <w:r w:rsidRPr="00E32EE5">
        <w:rPr>
          <w:rFonts w:eastAsia="Calibri"/>
          <w:color w:val="252525"/>
          <w:spacing w:val="2"/>
        </w:rPr>
        <w:t xml:space="preserve"> </w:t>
      </w:r>
      <w:r w:rsidRPr="00E32EE5">
        <w:rPr>
          <w:rFonts w:eastAsia="Calibri"/>
          <w:color w:val="252525"/>
        </w:rPr>
        <w:t>fost</w:t>
      </w:r>
      <w:r w:rsidRPr="00E32EE5">
        <w:rPr>
          <w:rFonts w:eastAsia="Calibri"/>
          <w:color w:val="252525"/>
          <w:spacing w:val="2"/>
        </w:rPr>
        <w:t xml:space="preserve"> </w:t>
      </w:r>
      <w:r w:rsidRPr="00E32EE5">
        <w:rPr>
          <w:rFonts w:eastAsia="Calibri"/>
          <w:color w:val="252525"/>
        </w:rPr>
        <w:t>parcurse</w:t>
      </w:r>
      <w:r w:rsidRPr="00E32EE5">
        <w:rPr>
          <w:rFonts w:eastAsia="Calibri"/>
          <w:color w:val="252525"/>
          <w:spacing w:val="2"/>
        </w:rPr>
        <w:t xml:space="preserve"> </w:t>
      </w:r>
      <w:r w:rsidRPr="00E32EE5">
        <w:rPr>
          <w:rFonts w:eastAsia="Calibri"/>
          <w:color w:val="252525"/>
          <w:spacing w:val="-1"/>
        </w:rPr>
        <w:t>etapele</w:t>
      </w:r>
      <w:r w:rsidRPr="00E32EE5">
        <w:rPr>
          <w:rFonts w:eastAsia="Calibri"/>
          <w:color w:val="252525"/>
          <w:spacing w:val="2"/>
        </w:rPr>
        <w:t xml:space="preserve"> </w:t>
      </w:r>
      <w:r w:rsidRPr="00E32EE5">
        <w:rPr>
          <w:rFonts w:eastAsia="Calibri"/>
          <w:color w:val="252525"/>
          <w:spacing w:val="-1"/>
        </w:rPr>
        <w:t>mobilității</w:t>
      </w:r>
      <w:r w:rsidRPr="00E32EE5">
        <w:rPr>
          <w:rFonts w:eastAsia="Calibri"/>
          <w:color w:val="252525"/>
          <w:spacing w:val="3"/>
        </w:rPr>
        <w:t xml:space="preserve"> </w:t>
      </w:r>
      <w:r w:rsidRPr="00E32EE5">
        <w:rPr>
          <w:rFonts w:eastAsia="Calibri"/>
          <w:color w:val="252525"/>
          <w:spacing w:val="-1"/>
        </w:rPr>
        <w:t>personalului</w:t>
      </w:r>
      <w:r w:rsidRPr="00E32EE5">
        <w:rPr>
          <w:rFonts w:eastAsia="Calibri"/>
          <w:color w:val="252525"/>
          <w:spacing w:val="2"/>
        </w:rPr>
        <w:t xml:space="preserve"> </w:t>
      </w:r>
      <w:r w:rsidRPr="00E32EE5">
        <w:rPr>
          <w:rFonts w:eastAsia="Calibri"/>
          <w:color w:val="252525"/>
          <w:spacing w:val="-1"/>
        </w:rPr>
        <w:t>didactic,</w:t>
      </w:r>
      <w:r w:rsidRPr="00E32EE5">
        <w:rPr>
          <w:rFonts w:eastAsia="Calibri"/>
          <w:color w:val="252525"/>
          <w:spacing w:val="2"/>
        </w:rPr>
        <w:t xml:space="preserve"> </w:t>
      </w:r>
      <w:r w:rsidRPr="00E32EE5">
        <w:rPr>
          <w:rFonts w:eastAsia="Calibri"/>
          <w:color w:val="252525"/>
        </w:rPr>
        <w:t>în</w:t>
      </w:r>
      <w:r w:rsidRPr="00E32EE5">
        <w:rPr>
          <w:rFonts w:eastAsia="Calibri"/>
          <w:color w:val="252525"/>
          <w:spacing w:val="2"/>
        </w:rPr>
        <w:t xml:space="preserve"> </w:t>
      </w:r>
      <w:r w:rsidRPr="00E32EE5">
        <w:rPr>
          <w:rFonts w:eastAsia="Calibri"/>
          <w:color w:val="252525"/>
          <w:spacing w:val="-1"/>
        </w:rPr>
        <w:t>conformitate</w:t>
      </w:r>
      <w:r w:rsidRPr="00E32EE5">
        <w:rPr>
          <w:rFonts w:eastAsia="Calibri"/>
          <w:color w:val="252525"/>
          <w:spacing w:val="2"/>
        </w:rPr>
        <w:t xml:space="preserve"> </w:t>
      </w:r>
      <w:r w:rsidRPr="00E32EE5">
        <w:rPr>
          <w:rFonts w:eastAsia="Calibri"/>
          <w:color w:val="252525"/>
        </w:rPr>
        <w:t>cu</w:t>
      </w:r>
      <w:r w:rsidRPr="00E32EE5">
        <w:rPr>
          <w:rFonts w:eastAsia="Calibri"/>
          <w:color w:val="252525"/>
          <w:spacing w:val="2"/>
        </w:rPr>
        <w:t xml:space="preserve"> </w:t>
      </w:r>
      <w:r w:rsidRPr="00E32EE5">
        <w:rPr>
          <w:rFonts w:eastAsia="Calibri"/>
          <w:color w:val="252525"/>
          <w:spacing w:val="-1"/>
        </w:rPr>
        <w:t>prevederile</w:t>
      </w:r>
      <w:r w:rsidRPr="00E32EE5">
        <w:rPr>
          <w:rFonts w:eastAsia="Calibri"/>
          <w:color w:val="252525"/>
          <w:spacing w:val="2"/>
        </w:rPr>
        <w:t xml:space="preserve"> </w:t>
      </w:r>
      <w:r w:rsidRPr="00E32EE5">
        <w:rPr>
          <w:rFonts w:eastAsia="Calibri"/>
          <w:color w:val="252525"/>
          <w:spacing w:val="-1"/>
        </w:rPr>
        <w:t>Metodologia-cadru</w:t>
      </w:r>
      <w:r w:rsidRPr="00E32EE5">
        <w:rPr>
          <w:rFonts w:eastAsia="Calibri"/>
          <w:color w:val="252525"/>
          <w:spacing w:val="107"/>
        </w:rPr>
        <w:t xml:space="preserve"> </w:t>
      </w:r>
      <w:r w:rsidRPr="00E32EE5">
        <w:rPr>
          <w:rFonts w:eastAsia="Calibri"/>
          <w:color w:val="252525"/>
          <w:spacing w:val="-1"/>
        </w:rPr>
        <w:t>privind</w:t>
      </w:r>
      <w:r w:rsidRPr="00E32EE5">
        <w:rPr>
          <w:rFonts w:eastAsia="Calibri"/>
          <w:color w:val="252525"/>
          <w:spacing w:val="24"/>
        </w:rPr>
        <w:t xml:space="preserve"> </w:t>
      </w:r>
      <w:r w:rsidRPr="00E32EE5">
        <w:rPr>
          <w:rFonts w:eastAsia="Calibri"/>
          <w:color w:val="252525"/>
          <w:spacing w:val="-1"/>
        </w:rPr>
        <w:t>mobilitatea</w:t>
      </w:r>
      <w:r w:rsidRPr="00E32EE5">
        <w:rPr>
          <w:rFonts w:eastAsia="Calibri"/>
          <w:color w:val="252525"/>
          <w:spacing w:val="24"/>
        </w:rPr>
        <w:t xml:space="preserve"> </w:t>
      </w:r>
      <w:r w:rsidRPr="00E32EE5">
        <w:rPr>
          <w:rFonts w:eastAsia="Calibri"/>
          <w:color w:val="252525"/>
          <w:spacing w:val="-1"/>
        </w:rPr>
        <w:t>personalului</w:t>
      </w:r>
      <w:r w:rsidRPr="00E32EE5">
        <w:rPr>
          <w:rFonts w:eastAsia="Calibri"/>
          <w:color w:val="252525"/>
          <w:spacing w:val="24"/>
        </w:rPr>
        <w:t xml:space="preserve"> </w:t>
      </w:r>
      <w:r w:rsidRPr="00E32EE5">
        <w:rPr>
          <w:rFonts w:eastAsia="Calibri"/>
          <w:color w:val="252525"/>
          <w:spacing w:val="-1"/>
        </w:rPr>
        <w:t>didactic</w:t>
      </w:r>
      <w:r w:rsidRPr="00E32EE5">
        <w:rPr>
          <w:rFonts w:eastAsia="Calibri"/>
          <w:color w:val="252525"/>
          <w:spacing w:val="24"/>
        </w:rPr>
        <w:t xml:space="preserve"> </w:t>
      </w:r>
      <w:r w:rsidRPr="00E32EE5">
        <w:rPr>
          <w:rFonts w:eastAsia="Calibri"/>
          <w:color w:val="252525"/>
        </w:rPr>
        <w:t>de</w:t>
      </w:r>
      <w:r w:rsidRPr="00E32EE5">
        <w:rPr>
          <w:rFonts w:eastAsia="Calibri"/>
          <w:color w:val="252525"/>
          <w:spacing w:val="24"/>
        </w:rPr>
        <w:t xml:space="preserve"> </w:t>
      </w:r>
      <w:r w:rsidRPr="00E32EE5">
        <w:rPr>
          <w:rFonts w:eastAsia="Calibri"/>
          <w:color w:val="252525"/>
          <w:spacing w:val="-1"/>
        </w:rPr>
        <w:t>predare</w:t>
      </w:r>
      <w:r w:rsidRPr="00E32EE5">
        <w:rPr>
          <w:rFonts w:eastAsia="Calibri"/>
          <w:color w:val="252525"/>
          <w:spacing w:val="24"/>
        </w:rPr>
        <w:t xml:space="preserve"> </w:t>
      </w:r>
      <w:r w:rsidRPr="00E32EE5">
        <w:rPr>
          <w:rFonts w:eastAsia="Calibri"/>
          <w:color w:val="252525"/>
        </w:rPr>
        <w:t>din</w:t>
      </w:r>
      <w:r w:rsidRPr="00E32EE5">
        <w:rPr>
          <w:rFonts w:eastAsia="Calibri"/>
          <w:color w:val="252525"/>
          <w:spacing w:val="26"/>
        </w:rPr>
        <w:t xml:space="preserve"> </w:t>
      </w:r>
      <w:r w:rsidRPr="00E32EE5">
        <w:rPr>
          <w:rFonts w:eastAsia="Calibri"/>
          <w:color w:val="252525"/>
          <w:spacing w:val="-1"/>
        </w:rPr>
        <w:t>învățământul</w:t>
      </w:r>
      <w:r w:rsidRPr="00E32EE5">
        <w:rPr>
          <w:rFonts w:eastAsia="Calibri"/>
          <w:color w:val="252525"/>
          <w:spacing w:val="24"/>
        </w:rPr>
        <w:t xml:space="preserve"> </w:t>
      </w:r>
      <w:r w:rsidRPr="00E32EE5">
        <w:rPr>
          <w:rFonts w:eastAsia="Calibri"/>
          <w:color w:val="252525"/>
          <w:spacing w:val="-1"/>
        </w:rPr>
        <w:t>preuniversitar</w:t>
      </w:r>
      <w:r w:rsidRPr="00E32EE5">
        <w:rPr>
          <w:rFonts w:eastAsia="Calibri"/>
          <w:color w:val="252525"/>
          <w:spacing w:val="23"/>
        </w:rPr>
        <w:t xml:space="preserve"> </w:t>
      </w:r>
      <w:r w:rsidRPr="00E32EE5">
        <w:rPr>
          <w:rFonts w:eastAsia="Calibri"/>
          <w:color w:val="252525"/>
          <w:spacing w:val="-2"/>
        </w:rPr>
        <w:t>în</w:t>
      </w:r>
      <w:r w:rsidRPr="00E32EE5">
        <w:rPr>
          <w:rFonts w:eastAsia="Calibri"/>
          <w:color w:val="252525"/>
          <w:spacing w:val="24"/>
        </w:rPr>
        <w:t xml:space="preserve"> </w:t>
      </w:r>
      <w:r w:rsidRPr="00E32EE5">
        <w:rPr>
          <w:rFonts w:eastAsia="Calibri"/>
          <w:color w:val="252525"/>
          <w:spacing w:val="-1"/>
        </w:rPr>
        <w:t>anul</w:t>
      </w:r>
      <w:r w:rsidRPr="00E32EE5">
        <w:rPr>
          <w:rFonts w:eastAsia="Calibri"/>
          <w:color w:val="252525"/>
          <w:spacing w:val="24"/>
        </w:rPr>
        <w:t xml:space="preserve"> </w:t>
      </w:r>
      <w:r w:rsidRPr="00E32EE5">
        <w:rPr>
          <w:rFonts w:eastAsia="Calibri"/>
          <w:color w:val="252525"/>
          <w:spacing w:val="-1"/>
        </w:rPr>
        <w:t>școlar</w:t>
      </w:r>
      <w:r w:rsidRPr="00E32EE5">
        <w:rPr>
          <w:rFonts w:eastAsia="Calibri"/>
          <w:color w:val="252525"/>
          <w:spacing w:val="23"/>
        </w:rPr>
        <w:t xml:space="preserve"> </w:t>
      </w:r>
      <w:r w:rsidRPr="00E32EE5">
        <w:rPr>
          <w:rFonts w:eastAsia="Calibri"/>
          <w:color w:val="252525"/>
        </w:rPr>
        <w:t>201</w:t>
      </w:r>
      <w:r w:rsidR="00191361">
        <w:rPr>
          <w:rFonts w:eastAsia="Calibri"/>
          <w:color w:val="252525"/>
        </w:rPr>
        <w:t>8</w:t>
      </w:r>
      <w:r w:rsidRPr="00E32EE5">
        <w:rPr>
          <w:rFonts w:eastAsia="Calibri"/>
          <w:color w:val="252525"/>
        </w:rPr>
        <w:t>-201</w:t>
      </w:r>
      <w:r w:rsidR="00191361">
        <w:rPr>
          <w:rFonts w:eastAsia="Calibri"/>
          <w:color w:val="252525"/>
        </w:rPr>
        <w:t>9</w:t>
      </w:r>
      <w:r w:rsidRPr="00E32EE5">
        <w:rPr>
          <w:rFonts w:eastAsia="Calibri"/>
          <w:color w:val="252525"/>
        </w:rPr>
        <w:t>, aprobat</w:t>
      </w:r>
      <w:r w:rsidRPr="00E32EE5">
        <w:rPr>
          <w:rFonts w:eastAsia="Calibri"/>
          <w:color w:val="252525"/>
          <w:spacing w:val="-1"/>
        </w:rPr>
        <w:t xml:space="preserve"> </w:t>
      </w:r>
      <w:r w:rsidRPr="00E32EE5">
        <w:rPr>
          <w:rFonts w:eastAsia="Calibri"/>
          <w:color w:val="252525"/>
        </w:rPr>
        <w:t xml:space="preserve">prin </w:t>
      </w:r>
      <w:r w:rsidRPr="00E32EE5">
        <w:rPr>
          <w:rFonts w:eastAsia="Calibri"/>
          <w:color w:val="252525"/>
          <w:spacing w:val="-1"/>
        </w:rPr>
        <w:t xml:space="preserve">OMENCȘ </w:t>
      </w:r>
      <w:r w:rsidRPr="00E32EE5">
        <w:rPr>
          <w:rFonts w:eastAsia="Calibri"/>
          <w:color w:val="252525"/>
        </w:rPr>
        <w:t>nr.</w:t>
      </w:r>
      <w:r w:rsidRPr="00E32EE5">
        <w:rPr>
          <w:rFonts w:eastAsia="Calibri"/>
          <w:color w:val="252525"/>
          <w:spacing w:val="1"/>
        </w:rPr>
        <w:t xml:space="preserve"> </w:t>
      </w:r>
      <w:r w:rsidR="00191361">
        <w:rPr>
          <w:rFonts w:eastAsia="Calibri"/>
          <w:color w:val="252525"/>
          <w:spacing w:val="-1"/>
        </w:rPr>
        <w:t>5485</w:t>
      </w:r>
      <w:r w:rsidRPr="00E32EE5">
        <w:rPr>
          <w:rFonts w:eastAsia="Calibri"/>
          <w:color w:val="252525"/>
          <w:spacing w:val="-1"/>
        </w:rPr>
        <w:t>/</w:t>
      </w:r>
      <w:r w:rsidR="00191361">
        <w:rPr>
          <w:rFonts w:eastAsia="Calibri"/>
          <w:color w:val="252525"/>
          <w:spacing w:val="-1"/>
        </w:rPr>
        <w:t>2017</w:t>
      </w:r>
      <w:r w:rsidRPr="00E32EE5">
        <w:rPr>
          <w:rFonts w:eastAsia="Calibri"/>
          <w:color w:val="252525"/>
          <w:spacing w:val="-1"/>
        </w:rPr>
        <w:t>,</w:t>
      </w:r>
      <w:r w:rsidRPr="00E32EE5">
        <w:rPr>
          <w:rFonts w:eastAsia="Calibri"/>
          <w:color w:val="252525"/>
        </w:rPr>
        <w:t xml:space="preserve"> </w:t>
      </w:r>
      <w:r w:rsidRPr="00E32EE5">
        <w:rPr>
          <w:rFonts w:eastAsia="Calibri"/>
          <w:color w:val="252525"/>
          <w:spacing w:val="-1"/>
        </w:rPr>
        <w:t>cu</w:t>
      </w:r>
      <w:r w:rsidRPr="00E32EE5">
        <w:rPr>
          <w:rFonts w:eastAsia="Calibri"/>
          <w:color w:val="252525"/>
          <w:spacing w:val="2"/>
        </w:rPr>
        <w:t xml:space="preserve"> </w:t>
      </w:r>
      <w:r w:rsidRPr="00E32EE5">
        <w:rPr>
          <w:rFonts w:eastAsia="Calibri"/>
          <w:color w:val="252525"/>
          <w:spacing w:val="-1"/>
        </w:rPr>
        <w:t>modificările</w:t>
      </w:r>
      <w:r w:rsidRPr="00E32EE5">
        <w:rPr>
          <w:rFonts w:eastAsia="Calibri"/>
          <w:color w:val="252525"/>
        </w:rPr>
        <w:t xml:space="preserve"> și </w:t>
      </w:r>
      <w:r w:rsidRPr="00E32EE5">
        <w:rPr>
          <w:rFonts w:eastAsia="Calibri"/>
          <w:color w:val="252525"/>
          <w:spacing w:val="-1"/>
        </w:rPr>
        <w:t>completările</w:t>
      </w:r>
      <w:r w:rsidRPr="00E32EE5">
        <w:rPr>
          <w:rFonts w:eastAsia="Calibri"/>
          <w:color w:val="252525"/>
        </w:rPr>
        <w:t xml:space="preserve"> </w:t>
      </w:r>
      <w:r w:rsidRPr="00E32EE5">
        <w:rPr>
          <w:rFonts w:eastAsia="Calibri"/>
          <w:color w:val="252525"/>
          <w:spacing w:val="-1"/>
        </w:rPr>
        <w:t xml:space="preserve">ulterioare, </w:t>
      </w:r>
      <w:r w:rsidRPr="00E32EE5">
        <w:rPr>
          <w:rFonts w:eastAsia="Calibri"/>
          <w:color w:val="252525"/>
        </w:rPr>
        <w:t xml:space="preserve">în </w:t>
      </w:r>
      <w:r w:rsidRPr="00E32EE5">
        <w:rPr>
          <w:rFonts w:eastAsia="Calibri"/>
          <w:color w:val="252525"/>
          <w:spacing w:val="-1"/>
        </w:rPr>
        <w:t>cadrul</w:t>
      </w:r>
      <w:r w:rsidRPr="00E32EE5">
        <w:rPr>
          <w:rFonts w:eastAsia="Calibri"/>
          <w:color w:val="252525"/>
        </w:rPr>
        <w:t xml:space="preserve"> cărora</w:t>
      </w:r>
      <w:r w:rsidRPr="00E32EE5">
        <w:rPr>
          <w:rFonts w:eastAsia="Calibri"/>
          <w:color w:val="252525"/>
          <w:spacing w:val="-1"/>
        </w:rPr>
        <w:t xml:space="preserve"> </w:t>
      </w:r>
      <w:r w:rsidRPr="00E32EE5">
        <w:rPr>
          <w:rFonts w:eastAsia="Calibri"/>
          <w:color w:val="252525"/>
        </w:rPr>
        <w:t>s-au</w:t>
      </w:r>
      <w:r w:rsidRPr="00E32EE5">
        <w:rPr>
          <w:rFonts w:eastAsia="Calibri"/>
          <w:color w:val="252525"/>
          <w:spacing w:val="73"/>
        </w:rPr>
        <w:t xml:space="preserve"> </w:t>
      </w:r>
      <w:r w:rsidRPr="00E32EE5">
        <w:rPr>
          <w:rFonts w:eastAsia="Calibri"/>
          <w:color w:val="252525"/>
          <w:spacing w:val="-1"/>
        </w:rPr>
        <w:t>realizat</w:t>
      </w:r>
      <w:r w:rsidRPr="00E32EE5">
        <w:rPr>
          <w:rFonts w:eastAsia="Calibri"/>
          <w:b/>
          <w:color w:val="252525"/>
          <w:spacing w:val="-1"/>
        </w:rPr>
        <w:t>:</w:t>
      </w:r>
    </w:p>
    <w:p w:rsidR="00E32EE5" w:rsidRPr="00F46AC7" w:rsidRDefault="00E32EE5" w:rsidP="00980D72">
      <w:pPr>
        <w:widowControl w:val="0"/>
        <w:numPr>
          <w:ilvl w:val="0"/>
          <w:numId w:val="24"/>
        </w:numPr>
        <w:tabs>
          <w:tab w:val="left" w:pos="709"/>
        </w:tabs>
        <w:ind w:left="0" w:firstLine="284"/>
        <w:jc w:val="both"/>
        <w:rPr>
          <w:rFonts w:eastAsia="Arial Narrow"/>
          <w:lang w:eastAsia="en-US"/>
        </w:rPr>
      </w:pPr>
      <w:r w:rsidRPr="00F46AC7">
        <w:rPr>
          <w:rFonts w:eastAsia="Arial Narrow"/>
          <w:bCs/>
          <w:spacing w:val="-1"/>
          <w:lang w:eastAsia="en-US"/>
        </w:rPr>
        <w:lastRenderedPageBreak/>
        <w:t>Soluționări</w:t>
      </w:r>
      <w:r w:rsidRPr="00F46AC7">
        <w:rPr>
          <w:rFonts w:eastAsia="Arial Narrow"/>
          <w:bCs/>
          <w:lang w:eastAsia="en-US"/>
        </w:rPr>
        <w:t xml:space="preserve"> </w:t>
      </w:r>
      <w:r w:rsidRPr="00F46AC7">
        <w:rPr>
          <w:rFonts w:eastAsia="Arial Narrow"/>
          <w:bCs/>
          <w:spacing w:val="-1"/>
          <w:lang w:eastAsia="en-US"/>
        </w:rPr>
        <w:t>întregiri</w:t>
      </w:r>
      <w:r w:rsidRPr="00F46AC7">
        <w:rPr>
          <w:rFonts w:eastAsia="Arial Narrow"/>
          <w:bCs/>
          <w:lang w:eastAsia="en-US"/>
        </w:rPr>
        <w:t xml:space="preserve"> de </w:t>
      </w:r>
      <w:r w:rsidRPr="00F46AC7">
        <w:rPr>
          <w:rFonts w:eastAsia="Arial Narrow"/>
          <w:bCs/>
          <w:spacing w:val="-1"/>
          <w:lang w:eastAsia="en-US"/>
        </w:rPr>
        <w:t>normă</w:t>
      </w:r>
      <w:r w:rsidRPr="00F46AC7">
        <w:rPr>
          <w:rFonts w:eastAsia="Arial Narrow"/>
          <w:bCs/>
          <w:lang w:eastAsia="en-US"/>
        </w:rPr>
        <w:t xml:space="preserve"> </w:t>
      </w:r>
      <w:r w:rsidRPr="00F46AC7">
        <w:rPr>
          <w:rFonts w:eastAsia="Arial Narrow"/>
          <w:lang w:eastAsia="en-US"/>
        </w:rPr>
        <w:t xml:space="preserve">– </w:t>
      </w:r>
      <w:r w:rsidR="00191361">
        <w:rPr>
          <w:rFonts w:eastAsia="Arial Narrow"/>
          <w:lang w:eastAsia="en-US"/>
        </w:rPr>
        <w:t>69</w:t>
      </w:r>
      <w:r w:rsidRPr="00F46AC7">
        <w:rPr>
          <w:rFonts w:eastAsia="Arial Narrow"/>
          <w:lang w:eastAsia="en-US"/>
        </w:rPr>
        <w:t xml:space="preserve"> </w:t>
      </w:r>
      <w:r w:rsidRPr="00F46AC7">
        <w:rPr>
          <w:rFonts w:eastAsia="Arial Narrow"/>
          <w:spacing w:val="-1"/>
          <w:lang w:eastAsia="en-US"/>
        </w:rPr>
        <w:t>cadre</w:t>
      </w:r>
      <w:r w:rsidRPr="00F46AC7">
        <w:rPr>
          <w:rFonts w:eastAsia="Arial Narrow"/>
          <w:lang w:eastAsia="en-US"/>
        </w:rPr>
        <w:t xml:space="preserve"> </w:t>
      </w:r>
      <w:r w:rsidRPr="00F46AC7">
        <w:rPr>
          <w:rFonts w:eastAsia="Arial Narrow"/>
          <w:spacing w:val="-1"/>
          <w:lang w:eastAsia="en-US"/>
        </w:rPr>
        <w:t>didactice;</w:t>
      </w:r>
    </w:p>
    <w:p w:rsidR="00E32EE5" w:rsidRPr="00F46AC7" w:rsidRDefault="00E32EE5" w:rsidP="00980D72">
      <w:pPr>
        <w:widowControl w:val="0"/>
        <w:numPr>
          <w:ilvl w:val="0"/>
          <w:numId w:val="24"/>
        </w:numPr>
        <w:tabs>
          <w:tab w:val="left" w:pos="709"/>
        </w:tabs>
        <w:spacing w:before="35"/>
        <w:ind w:left="0" w:firstLine="284"/>
        <w:jc w:val="both"/>
        <w:rPr>
          <w:rFonts w:eastAsia="Arial Narrow"/>
          <w:lang w:eastAsia="en-US"/>
        </w:rPr>
      </w:pPr>
      <w:r w:rsidRPr="00F46AC7">
        <w:rPr>
          <w:rFonts w:eastAsia="Arial Narrow"/>
          <w:bCs/>
          <w:spacing w:val="-1"/>
          <w:lang w:eastAsia="en-US"/>
        </w:rPr>
        <w:t>Transfer pentru</w:t>
      </w:r>
      <w:r w:rsidRPr="00F46AC7">
        <w:rPr>
          <w:rFonts w:eastAsia="Arial Narrow"/>
          <w:bCs/>
          <w:lang w:eastAsia="en-US"/>
        </w:rPr>
        <w:t xml:space="preserve"> </w:t>
      </w:r>
      <w:r w:rsidRPr="00F46AC7">
        <w:rPr>
          <w:rFonts w:eastAsia="Arial Narrow"/>
          <w:bCs/>
          <w:spacing w:val="-1"/>
          <w:lang w:eastAsia="en-US"/>
        </w:rPr>
        <w:t>soluționarea</w:t>
      </w:r>
      <w:r w:rsidRPr="00F46AC7">
        <w:rPr>
          <w:rFonts w:eastAsia="Arial Narrow"/>
          <w:bCs/>
          <w:spacing w:val="-3"/>
          <w:lang w:eastAsia="en-US"/>
        </w:rPr>
        <w:t xml:space="preserve"> </w:t>
      </w:r>
      <w:r w:rsidRPr="00F46AC7">
        <w:rPr>
          <w:rFonts w:eastAsia="Arial Narrow"/>
          <w:bCs/>
          <w:spacing w:val="-1"/>
          <w:lang w:eastAsia="en-US"/>
        </w:rPr>
        <w:t>restrângerii</w:t>
      </w:r>
      <w:r w:rsidRPr="00F46AC7">
        <w:rPr>
          <w:rFonts w:eastAsia="Arial Narrow"/>
          <w:bCs/>
          <w:lang w:eastAsia="en-US"/>
        </w:rPr>
        <w:t xml:space="preserve"> de </w:t>
      </w:r>
      <w:r w:rsidRPr="00F46AC7">
        <w:rPr>
          <w:rFonts w:eastAsia="Arial Narrow"/>
          <w:bCs/>
          <w:spacing w:val="-1"/>
          <w:lang w:eastAsia="en-US"/>
        </w:rPr>
        <w:t>activitate</w:t>
      </w:r>
      <w:r w:rsidRPr="00F46AC7">
        <w:rPr>
          <w:rFonts w:eastAsia="Arial Narrow"/>
          <w:bCs/>
          <w:lang w:eastAsia="en-US"/>
        </w:rPr>
        <w:t xml:space="preserve"> </w:t>
      </w:r>
      <w:r w:rsidRPr="00F46AC7">
        <w:rPr>
          <w:rFonts w:eastAsia="Arial Narrow"/>
          <w:lang w:eastAsia="en-US"/>
        </w:rPr>
        <w:t>–</w:t>
      </w:r>
      <w:r w:rsidRPr="00F46AC7">
        <w:rPr>
          <w:rFonts w:eastAsia="Arial Narrow"/>
          <w:spacing w:val="-3"/>
          <w:lang w:eastAsia="en-US"/>
        </w:rPr>
        <w:t xml:space="preserve"> </w:t>
      </w:r>
      <w:r w:rsidR="00191361">
        <w:rPr>
          <w:rFonts w:eastAsia="Arial Narrow"/>
          <w:spacing w:val="-2"/>
          <w:lang w:eastAsia="en-US"/>
        </w:rPr>
        <w:t>14</w:t>
      </w:r>
      <w:r w:rsidRPr="00F46AC7">
        <w:rPr>
          <w:rFonts w:eastAsia="Arial Narrow"/>
          <w:lang w:eastAsia="en-US"/>
        </w:rPr>
        <w:t xml:space="preserve"> cadre</w:t>
      </w:r>
      <w:r w:rsidRPr="00F46AC7">
        <w:rPr>
          <w:rFonts w:eastAsia="Arial Narrow"/>
          <w:spacing w:val="-3"/>
          <w:lang w:eastAsia="en-US"/>
        </w:rPr>
        <w:t xml:space="preserve"> </w:t>
      </w:r>
      <w:r w:rsidRPr="00F46AC7">
        <w:rPr>
          <w:rFonts w:eastAsia="Arial Narrow"/>
          <w:spacing w:val="-1"/>
          <w:lang w:eastAsia="en-US"/>
        </w:rPr>
        <w:t>didactice;</w:t>
      </w:r>
    </w:p>
    <w:p w:rsidR="00E32EE5" w:rsidRPr="00F46AC7" w:rsidRDefault="00E32EE5" w:rsidP="00980D72">
      <w:pPr>
        <w:widowControl w:val="0"/>
        <w:numPr>
          <w:ilvl w:val="0"/>
          <w:numId w:val="24"/>
        </w:numPr>
        <w:tabs>
          <w:tab w:val="left" w:pos="709"/>
        </w:tabs>
        <w:spacing w:before="35"/>
        <w:ind w:left="0" w:firstLine="284"/>
        <w:jc w:val="both"/>
        <w:rPr>
          <w:rFonts w:eastAsia="Arial Narrow"/>
          <w:lang w:eastAsia="en-US"/>
        </w:rPr>
      </w:pPr>
      <w:r w:rsidRPr="00F46AC7">
        <w:rPr>
          <w:rFonts w:eastAsia="Arial Narrow"/>
          <w:bCs/>
          <w:spacing w:val="-1"/>
          <w:lang w:eastAsia="en-US"/>
        </w:rPr>
        <w:t xml:space="preserve">Pretransfer </w:t>
      </w:r>
      <w:r w:rsidRPr="00F46AC7">
        <w:rPr>
          <w:rFonts w:eastAsia="Arial Narrow"/>
          <w:lang w:eastAsia="en-US"/>
        </w:rPr>
        <w:t xml:space="preserve">– </w:t>
      </w:r>
      <w:r w:rsidR="00191361">
        <w:rPr>
          <w:rFonts w:eastAsia="Arial Narrow"/>
          <w:lang w:eastAsia="en-US"/>
        </w:rPr>
        <w:t>237</w:t>
      </w:r>
      <w:r w:rsidRPr="00F46AC7">
        <w:rPr>
          <w:rFonts w:eastAsia="Arial Narrow"/>
          <w:lang w:eastAsia="en-US"/>
        </w:rPr>
        <w:t xml:space="preserve"> </w:t>
      </w:r>
      <w:r w:rsidRPr="00F46AC7">
        <w:rPr>
          <w:rFonts w:eastAsia="Arial Narrow"/>
          <w:spacing w:val="-1"/>
          <w:lang w:eastAsia="en-US"/>
        </w:rPr>
        <w:t>cadre</w:t>
      </w:r>
      <w:r w:rsidRPr="00F46AC7">
        <w:rPr>
          <w:rFonts w:eastAsia="Arial Narrow"/>
          <w:lang w:eastAsia="en-US"/>
        </w:rPr>
        <w:t xml:space="preserve"> </w:t>
      </w:r>
      <w:r w:rsidRPr="00F46AC7">
        <w:rPr>
          <w:rFonts w:eastAsia="Arial Narrow"/>
          <w:spacing w:val="-1"/>
          <w:lang w:eastAsia="en-US"/>
        </w:rPr>
        <w:t>didactice;</w:t>
      </w:r>
    </w:p>
    <w:p w:rsidR="00E32EE5" w:rsidRPr="00F46AC7" w:rsidRDefault="00E32EE5" w:rsidP="00980D72">
      <w:pPr>
        <w:widowControl w:val="0"/>
        <w:numPr>
          <w:ilvl w:val="0"/>
          <w:numId w:val="24"/>
        </w:numPr>
        <w:tabs>
          <w:tab w:val="left" w:pos="709"/>
        </w:tabs>
        <w:spacing w:before="35"/>
        <w:ind w:left="0" w:firstLine="284"/>
        <w:jc w:val="both"/>
        <w:rPr>
          <w:rFonts w:eastAsia="Arial Narrow"/>
          <w:lang w:eastAsia="en-US"/>
        </w:rPr>
      </w:pPr>
      <w:r w:rsidRPr="00F46AC7">
        <w:rPr>
          <w:rFonts w:eastAsia="Arial Narrow"/>
          <w:bCs/>
          <w:spacing w:val="-1"/>
          <w:lang w:eastAsia="en-US"/>
        </w:rPr>
        <w:t>Schimburi</w:t>
      </w:r>
      <w:r w:rsidRPr="00F46AC7">
        <w:rPr>
          <w:rFonts w:eastAsia="Arial Narrow"/>
          <w:bCs/>
          <w:lang w:eastAsia="en-US"/>
        </w:rPr>
        <w:t xml:space="preserve"> de </w:t>
      </w:r>
      <w:r w:rsidRPr="00F46AC7">
        <w:rPr>
          <w:rFonts w:eastAsia="Arial Narrow"/>
          <w:bCs/>
          <w:spacing w:val="-1"/>
          <w:lang w:eastAsia="en-US"/>
        </w:rPr>
        <w:t>posturi</w:t>
      </w:r>
      <w:r w:rsidRPr="00F46AC7">
        <w:rPr>
          <w:rFonts w:eastAsia="Arial Narrow"/>
          <w:bCs/>
          <w:lang w:eastAsia="en-US"/>
        </w:rPr>
        <w:t xml:space="preserve"> </w:t>
      </w:r>
      <w:r w:rsidRPr="00F46AC7">
        <w:rPr>
          <w:rFonts w:eastAsia="Arial Narrow"/>
          <w:lang w:eastAsia="en-US"/>
        </w:rPr>
        <w:t>–</w:t>
      </w:r>
      <w:r w:rsidRPr="00F46AC7">
        <w:rPr>
          <w:rFonts w:eastAsia="Arial Narrow"/>
          <w:spacing w:val="-3"/>
          <w:lang w:eastAsia="en-US"/>
        </w:rPr>
        <w:t xml:space="preserve"> </w:t>
      </w:r>
      <w:r w:rsidR="00191361">
        <w:rPr>
          <w:rFonts w:eastAsia="Arial Narrow"/>
          <w:lang w:eastAsia="en-US"/>
        </w:rPr>
        <w:t>5</w:t>
      </w:r>
      <w:r w:rsidRPr="00F46AC7">
        <w:rPr>
          <w:rFonts w:eastAsia="Arial Narrow"/>
          <w:lang w:eastAsia="en-US"/>
        </w:rPr>
        <w:t xml:space="preserve"> </w:t>
      </w:r>
      <w:r w:rsidRPr="00F46AC7">
        <w:rPr>
          <w:rFonts w:eastAsia="Arial Narrow"/>
          <w:spacing w:val="-2"/>
          <w:lang w:eastAsia="en-US"/>
        </w:rPr>
        <w:t>cadre</w:t>
      </w:r>
      <w:r w:rsidRPr="00F46AC7">
        <w:rPr>
          <w:rFonts w:eastAsia="Arial Narrow"/>
          <w:lang w:eastAsia="en-US"/>
        </w:rPr>
        <w:t xml:space="preserve"> </w:t>
      </w:r>
      <w:r w:rsidRPr="00F46AC7">
        <w:rPr>
          <w:rFonts w:eastAsia="Arial Narrow"/>
          <w:spacing w:val="-1"/>
          <w:lang w:eastAsia="en-US"/>
        </w:rPr>
        <w:t>didactice;</w:t>
      </w:r>
    </w:p>
    <w:p w:rsidR="00E32EE5" w:rsidRPr="00F46AC7" w:rsidRDefault="00E32EE5" w:rsidP="00980D72">
      <w:pPr>
        <w:widowControl w:val="0"/>
        <w:numPr>
          <w:ilvl w:val="0"/>
          <w:numId w:val="24"/>
        </w:numPr>
        <w:tabs>
          <w:tab w:val="left" w:pos="709"/>
        </w:tabs>
        <w:spacing w:before="37"/>
        <w:ind w:left="0" w:firstLine="284"/>
        <w:jc w:val="both"/>
        <w:rPr>
          <w:rFonts w:eastAsia="Calibri"/>
        </w:rPr>
      </w:pPr>
      <w:r w:rsidRPr="00F46AC7">
        <w:rPr>
          <w:rFonts w:eastAsia="Calibri"/>
          <w:bCs/>
          <w:spacing w:val="-1"/>
        </w:rPr>
        <w:t>Completare</w:t>
      </w:r>
      <w:r w:rsidRPr="00F46AC7">
        <w:rPr>
          <w:rFonts w:eastAsia="Calibri"/>
          <w:bCs/>
          <w:spacing w:val="31"/>
        </w:rPr>
        <w:t xml:space="preserve"> </w:t>
      </w:r>
      <w:r w:rsidRPr="00F46AC7">
        <w:rPr>
          <w:rFonts w:eastAsia="Calibri"/>
          <w:bCs/>
        </w:rPr>
        <w:t>de</w:t>
      </w:r>
      <w:r w:rsidRPr="00F46AC7">
        <w:rPr>
          <w:rFonts w:eastAsia="Calibri"/>
          <w:bCs/>
          <w:spacing w:val="30"/>
        </w:rPr>
        <w:t xml:space="preserve"> </w:t>
      </w:r>
      <w:r w:rsidRPr="00F46AC7">
        <w:rPr>
          <w:rFonts w:eastAsia="Calibri"/>
          <w:bCs/>
          <w:spacing w:val="-1"/>
        </w:rPr>
        <w:t>normă</w:t>
      </w:r>
      <w:r w:rsidRPr="00F46AC7">
        <w:rPr>
          <w:rFonts w:eastAsia="Calibri"/>
          <w:bCs/>
          <w:spacing w:val="32"/>
        </w:rPr>
        <w:t xml:space="preserve"> </w:t>
      </w:r>
      <w:r w:rsidRPr="00F46AC7">
        <w:rPr>
          <w:rFonts w:eastAsia="Calibri"/>
        </w:rPr>
        <w:t>–</w:t>
      </w:r>
      <w:r w:rsidRPr="00F46AC7">
        <w:rPr>
          <w:rFonts w:eastAsia="Calibri"/>
          <w:spacing w:val="31"/>
        </w:rPr>
        <w:t xml:space="preserve"> </w:t>
      </w:r>
      <w:r w:rsidR="00191361">
        <w:rPr>
          <w:rFonts w:eastAsia="Calibri"/>
        </w:rPr>
        <w:t>8</w:t>
      </w:r>
      <w:r w:rsidRPr="00F46AC7">
        <w:rPr>
          <w:rFonts w:eastAsia="Calibri"/>
          <w:spacing w:val="28"/>
        </w:rPr>
        <w:t xml:space="preserve"> </w:t>
      </w:r>
      <w:r w:rsidRPr="00F46AC7">
        <w:rPr>
          <w:rFonts w:eastAsia="Calibri"/>
        </w:rPr>
        <w:t>cadre</w:t>
      </w:r>
      <w:r w:rsidRPr="00F46AC7">
        <w:rPr>
          <w:rFonts w:eastAsia="Calibri"/>
          <w:spacing w:val="31"/>
        </w:rPr>
        <w:t xml:space="preserve"> </w:t>
      </w:r>
      <w:r w:rsidRPr="00F46AC7">
        <w:rPr>
          <w:rFonts w:eastAsia="Calibri"/>
          <w:spacing w:val="-1"/>
        </w:rPr>
        <w:t>didactice</w:t>
      </w:r>
      <w:r w:rsidRPr="00F46AC7">
        <w:rPr>
          <w:rFonts w:eastAsia="Calibri"/>
          <w:spacing w:val="32"/>
        </w:rPr>
        <w:t xml:space="preserve"> </w:t>
      </w:r>
      <w:r w:rsidRPr="00F46AC7">
        <w:rPr>
          <w:rFonts w:eastAsia="Calibri"/>
        </w:rPr>
        <w:t>pe</w:t>
      </w:r>
      <w:r w:rsidRPr="00F46AC7">
        <w:rPr>
          <w:rFonts w:eastAsia="Calibri"/>
          <w:spacing w:val="31"/>
        </w:rPr>
        <w:t xml:space="preserve"> </w:t>
      </w:r>
      <w:r w:rsidRPr="00F46AC7">
        <w:rPr>
          <w:rFonts w:eastAsia="Calibri"/>
          <w:spacing w:val="-1"/>
        </w:rPr>
        <w:t>perioadă</w:t>
      </w:r>
      <w:r w:rsidRPr="00F46AC7">
        <w:rPr>
          <w:rFonts w:eastAsia="Calibri"/>
          <w:spacing w:val="29"/>
        </w:rPr>
        <w:t xml:space="preserve"> </w:t>
      </w:r>
      <w:r w:rsidRPr="00F46AC7">
        <w:rPr>
          <w:rFonts w:eastAsia="Calibri"/>
          <w:spacing w:val="-1"/>
        </w:rPr>
        <w:t>nedeterminată</w:t>
      </w:r>
      <w:r w:rsidRPr="00F46AC7">
        <w:rPr>
          <w:rFonts w:eastAsia="Calibri"/>
          <w:spacing w:val="31"/>
        </w:rPr>
        <w:t xml:space="preserve"> </w:t>
      </w:r>
      <w:r w:rsidRPr="00F46AC7">
        <w:rPr>
          <w:rFonts w:eastAsia="Calibri"/>
          <w:spacing w:val="-1"/>
        </w:rPr>
        <w:t>și</w:t>
      </w:r>
      <w:r w:rsidRPr="00F46AC7">
        <w:rPr>
          <w:rFonts w:eastAsia="Calibri"/>
          <w:spacing w:val="31"/>
        </w:rPr>
        <w:t xml:space="preserve"> </w:t>
      </w:r>
      <w:r w:rsidR="00191361">
        <w:rPr>
          <w:rFonts w:eastAsia="Calibri"/>
        </w:rPr>
        <w:t>98</w:t>
      </w:r>
      <w:r w:rsidRPr="00F46AC7">
        <w:rPr>
          <w:rFonts w:eastAsia="Calibri"/>
          <w:spacing w:val="31"/>
        </w:rPr>
        <w:t xml:space="preserve"> </w:t>
      </w:r>
      <w:r w:rsidRPr="00F46AC7">
        <w:rPr>
          <w:rFonts w:eastAsia="Calibri"/>
          <w:spacing w:val="-1"/>
        </w:rPr>
        <w:t>cadre</w:t>
      </w:r>
      <w:r w:rsidRPr="00F46AC7">
        <w:rPr>
          <w:rFonts w:eastAsia="Calibri"/>
          <w:spacing w:val="32"/>
        </w:rPr>
        <w:t xml:space="preserve"> </w:t>
      </w:r>
      <w:r w:rsidRPr="00F46AC7">
        <w:rPr>
          <w:rFonts w:eastAsia="Calibri"/>
          <w:spacing w:val="-1"/>
        </w:rPr>
        <w:t>didactice</w:t>
      </w:r>
      <w:r w:rsidRPr="00F46AC7">
        <w:rPr>
          <w:rFonts w:eastAsia="Calibri"/>
          <w:spacing w:val="31"/>
        </w:rPr>
        <w:t xml:space="preserve"> </w:t>
      </w:r>
      <w:r w:rsidRPr="00F46AC7">
        <w:rPr>
          <w:rFonts w:eastAsia="Calibri"/>
        </w:rPr>
        <w:t>pe</w:t>
      </w:r>
      <w:r w:rsidRPr="00F46AC7">
        <w:rPr>
          <w:rFonts w:eastAsia="Calibri"/>
          <w:spacing w:val="79"/>
        </w:rPr>
        <w:t xml:space="preserve"> </w:t>
      </w:r>
      <w:r w:rsidRPr="00F46AC7">
        <w:rPr>
          <w:rFonts w:eastAsia="Calibri"/>
        </w:rPr>
        <w:t>perioadă</w:t>
      </w:r>
      <w:r w:rsidRPr="00F46AC7">
        <w:rPr>
          <w:rFonts w:eastAsia="Calibri"/>
          <w:spacing w:val="-2"/>
        </w:rPr>
        <w:t xml:space="preserve"> </w:t>
      </w:r>
      <w:r w:rsidRPr="00F46AC7">
        <w:rPr>
          <w:rFonts w:eastAsia="Calibri"/>
          <w:spacing w:val="-1"/>
        </w:rPr>
        <w:t>determinată;</w:t>
      </w:r>
    </w:p>
    <w:p w:rsidR="00E32EE5" w:rsidRPr="00F46AC7" w:rsidRDefault="00E32EE5" w:rsidP="00980D72">
      <w:pPr>
        <w:widowControl w:val="0"/>
        <w:numPr>
          <w:ilvl w:val="0"/>
          <w:numId w:val="24"/>
        </w:numPr>
        <w:tabs>
          <w:tab w:val="left" w:pos="709"/>
        </w:tabs>
        <w:spacing w:before="8"/>
        <w:ind w:left="0" w:firstLine="284"/>
        <w:jc w:val="both"/>
        <w:rPr>
          <w:rFonts w:eastAsia="Arial Narrow"/>
          <w:lang w:eastAsia="en-US"/>
        </w:rPr>
      </w:pPr>
      <w:r w:rsidRPr="00F46AC7">
        <w:rPr>
          <w:rFonts w:eastAsia="Arial Narrow"/>
          <w:bCs/>
          <w:spacing w:val="-1"/>
          <w:lang w:eastAsia="en-US"/>
        </w:rPr>
        <w:t>Menținere</w:t>
      </w:r>
      <w:r w:rsidRPr="00F46AC7">
        <w:rPr>
          <w:rFonts w:eastAsia="Arial Narrow"/>
          <w:bCs/>
          <w:lang w:eastAsia="en-US"/>
        </w:rPr>
        <w:t xml:space="preserve"> în </w:t>
      </w:r>
      <w:r w:rsidRPr="00F46AC7">
        <w:rPr>
          <w:rFonts w:eastAsia="Arial Narrow"/>
          <w:bCs/>
          <w:spacing w:val="-1"/>
          <w:lang w:eastAsia="en-US"/>
        </w:rPr>
        <w:t>activitate</w:t>
      </w:r>
      <w:r w:rsidRPr="00F46AC7">
        <w:rPr>
          <w:rFonts w:eastAsia="Arial Narrow"/>
          <w:bCs/>
          <w:spacing w:val="-2"/>
          <w:lang w:eastAsia="en-US"/>
        </w:rPr>
        <w:t xml:space="preserve"> </w:t>
      </w:r>
      <w:r w:rsidRPr="00F46AC7">
        <w:rPr>
          <w:rFonts w:eastAsia="Arial Narrow"/>
          <w:bCs/>
          <w:lang w:eastAsia="en-US"/>
        </w:rPr>
        <w:t>până</w:t>
      </w:r>
      <w:r w:rsidRPr="00F46AC7">
        <w:rPr>
          <w:rFonts w:eastAsia="Arial Narrow"/>
          <w:bCs/>
          <w:spacing w:val="-3"/>
          <w:lang w:eastAsia="en-US"/>
        </w:rPr>
        <w:t xml:space="preserve"> </w:t>
      </w:r>
      <w:r w:rsidRPr="00F46AC7">
        <w:rPr>
          <w:rFonts w:eastAsia="Arial Narrow"/>
          <w:bCs/>
          <w:lang w:eastAsia="en-US"/>
        </w:rPr>
        <w:t xml:space="preserve">la 3 ani </w:t>
      </w:r>
      <w:r w:rsidRPr="00F46AC7">
        <w:rPr>
          <w:rFonts w:eastAsia="Arial Narrow"/>
          <w:bCs/>
          <w:spacing w:val="-1"/>
          <w:lang w:eastAsia="en-US"/>
        </w:rPr>
        <w:t>peste</w:t>
      </w:r>
      <w:r w:rsidRPr="00F46AC7">
        <w:rPr>
          <w:rFonts w:eastAsia="Arial Narrow"/>
          <w:bCs/>
          <w:lang w:eastAsia="en-US"/>
        </w:rPr>
        <w:t xml:space="preserve"> </w:t>
      </w:r>
      <w:r w:rsidRPr="00F46AC7">
        <w:rPr>
          <w:rFonts w:eastAsia="Arial Narrow"/>
          <w:bCs/>
          <w:spacing w:val="-1"/>
          <w:lang w:eastAsia="en-US"/>
        </w:rPr>
        <w:t>vârsta</w:t>
      </w:r>
      <w:r w:rsidRPr="00F46AC7">
        <w:rPr>
          <w:rFonts w:eastAsia="Arial Narrow"/>
          <w:bCs/>
          <w:spacing w:val="-3"/>
          <w:lang w:eastAsia="en-US"/>
        </w:rPr>
        <w:t xml:space="preserve"> </w:t>
      </w:r>
      <w:r w:rsidRPr="00F46AC7">
        <w:rPr>
          <w:rFonts w:eastAsia="Arial Narrow"/>
          <w:bCs/>
          <w:lang w:eastAsia="en-US"/>
        </w:rPr>
        <w:t xml:space="preserve">de </w:t>
      </w:r>
      <w:r w:rsidRPr="00F46AC7">
        <w:rPr>
          <w:rFonts w:eastAsia="Arial Narrow"/>
          <w:bCs/>
          <w:spacing w:val="-1"/>
          <w:lang w:eastAsia="en-US"/>
        </w:rPr>
        <w:t>pensionare</w:t>
      </w:r>
      <w:r w:rsidRPr="00F46AC7">
        <w:rPr>
          <w:rFonts w:eastAsia="Arial Narrow"/>
          <w:bCs/>
          <w:lang w:eastAsia="en-US"/>
        </w:rPr>
        <w:t xml:space="preserve"> </w:t>
      </w:r>
      <w:r w:rsidRPr="00F46AC7">
        <w:rPr>
          <w:rFonts w:eastAsia="Arial Narrow"/>
          <w:lang w:eastAsia="en-US"/>
        </w:rPr>
        <w:t>– 556</w:t>
      </w:r>
      <w:r w:rsidRPr="00F46AC7">
        <w:rPr>
          <w:rFonts w:eastAsia="Arial Narrow"/>
          <w:spacing w:val="-2"/>
          <w:lang w:eastAsia="en-US"/>
        </w:rPr>
        <w:t xml:space="preserve"> </w:t>
      </w:r>
      <w:r w:rsidRPr="00F46AC7">
        <w:rPr>
          <w:rFonts w:eastAsia="Arial Narrow"/>
          <w:lang w:eastAsia="en-US"/>
        </w:rPr>
        <w:t>cadre</w:t>
      </w:r>
      <w:r w:rsidRPr="00F46AC7">
        <w:rPr>
          <w:rFonts w:eastAsia="Arial Narrow"/>
          <w:spacing w:val="-3"/>
          <w:lang w:eastAsia="en-US"/>
        </w:rPr>
        <w:t xml:space="preserve"> </w:t>
      </w:r>
      <w:r w:rsidRPr="00F46AC7">
        <w:rPr>
          <w:rFonts w:eastAsia="Arial Narrow"/>
          <w:spacing w:val="-1"/>
          <w:lang w:eastAsia="en-US"/>
        </w:rPr>
        <w:t>didactice</w:t>
      </w:r>
    </w:p>
    <w:p w:rsidR="00E32EE5" w:rsidRPr="00F46AC7" w:rsidRDefault="00E32EE5" w:rsidP="00980D72">
      <w:pPr>
        <w:widowControl w:val="0"/>
        <w:numPr>
          <w:ilvl w:val="0"/>
          <w:numId w:val="24"/>
        </w:numPr>
        <w:tabs>
          <w:tab w:val="left" w:pos="709"/>
        </w:tabs>
        <w:spacing w:before="35"/>
        <w:ind w:left="0" w:firstLine="284"/>
        <w:jc w:val="both"/>
        <w:rPr>
          <w:rFonts w:eastAsia="Arial Narrow"/>
          <w:lang w:eastAsia="en-US"/>
        </w:rPr>
      </w:pPr>
      <w:r w:rsidRPr="00F46AC7">
        <w:rPr>
          <w:rFonts w:eastAsia="Arial Narrow"/>
          <w:bCs/>
          <w:spacing w:val="-1"/>
          <w:lang w:eastAsia="en-US"/>
        </w:rPr>
        <w:t>Repartizați</w:t>
      </w:r>
      <w:r w:rsidRPr="00F46AC7">
        <w:rPr>
          <w:rFonts w:eastAsia="Arial Narrow"/>
          <w:bCs/>
          <w:lang w:eastAsia="en-US"/>
        </w:rPr>
        <w:t xml:space="preserve"> </w:t>
      </w:r>
      <w:r w:rsidRPr="00F46AC7">
        <w:rPr>
          <w:rFonts w:eastAsia="Arial Narrow"/>
          <w:bCs/>
          <w:spacing w:val="22"/>
          <w:lang w:eastAsia="en-US"/>
        </w:rPr>
        <w:t xml:space="preserve"> </w:t>
      </w:r>
      <w:r w:rsidRPr="00F46AC7">
        <w:rPr>
          <w:rFonts w:eastAsia="Arial Narrow"/>
          <w:bCs/>
          <w:lang w:eastAsia="en-US"/>
        </w:rPr>
        <w:t xml:space="preserve">în </w:t>
      </w:r>
      <w:r w:rsidRPr="00F46AC7">
        <w:rPr>
          <w:rFonts w:eastAsia="Arial Narrow"/>
          <w:bCs/>
          <w:spacing w:val="21"/>
          <w:lang w:eastAsia="en-US"/>
        </w:rPr>
        <w:t xml:space="preserve"> </w:t>
      </w:r>
      <w:r w:rsidRPr="00F46AC7">
        <w:rPr>
          <w:rFonts w:eastAsia="Arial Narrow"/>
          <w:bCs/>
          <w:spacing w:val="-1"/>
          <w:lang w:eastAsia="en-US"/>
        </w:rPr>
        <w:t>baza</w:t>
      </w:r>
      <w:r w:rsidRPr="00F46AC7">
        <w:rPr>
          <w:rFonts w:eastAsia="Arial Narrow"/>
          <w:bCs/>
          <w:lang w:eastAsia="en-US"/>
        </w:rPr>
        <w:t xml:space="preserve"> </w:t>
      </w:r>
      <w:r w:rsidRPr="00F46AC7">
        <w:rPr>
          <w:rFonts w:eastAsia="Arial Narrow"/>
          <w:bCs/>
          <w:spacing w:val="19"/>
          <w:lang w:eastAsia="en-US"/>
        </w:rPr>
        <w:t xml:space="preserve"> </w:t>
      </w:r>
      <w:r w:rsidRPr="00F46AC7">
        <w:rPr>
          <w:rFonts w:eastAsia="Arial Narrow"/>
          <w:bCs/>
          <w:spacing w:val="-1"/>
          <w:lang w:eastAsia="en-US"/>
        </w:rPr>
        <w:t>art.</w:t>
      </w:r>
      <w:r w:rsidRPr="00F46AC7">
        <w:rPr>
          <w:rFonts w:eastAsia="Arial Narrow"/>
          <w:bCs/>
          <w:lang w:eastAsia="en-US"/>
        </w:rPr>
        <w:t xml:space="preserve"> </w:t>
      </w:r>
      <w:r w:rsidRPr="00F46AC7">
        <w:rPr>
          <w:rFonts w:eastAsia="Arial Narrow"/>
          <w:bCs/>
          <w:spacing w:val="21"/>
          <w:lang w:eastAsia="en-US"/>
        </w:rPr>
        <w:t xml:space="preserve"> </w:t>
      </w:r>
      <w:r w:rsidRPr="00F46AC7">
        <w:rPr>
          <w:rFonts w:eastAsia="Arial Narrow"/>
          <w:bCs/>
          <w:spacing w:val="-1"/>
          <w:lang w:eastAsia="en-US"/>
        </w:rPr>
        <w:t>253</w:t>
      </w:r>
      <w:r w:rsidRPr="00F46AC7">
        <w:rPr>
          <w:rFonts w:eastAsia="Arial Narrow"/>
          <w:bCs/>
          <w:lang w:eastAsia="en-US"/>
        </w:rPr>
        <w:t xml:space="preserve"> </w:t>
      </w:r>
      <w:r w:rsidRPr="00F46AC7">
        <w:rPr>
          <w:rFonts w:eastAsia="Arial Narrow"/>
          <w:bCs/>
          <w:spacing w:val="22"/>
          <w:lang w:eastAsia="en-US"/>
        </w:rPr>
        <w:t xml:space="preserve"> </w:t>
      </w:r>
      <w:r w:rsidRPr="00F46AC7">
        <w:rPr>
          <w:rFonts w:eastAsia="Arial Narrow"/>
          <w:bCs/>
          <w:lang w:eastAsia="en-US"/>
        </w:rPr>
        <w:t xml:space="preserve">din </w:t>
      </w:r>
      <w:r w:rsidRPr="00F46AC7">
        <w:rPr>
          <w:rFonts w:eastAsia="Arial Narrow"/>
          <w:bCs/>
          <w:spacing w:val="21"/>
          <w:lang w:eastAsia="en-US"/>
        </w:rPr>
        <w:t xml:space="preserve"> </w:t>
      </w:r>
      <w:r w:rsidRPr="00F46AC7">
        <w:rPr>
          <w:rFonts w:eastAsia="Arial Narrow"/>
          <w:bCs/>
          <w:spacing w:val="-1"/>
          <w:lang w:eastAsia="en-US"/>
        </w:rPr>
        <w:t>Legea</w:t>
      </w:r>
      <w:r w:rsidRPr="00F46AC7">
        <w:rPr>
          <w:rFonts w:eastAsia="Arial Narrow"/>
          <w:bCs/>
          <w:lang w:eastAsia="en-US"/>
        </w:rPr>
        <w:t xml:space="preserve"> </w:t>
      </w:r>
      <w:r w:rsidRPr="00F46AC7">
        <w:rPr>
          <w:rFonts w:eastAsia="Arial Narrow"/>
          <w:bCs/>
          <w:spacing w:val="22"/>
          <w:lang w:eastAsia="en-US"/>
        </w:rPr>
        <w:t xml:space="preserve"> </w:t>
      </w:r>
      <w:r w:rsidRPr="00F46AC7">
        <w:rPr>
          <w:rFonts w:eastAsia="Arial Narrow"/>
          <w:bCs/>
          <w:spacing w:val="-1"/>
          <w:lang w:eastAsia="en-US"/>
        </w:rPr>
        <w:t>educației</w:t>
      </w:r>
      <w:r w:rsidRPr="00F46AC7">
        <w:rPr>
          <w:rFonts w:eastAsia="Arial Narrow"/>
          <w:bCs/>
          <w:lang w:eastAsia="en-US"/>
        </w:rPr>
        <w:t xml:space="preserve"> </w:t>
      </w:r>
      <w:r w:rsidRPr="00F46AC7">
        <w:rPr>
          <w:rFonts w:eastAsia="Arial Narrow"/>
          <w:bCs/>
          <w:spacing w:val="22"/>
          <w:lang w:eastAsia="en-US"/>
        </w:rPr>
        <w:t xml:space="preserve"> </w:t>
      </w:r>
      <w:r w:rsidRPr="00F46AC7">
        <w:rPr>
          <w:rFonts w:eastAsia="Arial Narrow"/>
          <w:bCs/>
          <w:spacing w:val="-1"/>
          <w:lang w:eastAsia="en-US"/>
        </w:rPr>
        <w:t>naționale</w:t>
      </w:r>
      <w:r w:rsidRPr="00F46AC7">
        <w:rPr>
          <w:rFonts w:eastAsia="Arial Narrow"/>
          <w:bCs/>
          <w:lang w:eastAsia="en-US"/>
        </w:rPr>
        <w:t xml:space="preserve"> </w:t>
      </w:r>
      <w:r w:rsidRPr="00F46AC7">
        <w:rPr>
          <w:rFonts w:eastAsia="Arial Narrow"/>
          <w:bCs/>
          <w:spacing w:val="21"/>
          <w:lang w:eastAsia="en-US"/>
        </w:rPr>
        <w:t xml:space="preserve"> </w:t>
      </w:r>
      <w:r w:rsidRPr="00F46AC7">
        <w:rPr>
          <w:rFonts w:eastAsia="Arial Narrow"/>
          <w:bCs/>
          <w:spacing w:val="-1"/>
          <w:lang w:eastAsia="en-US"/>
        </w:rPr>
        <w:t>nr.</w:t>
      </w:r>
      <w:r w:rsidRPr="00F46AC7">
        <w:rPr>
          <w:rFonts w:eastAsia="Arial Narrow"/>
          <w:bCs/>
          <w:lang w:eastAsia="en-US"/>
        </w:rPr>
        <w:t xml:space="preserve"> </w:t>
      </w:r>
      <w:r w:rsidRPr="00F46AC7">
        <w:rPr>
          <w:rFonts w:eastAsia="Arial Narrow"/>
          <w:bCs/>
          <w:spacing w:val="22"/>
          <w:lang w:eastAsia="en-US"/>
        </w:rPr>
        <w:t xml:space="preserve"> </w:t>
      </w:r>
      <w:r w:rsidRPr="00F46AC7">
        <w:rPr>
          <w:rFonts w:eastAsia="Arial Narrow"/>
          <w:bCs/>
          <w:spacing w:val="-1"/>
          <w:lang w:eastAsia="en-US"/>
        </w:rPr>
        <w:t>1/2011,</w:t>
      </w:r>
      <w:r w:rsidRPr="00F46AC7">
        <w:rPr>
          <w:rFonts w:eastAsia="Arial Narrow"/>
          <w:bCs/>
          <w:lang w:eastAsia="en-US"/>
        </w:rPr>
        <w:t xml:space="preserve"> </w:t>
      </w:r>
      <w:r w:rsidRPr="00F46AC7">
        <w:rPr>
          <w:rFonts w:eastAsia="Arial Narrow"/>
          <w:bCs/>
          <w:spacing w:val="19"/>
          <w:lang w:eastAsia="en-US"/>
        </w:rPr>
        <w:t xml:space="preserve"> </w:t>
      </w:r>
      <w:r w:rsidRPr="00F46AC7">
        <w:rPr>
          <w:rFonts w:eastAsia="Arial Narrow"/>
          <w:bCs/>
          <w:lang w:eastAsia="en-US"/>
        </w:rPr>
        <w:t xml:space="preserve">cu </w:t>
      </w:r>
      <w:r w:rsidRPr="00F46AC7">
        <w:rPr>
          <w:rFonts w:eastAsia="Arial Narrow"/>
          <w:bCs/>
          <w:spacing w:val="21"/>
          <w:lang w:eastAsia="en-US"/>
        </w:rPr>
        <w:t xml:space="preserve"> </w:t>
      </w:r>
      <w:r w:rsidRPr="00F46AC7">
        <w:rPr>
          <w:rFonts w:eastAsia="Arial Narrow"/>
          <w:bCs/>
          <w:spacing w:val="-1"/>
          <w:lang w:eastAsia="en-US"/>
        </w:rPr>
        <w:t>modificările</w:t>
      </w:r>
      <w:r w:rsidRPr="00F46AC7">
        <w:rPr>
          <w:rFonts w:eastAsia="Arial Narrow"/>
          <w:bCs/>
          <w:lang w:eastAsia="en-US"/>
        </w:rPr>
        <w:t xml:space="preserve"> </w:t>
      </w:r>
      <w:r w:rsidRPr="00F46AC7">
        <w:rPr>
          <w:rFonts w:eastAsia="Arial Narrow"/>
          <w:bCs/>
          <w:spacing w:val="22"/>
          <w:lang w:eastAsia="en-US"/>
        </w:rPr>
        <w:t xml:space="preserve"> </w:t>
      </w:r>
      <w:r w:rsidRPr="00F46AC7">
        <w:rPr>
          <w:rFonts w:eastAsia="Arial Narrow"/>
          <w:bCs/>
          <w:spacing w:val="-2"/>
          <w:lang w:eastAsia="en-US"/>
        </w:rPr>
        <w:t>și</w:t>
      </w:r>
      <w:r w:rsidRPr="00F46AC7">
        <w:rPr>
          <w:rFonts w:eastAsia="Arial Narrow"/>
          <w:bCs/>
          <w:spacing w:val="79"/>
          <w:lang w:eastAsia="en-US"/>
        </w:rPr>
        <w:t xml:space="preserve"> </w:t>
      </w:r>
      <w:r w:rsidRPr="00F46AC7">
        <w:rPr>
          <w:rFonts w:eastAsia="Arial Narrow"/>
          <w:bCs/>
          <w:spacing w:val="-1"/>
          <w:lang w:eastAsia="en-US"/>
        </w:rPr>
        <w:t>completările</w:t>
      </w:r>
      <w:r w:rsidRPr="00F46AC7">
        <w:rPr>
          <w:rFonts w:eastAsia="Arial Narrow"/>
          <w:bCs/>
          <w:lang w:eastAsia="en-US"/>
        </w:rPr>
        <w:t xml:space="preserve"> </w:t>
      </w:r>
      <w:r w:rsidRPr="00F46AC7">
        <w:rPr>
          <w:rFonts w:eastAsia="Arial Narrow"/>
          <w:bCs/>
          <w:spacing w:val="-1"/>
          <w:lang w:eastAsia="en-US"/>
        </w:rPr>
        <w:t>ulterioare</w:t>
      </w:r>
      <w:r w:rsidRPr="00F46AC7">
        <w:rPr>
          <w:rFonts w:eastAsia="Arial Narrow"/>
          <w:bCs/>
          <w:lang w:eastAsia="en-US"/>
        </w:rPr>
        <w:t xml:space="preserve"> </w:t>
      </w:r>
      <w:r w:rsidRPr="00F46AC7">
        <w:rPr>
          <w:rFonts w:eastAsia="Arial Narrow"/>
          <w:lang w:eastAsia="en-US"/>
        </w:rPr>
        <w:t xml:space="preserve">– </w:t>
      </w:r>
      <w:r w:rsidR="00191361">
        <w:rPr>
          <w:rFonts w:eastAsia="Arial Narrow"/>
          <w:spacing w:val="-1"/>
          <w:lang w:eastAsia="en-US"/>
        </w:rPr>
        <w:t>233</w:t>
      </w:r>
      <w:r w:rsidRPr="00F46AC7">
        <w:rPr>
          <w:rFonts w:eastAsia="Arial Narrow"/>
          <w:spacing w:val="-3"/>
          <w:lang w:eastAsia="en-US"/>
        </w:rPr>
        <w:t xml:space="preserve"> </w:t>
      </w:r>
      <w:r w:rsidRPr="00F46AC7">
        <w:rPr>
          <w:rFonts w:eastAsia="Arial Narrow"/>
          <w:lang w:eastAsia="en-US"/>
        </w:rPr>
        <w:t xml:space="preserve">cadre </w:t>
      </w:r>
      <w:r w:rsidRPr="00F46AC7">
        <w:rPr>
          <w:rFonts w:eastAsia="Arial Narrow"/>
          <w:spacing w:val="-1"/>
          <w:lang w:eastAsia="en-US"/>
        </w:rPr>
        <w:t>didactice;</w:t>
      </w:r>
    </w:p>
    <w:p w:rsidR="00E32EE5" w:rsidRPr="00F46AC7" w:rsidRDefault="00E32EE5" w:rsidP="00980D72">
      <w:pPr>
        <w:widowControl w:val="0"/>
        <w:numPr>
          <w:ilvl w:val="0"/>
          <w:numId w:val="24"/>
        </w:numPr>
        <w:tabs>
          <w:tab w:val="left" w:pos="709"/>
        </w:tabs>
        <w:spacing w:before="8"/>
        <w:ind w:left="0" w:firstLine="284"/>
        <w:jc w:val="both"/>
        <w:rPr>
          <w:rFonts w:eastAsia="Arial Narrow"/>
          <w:lang w:eastAsia="en-US"/>
        </w:rPr>
      </w:pPr>
      <w:r w:rsidRPr="00F46AC7">
        <w:rPr>
          <w:rFonts w:eastAsia="Arial Narrow"/>
          <w:bCs/>
          <w:spacing w:val="-1"/>
          <w:lang w:eastAsia="en-US"/>
        </w:rPr>
        <w:t>Repartizați</w:t>
      </w:r>
      <w:r w:rsidRPr="00F46AC7">
        <w:rPr>
          <w:rFonts w:eastAsia="Arial Narrow"/>
          <w:bCs/>
          <w:spacing w:val="45"/>
          <w:lang w:eastAsia="en-US"/>
        </w:rPr>
        <w:t xml:space="preserve"> </w:t>
      </w:r>
      <w:r w:rsidRPr="00F46AC7">
        <w:rPr>
          <w:rFonts w:eastAsia="Arial Narrow"/>
          <w:bCs/>
          <w:lang w:eastAsia="en-US"/>
        </w:rPr>
        <w:t>pe</w:t>
      </w:r>
      <w:r w:rsidRPr="00F46AC7">
        <w:rPr>
          <w:rFonts w:eastAsia="Arial Narrow"/>
          <w:bCs/>
          <w:spacing w:val="43"/>
          <w:lang w:eastAsia="en-US"/>
        </w:rPr>
        <w:t xml:space="preserve"> </w:t>
      </w:r>
      <w:r w:rsidRPr="00F46AC7">
        <w:rPr>
          <w:rFonts w:eastAsia="Arial Narrow"/>
          <w:bCs/>
          <w:spacing w:val="-1"/>
          <w:lang w:eastAsia="en-US"/>
        </w:rPr>
        <w:t>posturi</w:t>
      </w:r>
      <w:r w:rsidRPr="00F46AC7">
        <w:rPr>
          <w:rFonts w:eastAsia="Arial Narrow"/>
          <w:bCs/>
          <w:spacing w:val="43"/>
          <w:lang w:eastAsia="en-US"/>
        </w:rPr>
        <w:t xml:space="preserve"> </w:t>
      </w:r>
      <w:r w:rsidRPr="00F46AC7">
        <w:rPr>
          <w:rFonts w:eastAsia="Arial Narrow"/>
          <w:bCs/>
          <w:spacing w:val="-1"/>
          <w:lang w:eastAsia="en-US"/>
        </w:rPr>
        <w:t>didactice</w:t>
      </w:r>
      <w:r w:rsidRPr="00F46AC7">
        <w:rPr>
          <w:rFonts w:eastAsia="Arial Narrow"/>
          <w:bCs/>
          <w:spacing w:val="45"/>
          <w:lang w:eastAsia="en-US"/>
        </w:rPr>
        <w:t xml:space="preserve"> </w:t>
      </w:r>
      <w:r w:rsidRPr="00F46AC7">
        <w:rPr>
          <w:rFonts w:eastAsia="Arial Narrow"/>
          <w:bCs/>
          <w:spacing w:val="-1"/>
          <w:lang w:eastAsia="en-US"/>
        </w:rPr>
        <w:t>publicate</w:t>
      </w:r>
      <w:r w:rsidRPr="00F46AC7">
        <w:rPr>
          <w:rFonts w:eastAsia="Arial Narrow"/>
          <w:bCs/>
          <w:spacing w:val="43"/>
          <w:lang w:eastAsia="en-US"/>
        </w:rPr>
        <w:t xml:space="preserve"> </w:t>
      </w:r>
      <w:r w:rsidRPr="00F46AC7">
        <w:rPr>
          <w:rFonts w:eastAsia="Arial Narrow"/>
          <w:bCs/>
          <w:spacing w:val="-1"/>
          <w:lang w:eastAsia="en-US"/>
        </w:rPr>
        <w:t>pentru</w:t>
      </w:r>
      <w:r w:rsidRPr="00F46AC7">
        <w:rPr>
          <w:rFonts w:eastAsia="Arial Narrow"/>
          <w:bCs/>
          <w:spacing w:val="45"/>
          <w:lang w:eastAsia="en-US"/>
        </w:rPr>
        <w:t xml:space="preserve"> </w:t>
      </w:r>
      <w:r w:rsidRPr="00F46AC7">
        <w:rPr>
          <w:rFonts w:eastAsia="Arial Narrow"/>
          <w:bCs/>
          <w:spacing w:val="-1"/>
          <w:lang w:eastAsia="en-US"/>
        </w:rPr>
        <w:t>ocupare</w:t>
      </w:r>
      <w:r w:rsidRPr="00F46AC7">
        <w:rPr>
          <w:rFonts w:eastAsia="Arial Narrow"/>
          <w:bCs/>
          <w:spacing w:val="46"/>
          <w:lang w:eastAsia="en-US"/>
        </w:rPr>
        <w:t xml:space="preserve"> </w:t>
      </w:r>
      <w:r w:rsidRPr="00F46AC7">
        <w:rPr>
          <w:rFonts w:eastAsia="Arial Narrow"/>
          <w:bCs/>
          <w:lang w:eastAsia="en-US"/>
        </w:rPr>
        <w:t>pe</w:t>
      </w:r>
      <w:r w:rsidRPr="00F46AC7">
        <w:rPr>
          <w:rFonts w:eastAsia="Arial Narrow"/>
          <w:bCs/>
          <w:spacing w:val="42"/>
          <w:lang w:eastAsia="en-US"/>
        </w:rPr>
        <w:t xml:space="preserve"> </w:t>
      </w:r>
      <w:r w:rsidRPr="00F46AC7">
        <w:rPr>
          <w:rFonts w:eastAsia="Arial Narrow"/>
          <w:bCs/>
          <w:spacing w:val="-1"/>
          <w:lang w:eastAsia="en-US"/>
        </w:rPr>
        <w:t>perioadă</w:t>
      </w:r>
      <w:r w:rsidRPr="00F46AC7">
        <w:rPr>
          <w:rFonts w:eastAsia="Arial Narrow"/>
          <w:bCs/>
          <w:spacing w:val="42"/>
          <w:lang w:eastAsia="en-US"/>
        </w:rPr>
        <w:t xml:space="preserve"> </w:t>
      </w:r>
      <w:r w:rsidRPr="00F46AC7">
        <w:rPr>
          <w:rFonts w:eastAsia="Arial Narrow"/>
          <w:bCs/>
          <w:spacing w:val="-1"/>
          <w:lang w:eastAsia="en-US"/>
        </w:rPr>
        <w:t>nedeterminată</w:t>
      </w:r>
      <w:r w:rsidRPr="00F46AC7">
        <w:rPr>
          <w:rFonts w:eastAsia="Arial Narrow"/>
          <w:bCs/>
          <w:spacing w:val="46"/>
          <w:lang w:eastAsia="en-US"/>
        </w:rPr>
        <w:t xml:space="preserve"> </w:t>
      </w:r>
      <w:r w:rsidRPr="00F46AC7">
        <w:rPr>
          <w:rFonts w:eastAsia="Arial Narrow"/>
          <w:lang w:eastAsia="en-US"/>
        </w:rPr>
        <w:t>–</w:t>
      </w:r>
      <w:r w:rsidRPr="00F46AC7">
        <w:rPr>
          <w:rFonts w:eastAsia="Arial Narrow"/>
          <w:spacing w:val="43"/>
          <w:lang w:eastAsia="en-US"/>
        </w:rPr>
        <w:t xml:space="preserve"> </w:t>
      </w:r>
      <w:r w:rsidR="00191361">
        <w:rPr>
          <w:rFonts w:eastAsia="Arial Narrow"/>
          <w:lang w:eastAsia="en-US"/>
        </w:rPr>
        <w:t>345</w:t>
      </w:r>
      <w:r w:rsidRPr="00F46AC7">
        <w:rPr>
          <w:rFonts w:eastAsia="Arial Narrow"/>
          <w:spacing w:val="91"/>
          <w:lang w:eastAsia="en-US"/>
        </w:rPr>
        <w:t xml:space="preserve"> </w:t>
      </w:r>
      <w:r w:rsidRPr="00F46AC7">
        <w:rPr>
          <w:rFonts w:eastAsia="Arial Narrow"/>
          <w:lang w:eastAsia="en-US"/>
        </w:rPr>
        <w:t xml:space="preserve">cadre </w:t>
      </w:r>
      <w:r w:rsidRPr="00F46AC7">
        <w:rPr>
          <w:rFonts w:eastAsia="Arial Narrow"/>
          <w:spacing w:val="-1"/>
          <w:lang w:eastAsia="en-US"/>
        </w:rPr>
        <w:t>didactice;</w:t>
      </w:r>
    </w:p>
    <w:p w:rsidR="00E32EE5" w:rsidRPr="00F46AC7" w:rsidRDefault="00E32EE5" w:rsidP="00980D72">
      <w:pPr>
        <w:widowControl w:val="0"/>
        <w:numPr>
          <w:ilvl w:val="0"/>
          <w:numId w:val="24"/>
        </w:numPr>
        <w:tabs>
          <w:tab w:val="left" w:pos="709"/>
        </w:tabs>
        <w:spacing w:before="9"/>
        <w:ind w:left="0" w:firstLine="284"/>
        <w:jc w:val="both"/>
        <w:rPr>
          <w:rFonts w:eastAsia="Arial Narrow"/>
          <w:lang w:eastAsia="en-US"/>
        </w:rPr>
      </w:pPr>
      <w:r w:rsidRPr="00F46AC7">
        <w:rPr>
          <w:rFonts w:eastAsia="Arial Narrow"/>
          <w:bCs/>
          <w:spacing w:val="-1"/>
          <w:lang w:eastAsia="en-US"/>
        </w:rPr>
        <w:t>Detașare</w:t>
      </w:r>
      <w:r w:rsidRPr="00F46AC7">
        <w:rPr>
          <w:rFonts w:eastAsia="Arial Narrow"/>
          <w:bCs/>
          <w:lang w:eastAsia="en-US"/>
        </w:rPr>
        <w:t xml:space="preserve"> în </w:t>
      </w:r>
      <w:r w:rsidRPr="00F46AC7">
        <w:rPr>
          <w:rFonts w:eastAsia="Arial Narrow"/>
          <w:bCs/>
          <w:spacing w:val="-1"/>
          <w:lang w:eastAsia="en-US"/>
        </w:rPr>
        <w:t>interesul</w:t>
      </w:r>
      <w:r w:rsidRPr="00F46AC7">
        <w:rPr>
          <w:rFonts w:eastAsia="Arial Narrow"/>
          <w:bCs/>
          <w:spacing w:val="-3"/>
          <w:lang w:eastAsia="en-US"/>
        </w:rPr>
        <w:t xml:space="preserve"> </w:t>
      </w:r>
      <w:r w:rsidRPr="00F46AC7">
        <w:rPr>
          <w:rFonts w:eastAsia="Arial Narrow"/>
          <w:bCs/>
          <w:spacing w:val="-1"/>
          <w:lang w:eastAsia="en-US"/>
        </w:rPr>
        <w:t>învățământului</w:t>
      </w:r>
      <w:r w:rsidRPr="00F46AC7">
        <w:rPr>
          <w:rFonts w:eastAsia="Arial Narrow"/>
          <w:bCs/>
          <w:lang w:eastAsia="en-US"/>
        </w:rPr>
        <w:t xml:space="preserve"> </w:t>
      </w:r>
      <w:r w:rsidRPr="00F46AC7">
        <w:rPr>
          <w:rFonts w:eastAsia="Arial Narrow"/>
          <w:lang w:eastAsia="en-US"/>
        </w:rPr>
        <w:t xml:space="preserve">– </w:t>
      </w:r>
      <w:r w:rsidR="00191361">
        <w:rPr>
          <w:rFonts w:eastAsia="Arial Narrow"/>
          <w:spacing w:val="-1"/>
          <w:lang w:eastAsia="en-US"/>
        </w:rPr>
        <w:t>320</w:t>
      </w:r>
      <w:r w:rsidRPr="00F46AC7">
        <w:rPr>
          <w:rFonts w:eastAsia="Arial Narrow"/>
          <w:lang w:eastAsia="en-US"/>
        </w:rPr>
        <w:t xml:space="preserve"> </w:t>
      </w:r>
      <w:r w:rsidRPr="00F46AC7">
        <w:rPr>
          <w:rFonts w:eastAsia="Arial Narrow"/>
          <w:spacing w:val="-1"/>
          <w:lang w:eastAsia="en-US"/>
        </w:rPr>
        <w:t>cadre</w:t>
      </w:r>
      <w:r w:rsidRPr="00F46AC7">
        <w:rPr>
          <w:rFonts w:eastAsia="Arial Narrow"/>
          <w:lang w:eastAsia="en-US"/>
        </w:rPr>
        <w:t xml:space="preserve"> </w:t>
      </w:r>
      <w:r w:rsidRPr="00F46AC7">
        <w:rPr>
          <w:rFonts w:eastAsia="Arial Narrow"/>
          <w:spacing w:val="-1"/>
          <w:lang w:eastAsia="en-US"/>
        </w:rPr>
        <w:t>didactice.</w:t>
      </w:r>
    </w:p>
    <w:p w:rsidR="00E32EE5" w:rsidRPr="00E32EE5" w:rsidRDefault="00E32EE5" w:rsidP="00A77970">
      <w:pPr>
        <w:jc w:val="both"/>
        <w:rPr>
          <w:rFonts w:eastAsia="Arial Narrow"/>
          <w:lang w:eastAsia="en-US"/>
        </w:rPr>
      </w:pPr>
    </w:p>
    <w:p w:rsidR="00E32EE5" w:rsidRPr="00E32EE5" w:rsidRDefault="00E32EE5" w:rsidP="00A77970">
      <w:pPr>
        <w:jc w:val="both"/>
        <w:rPr>
          <w:rFonts w:eastAsia="Arial Narrow"/>
          <w:b/>
          <w:lang w:eastAsia="en-US"/>
        </w:rPr>
      </w:pPr>
      <w:r w:rsidRPr="00E32EE5">
        <w:rPr>
          <w:rFonts w:eastAsia="Arial Narrow"/>
          <w:b/>
          <w:lang w:eastAsia="en-US"/>
        </w:rPr>
        <w:tab/>
        <w:t>Organizarea și desfășurarea Concursului național pentru ocuparea posturilor didactice / catedrelor declarate vacante / rezervate în învățământul preuniversitar</w:t>
      </w:r>
    </w:p>
    <w:p w:rsidR="00E32EE5" w:rsidRPr="00E32EE5" w:rsidRDefault="00E32EE5" w:rsidP="007A6D72">
      <w:pPr>
        <w:jc w:val="both"/>
        <w:rPr>
          <w:rFonts w:eastAsia="Arial Narrow"/>
          <w:lang w:eastAsia="en-US"/>
        </w:rPr>
      </w:pPr>
      <w:r w:rsidRPr="00E32EE5">
        <w:rPr>
          <w:color w:val="252525"/>
          <w:lang w:eastAsia="en-US"/>
        </w:rPr>
        <w:tab/>
        <w:t>La</w:t>
      </w:r>
      <w:r w:rsidRPr="00E32EE5">
        <w:rPr>
          <w:color w:val="252525"/>
          <w:spacing w:val="17"/>
          <w:lang w:eastAsia="en-US"/>
        </w:rPr>
        <w:t xml:space="preserve"> </w:t>
      </w:r>
      <w:r w:rsidRPr="00E32EE5">
        <w:rPr>
          <w:color w:val="252525"/>
          <w:spacing w:val="-1"/>
          <w:lang w:eastAsia="en-US"/>
        </w:rPr>
        <w:t>concursul</w:t>
      </w:r>
      <w:r w:rsidRPr="00E32EE5">
        <w:rPr>
          <w:color w:val="252525"/>
          <w:spacing w:val="18"/>
          <w:lang w:eastAsia="en-US"/>
        </w:rPr>
        <w:t xml:space="preserve"> </w:t>
      </w:r>
      <w:r w:rsidRPr="00E32EE5">
        <w:rPr>
          <w:color w:val="252525"/>
          <w:lang w:eastAsia="en-US"/>
        </w:rPr>
        <w:t xml:space="preserve">pentru </w:t>
      </w:r>
      <w:r w:rsidRPr="00E32EE5">
        <w:rPr>
          <w:color w:val="252525"/>
          <w:spacing w:val="17"/>
          <w:lang w:eastAsia="en-US"/>
        </w:rPr>
        <w:t xml:space="preserve"> </w:t>
      </w:r>
      <w:r w:rsidRPr="00E32EE5">
        <w:rPr>
          <w:color w:val="252525"/>
          <w:spacing w:val="-1"/>
          <w:lang w:eastAsia="en-US"/>
        </w:rPr>
        <w:t>ocuparea</w:t>
      </w:r>
      <w:r w:rsidRPr="00E32EE5">
        <w:rPr>
          <w:color w:val="252525"/>
          <w:lang w:eastAsia="en-US"/>
        </w:rPr>
        <w:t xml:space="preserve"> </w:t>
      </w:r>
      <w:r w:rsidRPr="00E32EE5">
        <w:rPr>
          <w:color w:val="252525"/>
          <w:spacing w:val="18"/>
          <w:lang w:eastAsia="en-US"/>
        </w:rPr>
        <w:t xml:space="preserve"> </w:t>
      </w:r>
      <w:r w:rsidRPr="00E32EE5">
        <w:rPr>
          <w:color w:val="252525"/>
          <w:spacing w:val="-1"/>
          <w:lang w:eastAsia="en-US"/>
        </w:rPr>
        <w:t>posturilor didactice /</w:t>
      </w:r>
      <w:r w:rsidRPr="00E32EE5">
        <w:rPr>
          <w:color w:val="252525"/>
          <w:spacing w:val="20"/>
          <w:lang w:eastAsia="en-US"/>
        </w:rPr>
        <w:t xml:space="preserve"> </w:t>
      </w:r>
      <w:r w:rsidRPr="00E32EE5">
        <w:rPr>
          <w:color w:val="252525"/>
          <w:spacing w:val="-1"/>
          <w:lang w:eastAsia="en-US"/>
        </w:rPr>
        <w:t>catedrelor</w:t>
      </w:r>
      <w:r w:rsidRPr="00E32EE5">
        <w:rPr>
          <w:color w:val="252525"/>
          <w:spacing w:val="18"/>
          <w:lang w:eastAsia="en-US"/>
        </w:rPr>
        <w:t xml:space="preserve"> </w:t>
      </w:r>
      <w:r w:rsidRPr="00E32EE5">
        <w:rPr>
          <w:color w:val="252525"/>
          <w:spacing w:val="-1"/>
          <w:lang w:eastAsia="en-US"/>
        </w:rPr>
        <w:t>vacante /</w:t>
      </w:r>
      <w:r w:rsidRPr="00E32EE5">
        <w:rPr>
          <w:color w:val="252525"/>
          <w:spacing w:val="18"/>
          <w:lang w:eastAsia="en-US"/>
        </w:rPr>
        <w:t xml:space="preserve"> </w:t>
      </w:r>
      <w:r w:rsidRPr="00E32EE5">
        <w:rPr>
          <w:color w:val="252525"/>
          <w:lang w:eastAsia="en-US"/>
        </w:rPr>
        <w:t xml:space="preserve">rezervate, </w:t>
      </w:r>
      <w:r w:rsidRPr="00E32EE5">
        <w:rPr>
          <w:color w:val="252525"/>
          <w:spacing w:val="-1"/>
          <w:lang w:eastAsia="en-US"/>
        </w:rPr>
        <w:t>sesiunea</w:t>
      </w:r>
      <w:r w:rsidRPr="00E32EE5">
        <w:rPr>
          <w:color w:val="252525"/>
          <w:spacing w:val="41"/>
          <w:lang w:eastAsia="en-US"/>
        </w:rPr>
        <w:t xml:space="preserve"> </w:t>
      </w:r>
      <w:r w:rsidRPr="00E32EE5">
        <w:rPr>
          <w:color w:val="252525"/>
          <w:lang w:eastAsia="en-US"/>
        </w:rPr>
        <w:t>201</w:t>
      </w:r>
      <w:r w:rsidR="007A6D72">
        <w:rPr>
          <w:color w:val="252525"/>
          <w:lang w:eastAsia="en-US"/>
        </w:rPr>
        <w:t>8,</w:t>
      </w:r>
      <w:r w:rsidRPr="00E32EE5">
        <w:rPr>
          <w:color w:val="252525"/>
          <w:spacing w:val="2"/>
          <w:lang w:eastAsia="en-US"/>
        </w:rPr>
        <w:t xml:space="preserve"> </w:t>
      </w:r>
      <w:r w:rsidR="007A6D72">
        <w:rPr>
          <w:color w:val="252525"/>
          <w:lang w:eastAsia="en-US"/>
        </w:rPr>
        <w:t>c</w:t>
      </w:r>
      <w:r w:rsidRPr="00E32EE5">
        <w:rPr>
          <w:color w:val="252525"/>
          <w:spacing w:val="-1"/>
          <w:lang w:eastAsia="en-US"/>
        </w:rPr>
        <w:t>andidații</w:t>
      </w:r>
      <w:r w:rsidRPr="00E32EE5">
        <w:rPr>
          <w:color w:val="252525"/>
          <w:spacing w:val="5"/>
          <w:lang w:eastAsia="en-US"/>
        </w:rPr>
        <w:t xml:space="preserve"> </w:t>
      </w:r>
      <w:r w:rsidRPr="00E32EE5">
        <w:rPr>
          <w:color w:val="252525"/>
          <w:spacing w:val="-1"/>
          <w:lang w:eastAsia="en-US"/>
        </w:rPr>
        <w:t>care</w:t>
      </w:r>
      <w:r w:rsidRPr="00E32EE5">
        <w:rPr>
          <w:color w:val="252525"/>
          <w:spacing w:val="31"/>
          <w:lang w:eastAsia="en-US"/>
        </w:rPr>
        <w:t xml:space="preserve"> </w:t>
      </w:r>
      <w:r w:rsidRPr="00E32EE5">
        <w:rPr>
          <w:color w:val="252525"/>
          <w:lang w:eastAsia="en-US"/>
        </w:rPr>
        <w:t xml:space="preserve">au </w:t>
      </w:r>
      <w:r w:rsidRPr="00E32EE5">
        <w:rPr>
          <w:color w:val="252525"/>
          <w:spacing w:val="-1"/>
          <w:lang w:eastAsia="en-US"/>
        </w:rPr>
        <w:t>finalizat</w:t>
      </w:r>
      <w:r w:rsidRPr="00E32EE5">
        <w:rPr>
          <w:color w:val="252525"/>
          <w:spacing w:val="-3"/>
          <w:lang w:eastAsia="en-US"/>
        </w:rPr>
        <w:t xml:space="preserve"> </w:t>
      </w:r>
      <w:r w:rsidRPr="00E32EE5">
        <w:rPr>
          <w:color w:val="252525"/>
          <w:lang w:eastAsia="en-US"/>
        </w:rPr>
        <w:t xml:space="preserve">proba </w:t>
      </w:r>
      <w:r w:rsidRPr="00E32EE5">
        <w:rPr>
          <w:color w:val="252525"/>
          <w:spacing w:val="-1"/>
          <w:lang w:eastAsia="en-US"/>
        </w:rPr>
        <w:t>scrisă</w:t>
      </w:r>
      <w:r w:rsidRPr="00E32EE5">
        <w:rPr>
          <w:color w:val="252525"/>
          <w:lang w:eastAsia="en-US"/>
        </w:rPr>
        <w:t xml:space="preserve"> au </w:t>
      </w:r>
      <w:r w:rsidRPr="00E32EE5">
        <w:rPr>
          <w:color w:val="252525"/>
          <w:spacing w:val="-1"/>
          <w:lang w:eastAsia="en-US"/>
        </w:rPr>
        <w:t>fost</w:t>
      </w:r>
      <w:r w:rsidRPr="00E32EE5">
        <w:rPr>
          <w:color w:val="252525"/>
          <w:lang w:eastAsia="en-US"/>
        </w:rPr>
        <w:t xml:space="preserve"> în număr</w:t>
      </w:r>
      <w:r w:rsidRPr="00E32EE5">
        <w:rPr>
          <w:color w:val="252525"/>
          <w:spacing w:val="-3"/>
          <w:lang w:eastAsia="en-US"/>
        </w:rPr>
        <w:t xml:space="preserve"> </w:t>
      </w:r>
      <w:r w:rsidRPr="00E32EE5">
        <w:rPr>
          <w:color w:val="252525"/>
          <w:lang w:eastAsia="en-US"/>
        </w:rPr>
        <w:t xml:space="preserve">de </w:t>
      </w:r>
      <w:r w:rsidRPr="00E32EE5">
        <w:rPr>
          <w:color w:val="252525"/>
          <w:spacing w:val="-1"/>
          <w:lang w:eastAsia="en-US"/>
        </w:rPr>
        <w:t>1.</w:t>
      </w:r>
      <w:r w:rsidR="007A6D72">
        <w:rPr>
          <w:color w:val="252525"/>
          <w:spacing w:val="-1"/>
          <w:lang w:eastAsia="en-US"/>
        </w:rPr>
        <w:t>873</w:t>
      </w:r>
      <w:r w:rsidRPr="00E32EE5">
        <w:rPr>
          <w:color w:val="252525"/>
          <w:spacing w:val="-1"/>
          <w:lang w:eastAsia="en-US"/>
        </w:rPr>
        <w:t>.</w:t>
      </w:r>
      <w:r w:rsidRPr="00E32EE5">
        <w:rPr>
          <w:color w:val="252525"/>
          <w:spacing w:val="35"/>
          <w:lang w:eastAsia="en-US"/>
        </w:rPr>
        <w:t xml:space="preserve"> </w:t>
      </w:r>
    </w:p>
    <w:p w:rsidR="00E32EE5" w:rsidRPr="00E32EE5" w:rsidRDefault="00E32EE5" w:rsidP="00A77970">
      <w:pPr>
        <w:jc w:val="both"/>
        <w:rPr>
          <w:b/>
          <w:spacing w:val="-1"/>
          <w:lang w:eastAsia="en-US"/>
        </w:rPr>
      </w:pPr>
    </w:p>
    <w:p w:rsidR="00E32EE5" w:rsidRPr="00E32EE5" w:rsidRDefault="00E32EE5" w:rsidP="00A77970">
      <w:pPr>
        <w:jc w:val="both"/>
        <w:rPr>
          <w:rFonts w:eastAsiaTheme="minorHAnsi"/>
          <w:b/>
          <w:lang w:eastAsia="en-US"/>
        </w:rPr>
      </w:pPr>
      <w:r w:rsidRPr="00E32EE5">
        <w:rPr>
          <w:rFonts w:eastAsiaTheme="minorHAnsi"/>
          <w:b/>
          <w:lang w:eastAsia="en-US"/>
        </w:rPr>
        <w:tab/>
        <w:t xml:space="preserve">Activitatea de inspecție școlară la nivelul municipiului </w:t>
      </w:r>
      <w:r w:rsidR="00082575">
        <w:rPr>
          <w:rFonts w:eastAsiaTheme="minorHAnsi"/>
          <w:b/>
          <w:lang w:eastAsia="en-US"/>
        </w:rPr>
        <w:t>B</w:t>
      </w:r>
      <w:r w:rsidRPr="00E32EE5">
        <w:rPr>
          <w:rFonts w:eastAsiaTheme="minorHAnsi"/>
          <w:b/>
          <w:lang w:eastAsia="en-US"/>
        </w:rPr>
        <w:t>ucurești</w:t>
      </w:r>
    </w:p>
    <w:p w:rsidR="00E32EE5" w:rsidRPr="00E32EE5" w:rsidRDefault="00E32EE5" w:rsidP="00A77970">
      <w:pPr>
        <w:jc w:val="both"/>
        <w:rPr>
          <w:rFonts w:eastAsia="Calibri"/>
          <w:color w:val="252525"/>
          <w:spacing w:val="-1"/>
        </w:rPr>
      </w:pPr>
      <w:r w:rsidRPr="00E32EE5">
        <w:rPr>
          <w:rFonts w:eastAsia="Calibri"/>
          <w:color w:val="252525"/>
        </w:rPr>
        <w:tab/>
        <w:t>În</w:t>
      </w:r>
      <w:r w:rsidRPr="00E32EE5">
        <w:rPr>
          <w:rFonts w:eastAsia="Calibri"/>
          <w:color w:val="252525"/>
          <w:spacing w:val="31"/>
        </w:rPr>
        <w:t xml:space="preserve"> </w:t>
      </w:r>
      <w:r w:rsidRPr="00E32EE5">
        <w:rPr>
          <w:rFonts w:eastAsia="Calibri"/>
          <w:color w:val="252525"/>
          <w:spacing w:val="-1"/>
        </w:rPr>
        <w:t>activitatea</w:t>
      </w:r>
      <w:r w:rsidRPr="00E32EE5">
        <w:rPr>
          <w:rFonts w:eastAsia="Calibri"/>
          <w:color w:val="252525"/>
          <w:spacing w:val="31"/>
        </w:rPr>
        <w:t xml:space="preserve"> </w:t>
      </w:r>
      <w:r w:rsidRPr="00E32EE5">
        <w:rPr>
          <w:rFonts w:eastAsia="Calibri"/>
          <w:color w:val="252525"/>
          <w:spacing w:val="-2"/>
        </w:rPr>
        <w:t>de</w:t>
      </w:r>
      <w:r w:rsidRPr="00E32EE5">
        <w:rPr>
          <w:rFonts w:eastAsia="Calibri"/>
          <w:color w:val="252525"/>
          <w:spacing w:val="31"/>
        </w:rPr>
        <w:t xml:space="preserve"> </w:t>
      </w:r>
      <w:r w:rsidRPr="00E32EE5">
        <w:rPr>
          <w:rFonts w:eastAsia="Calibri"/>
          <w:color w:val="252525"/>
          <w:spacing w:val="-1"/>
        </w:rPr>
        <w:t>inspecție</w:t>
      </w:r>
      <w:r w:rsidRPr="00E32EE5">
        <w:rPr>
          <w:rFonts w:eastAsia="Calibri"/>
          <w:color w:val="252525"/>
          <w:spacing w:val="31"/>
        </w:rPr>
        <w:t xml:space="preserve"> </w:t>
      </w:r>
      <w:r w:rsidRPr="00E32EE5">
        <w:rPr>
          <w:rFonts w:eastAsia="Calibri"/>
          <w:color w:val="252525"/>
          <w:spacing w:val="-1"/>
        </w:rPr>
        <w:t>tematică</w:t>
      </w:r>
      <w:r w:rsidRPr="00E32EE5">
        <w:rPr>
          <w:rFonts w:eastAsia="Calibri"/>
          <w:color w:val="252525"/>
          <w:spacing w:val="31"/>
        </w:rPr>
        <w:t xml:space="preserve"> </w:t>
      </w:r>
      <w:r w:rsidRPr="00E32EE5">
        <w:rPr>
          <w:rFonts w:eastAsia="Calibri"/>
          <w:color w:val="252525"/>
          <w:spacing w:val="-2"/>
        </w:rPr>
        <w:t>de</w:t>
      </w:r>
      <w:r w:rsidRPr="00E32EE5">
        <w:rPr>
          <w:rFonts w:eastAsia="Calibri"/>
          <w:color w:val="252525"/>
          <w:spacing w:val="49"/>
        </w:rPr>
        <w:t xml:space="preserve"> </w:t>
      </w:r>
      <w:r w:rsidRPr="00E32EE5">
        <w:rPr>
          <w:rFonts w:eastAsia="Calibri"/>
          <w:color w:val="252525"/>
          <w:spacing w:val="-1"/>
        </w:rPr>
        <w:t>specialitate</w:t>
      </w:r>
      <w:r w:rsidRPr="00E32EE5">
        <w:rPr>
          <w:rFonts w:eastAsia="Calibri"/>
          <w:color w:val="252525"/>
          <w:spacing w:val="7"/>
        </w:rPr>
        <w:t xml:space="preserve"> </w:t>
      </w:r>
      <w:r w:rsidRPr="00E32EE5">
        <w:rPr>
          <w:rFonts w:eastAsia="Calibri"/>
          <w:color w:val="252525"/>
          <w:spacing w:val="-2"/>
        </w:rPr>
        <w:t>au</w:t>
      </w:r>
      <w:r w:rsidRPr="00E32EE5">
        <w:rPr>
          <w:rFonts w:eastAsia="Calibri"/>
          <w:color w:val="252525"/>
          <w:spacing w:val="7"/>
        </w:rPr>
        <w:t xml:space="preserve"> </w:t>
      </w:r>
      <w:r w:rsidRPr="00E32EE5">
        <w:rPr>
          <w:rFonts w:eastAsia="Calibri"/>
          <w:color w:val="252525"/>
          <w:spacing w:val="-1"/>
        </w:rPr>
        <w:t>fost</w:t>
      </w:r>
      <w:r w:rsidRPr="00E32EE5">
        <w:rPr>
          <w:rFonts w:eastAsia="Calibri"/>
          <w:color w:val="252525"/>
          <w:spacing w:val="4"/>
        </w:rPr>
        <w:t xml:space="preserve"> </w:t>
      </w:r>
      <w:r w:rsidRPr="00E32EE5">
        <w:rPr>
          <w:rFonts w:eastAsia="Calibri"/>
          <w:color w:val="252525"/>
          <w:spacing w:val="-1"/>
        </w:rPr>
        <w:t>cuprinse</w:t>
      </w:r>
      <w:r w:rsidRPr="00E32EE5">
        <w:rPr>
          <w:rFonts w:eastAsia="Calibri"/>
          <w:color w:val="252525"/>
          <w:spacing w:val="5"/>
        </w:rPr>
        <w:t xml:space="preserve"> </w:t>
      </w:r>
      <w:r w:rsidRPr="00E32EE5">
        <w:rPr>
          <w:rFonts w:eastAsia="Calibri"/>
          <w:color w:val="252525"/>
          <w:spacing w:val="-2"/>
        </w:rPr>
        <w:t>un</w:t>
      </w:r>
      <w:r w:rsidRPr="00E32EE5">
        <w:rPr>
          <w:rFonts w:eastAsia="Calibri"/>
          <w:color w:val="252525"/>
          <w:spacing w:val="7"/>
        </w:rPr>
        <w:t xml:space="preserve"> </w:t>
      </w:r>
      <w:r w:rsidRPr="00E32EE5">
        <w:rPr>
          <w:rFonts w:eastAsia="Calibri"/>
          <w:color w:val="252525"/>
        </w:rPr>
        <w:t>total</w:t>
      </w:r>
      <w:r w:rsidRPr="00E32EE5">
        <w:rPr>
          <w:rFonts w:eastAsia="Calibri"/>
          <w:color w:val="252525"/>
          <w:spacing w:val="5"/>
        </w:rPr>
        <w:t xml:space="preserve"> </w:t>
      </w:r>
      <w:r w:rsidRPr="00E32EE5">
        <w:rPr>
          <w:rFonts w:eastAsia="Calibri"/>
          <w:color w:val="252525"/>
        </w:rPr>
        <w:t>de</w:t>
      </w:r>
      <w:r w:rsidRPr="00E32EE5">
        <w:rPr>
          <w:rFonts w:eastAsia="Calibri"/>
          <w:color w:val="252525"/>
          <w:spacing w:val="5"/>
        </w:rPr>
        <w:t xml:space="preserve"> </w:t>
      </w:r>
      <w:r w:rsidR="007A6D72">
        <w:rPr>
          <w:rFonts w:eastAsia="Calibri"/>
          <w:color w:val="252525"/>
        </w:rPr>
        <w:t>163</w:t>
      </w:r>
      <w:r w:rsidRPr="00E32EE5">
        <w:rPr>
          <w:rFonts w:eastAsia="Calibri"/>
          <w:color w:val="252525"/>
          <w:spacing w:val="5"/>
        </w:rPr>
        <w:t xml:space="preserve"> </w:t>
      </w:r>
      <w:r w:rsidRPr="00E32EE5">
        <w:rPr>
          <w:rFonts w:eastAsia="Calibri"/>
          <w:color w:val="252525"/>
          <w:spacing w:val="-1"/>
        </w:rPr>
        <w:t>unități</w:t>
      </w:r>
      <w:r w:rsidRPr="00E32EE5">
        <w:rPr>
          <w:rFonts w:eastAsia="Calibri"/>
          <w:color w:val="252525"/>
          <w:spacing w:val="43"/>
        </w:rPr>
        <w:t xml:space="preserve"> </w:t>
      </w:r>
      <w:r w:rsidRPr="00E32EE5">
        <w:rPr>
          <w:rFonts w:eastAsia="Calibri"/>
          <w:color w:val="252525"/>
        </w:rPr>
        <w:t xml:space="preserve">de </w:t>
      </w:r>
      <w:r w:rsidRPr="00E32EE5">
        <w:rPr>
          <w:rFonts w:eastAsia="Calibri"/>
          <w:color w:val="252525"/>
          <w:spacing w:val="-1"/>
        </w:rPr>
        <w:t>învățământ</w:t>
      </w:r>
      <w:r w:rsidRPr="00E32EE5">
        <w:rPr>
          <w:rFonts w:eastAsia="Calibri"/>
          <w:color w:val="252525"/>
        </w:rPr>
        <w:t xml:space="preserve"> de </w:t>
      </w:r>
      <w:r w:rsidRPr="00E32EE5">
        <w:rPr>
          <w:rFonts w:eastAsia="Calibri"/>
          <w:color w:val="252525"/>
          <w:spacing w:val="-1"/>
        </w:rPr>
        <w:t>stat</w:t>
      </w:r>
      <w:r w:rsidRPr="00E32EE5">
        <w:rPr>
          <w:rFonts w:eastAsia="Calibri"/>
          <w:color w:val="252525"/>
        </w:rPr>
        <w:t xml:space="preserve"> </w:t>
      </w:r>
      <w:r w:rsidRPr="00E32EE5">
        <w:rPr>
          <w:rFonts w:eastAsia="Calibri"/>
          <w:color w:val="252525"/>
          <w:spacing w:val="-1"/>
        </w:rPr>
        <w:t>și</w:t>
      </w:r>
      <w:r w:rsidRPr="00E32EE5">
        <w:rPr>
          <w:rFonts w:eastAsia="Calibri"/>
          <w:color w:val="252525"/>
        </w:rPr>
        <w:t xml:space="preserve"> </w:t>
      </w:r>
      <w:r w:rsidRPr="00E32EE5">
        <w:rPr>
          <w:rFonts w:eastAsia="Calibri"/>
          <w:color w:val="252525"/>
          <w:spacing w:val="-1"/>
        </w:rPr>
        <w:t>particular.</w:t>
      </w:r>
    </w:p>
    <w:p w:rsidR="00E32EE5" w:rsidRPr="00E32EE5" w:rsidRDefault="00E32EE5" w:rsidP="00A77970">
      <w:pPr>
        <w:spacing w:before="38"/>
        <w:jc w:val="both"/>
        <w:rPr>
          <w:rFonts w:eastAsia="Calibri"/>
          <w:b/>
        </w:rPr>
      </w:pPr>
      <w:r w:rsidRPr="00E32EE5">
        <w:rPr>
          <w:color w:val="252525"/>
          <w:spacing w:val="-1"/>
          <w:lang w:eastAsia="en-US"/>
        </w:rPr>
        <w:tab/>
        <w:t>REZULTATE</w:t>
      </w:r>
      <w:r w:rsidRPr="00E32EE5">
        <w:rPr>
          <w:b/>
          <w:color w:val="252525"/>
          <w:spacing w:val="-1"/>
          <w:lang w:eastAsia="en-US"/>
        </w:rPr>
        <w:t xml:space="preserve"> - </w:t>
      </w:r>
      <w:r w:rsidR="007A6D72">
        <w:rPr>
          <w:rFonts w:eastAsia="Calibri"/>
          <w:b/>
          <w:color w:val="252525"/>
        </w:rPr>
        <w:t>163</w:t>
      </w:r>
      <w:r w:rsidRPr="00E32EE5">
        <w:rPr>
          <w:rFonts w:eastAsia="Calibri"/>
          <w:b/>
          <w:color w:val="252525"/>
        </w:rPr>
        <w:t xml:space="preserve"> </w:t>
      </w:r>
      <w:r w:rsidRPr="00E32EE5">
        <w:rPr>
          <w:rFonts w:eastAsia="Calibri"/>
          <w:b/>
          <w:color w:val="252525"/>
          <w:spacing w:val="-1"/>
        </w:rPr>
        <w:t>unități</w:t>
      </w:r>
      <w:r w:rsidRPr="00E32EE5">
        <w:rPr>
          <w:rFonts w:eastAsia="Calibri"/>
          <w:b/>
          <w:color w:val="252525"/>
        </w:rPr>
        <w:t xml:space="preserve"> </w:t>
      </w:r>
      <w:r w:rsidRPr="00E32EE5">
        <w:rPr>
          <w:rFonts w:eastAsia="Calibri"/>
          <w:b/>
          <w:color w:val="252525"/>
          <w:spacing w:val="-2"/>
        </w:rPr>
        <w:t>de</w:t>
      </w:r>
      <w:r w:rsidRPr="00E32EE5">
        <w:rPr>
          <w:rFonts w:eastAsia="Calibri"/>
          <w:b/>
          <w:color w:val="252525"/>
        </w:rPr>
        <w:t xml:space="preserve"> </w:t>
      </w:r>
      <w:r w:rsidRPr="00E32EE5">
        <w:rPr>
          <w:rFonts w:eastAsia="Calibri"/>
          <w:b/>
          <w:color w:val="252525"/>
          <w:spacing w:val="-1"/>
        </w:rPr>
        <w:t>învățământ</w:t>
      </w:r>
      <w:r w:rsidRPr="00E32EE5">
        <w:rPr>
          <w:rFonts w:eastAsia="Calibri"/>
          <w:b/>
          <w:color w:val="252525"/>
        </w:rPr>
        <w:t xml:space="preserve"> în </w:t>
      </w:r>
      <w:r w:rsidRPr="00E32EE5">
        <w:rPr>
          <w:rFonts w:eastAsia="Calibri"/>
          <w:b/>
          <w:color w:val="252525"/>
          <w:spacing w:val="-1"/>
        </w:rPr>
        <w:t>inspecție</w:t>
      </w:r>
      <w:r w:rsidRPr="00E32EE5">
        <w:rPr>
          <w:rFonts w:eastAsia="Calibri"/>
          <w:b/>
          <w:color w:val="252525"/>
        </w:rPr>
        <w:t xml:space="preserve"> </w:t>
      </w:r>
      <w:r w:rsidRPr="00E32EE5">
        <w:rPr>
          <w:rFonts w:eastAsia="Calibri"/>
          <w:b/>
          <w:color w:val="252525"/>
          <w:spacing w:val="-1"/>
        </w:rPr>
        <w:t>tematică</w:t>
      </w:r>
      <w:r w:rsidRPr="00E32EE5">
        <w:rPr>
          <w:rFonts w:eastAsia="Calibri"/>
          <w:b/>
          <w:color w:val="252525"/>
        </w:rPr>
        <w:t xml:space="preserve"> de</w:t>
      </w:r>
      <w:r w:rsidRPr="00E32EE5">
        <w:rPr>
          <w:rFonts w:eastAsia="Calibri"/>
          <w:b/>
          <w:color w:val="252525"/>
          <w:spacing w:val="31"/>
        </w:rPr>
        <w:t xml:space="preserve"> </w:t>
      </w:r>
      <w:r w:rsidRPr="00E32EE5">
        <w:rPr>
          <w:rFonts w:eastAsia="Calibri"/>
          <w:b/>
          <w:color w:val="252525"/>
          <w:spacing w:val="-1"/>
        </w:rPr>
        <w:t>specialitate</w:t>
      </w:r>
      <w:r w:rsidR="00082575">
        <w:rPr>
          <w:rFonts w:eastAsia="Calibri"/>
          <w:b/>
          <w:color w:val="252525"/>
          <w:spacing w:val="-1"/>
        </w:rPr>
        <w:t>, respectiv</w:t>
      </w:r>
      <w:r w:rsidRPr="00E32EE5">
        <w:rPr>
          <w:rFonts w:eastAsia="Calibri"/>
          <w:b/>
          <w:color w:val="252525"/>
        </w:rPr>
        <w:t xml:space="preserve"> </w:t>
      </w:r>
      <w:r w:rsidR="007A6D72">
        <w:rPr>
          <w:rFonts w:eastAsia="Calibri"/>
          <w:b/>
          <w:color w:val="252525"/>
          <w:spacing w:val="-2"/>
        </w:rPr>
        <w:t>2</w:t>
      </w:r>
      <w:r w:rsidR="00082575">
        <w:rPr>
          <w:rFonts w:eastAsia="Calibri"/>
          <w:b/>
          <w:color w:val="252525"/>
          <w:spacing w:val="-2"/>
        </w:rPr>
        <w:t>.</w:t>
      </w:r>
      <w:r w:rsidR="007A6D72">
        <w:rPr>
          <w:rFonts w:eastAsia="Calibri"/>
          <w:b/>
          <w:color w:val="252525"/>
          <w:spacing w:val="-2"/>
        </w:rPr>
        <w:t>445</w:t>
      </w:r>
      <w:r w:rsidRPr="00E32EE5">
        <w:rPr>
          <w:rFonts w:eastAsia="Calibri"/>
          <w:b/>
          <w:color w:val="252525"/>
        </w:rPr>
        <w:t xml:space="preserve"> ore de</w:t>
      </w:r>
      <w:r w:rsidRPr="00E32EE5">
        <w:rPr>
          <w:rFonts w:eastAsia="Calibri"/>
          <w:b/>
          <w:color w:val="252525"/>
          <w:spacing w:val="-2"/>
        </w:rPr>
        <w:t xml:space="preserve"> </w:t>
      </w:r>
      <w:r w:rsidRPr="00E32EE5">
        <w:rPr>
          <w:rFonts w:eastAsia="Calibri"/>
          <w:b/>
          <w:color w:val="252525"/>
          <w:spacing w:val="-1"/>
        </w:rPr>
        <w:t>inspecție</w:t>
      </w:r>
      <w:r w:rsidRPr="00E32EE5">
        <w:rPr>
          <w:rFonts w:eastAsia="Calibri"/>
          <w:b/>
          <w:color w:val="252525"/>
          <w:spacing w:val="31"/>
        </w:rPr>
        <w:t xml:space="preserve"> </w:t>
      </w:r>
      <w:r w:rsidRPr="00E32EE5">
        <w:rPr>
          <w:rFonts w:eastAsia="Calibri"/>
          <w:b/>
          <w:color w:val="252525"/>
          <w:spacing w:val="-1"/>
        </w:rPr>
        <w:t>tematică</w:t>
      </w:r>
      <w:r w:rsidRPr="00E32EE5">
        <w:rPr>
          <w:rFonts w:eastAsia="Calibri"/>
          <w:b/>
          <w:color w:val="252525"/>
        </w:rPr>
        <w:t xml:space="preserve"> de</w:t>
      </w:r>
      <w:r w:rsidRPr="00E32EE5">
        <w:rPr>
          <w:rFonts w:eastAsia="Calibri"/>
          <w:b/>
          <w:color w:val="252525"/>
          <w:spacing w:val="-2"/>
        </w:rPr>
        <w:t xml:space="preserve"> </w:t>
      </w:r>
      <w:r w:rsidRPr="00E32EE5">
        <w:rPr>
          <w:rFonts w:eastAsia="Calibri"/>
          <w:b/>
          <w:color w:val="252525"/>
          <w:spacing w:val="-1"/>
        </w:rPr>
        <w:t>specialitate.</w:t>
      </w:r>
    </w:p>
    <w:p w:rsidR="00E32EE5" w:rsidRPr="00E32EE5" w:rsidRDefault="00E32EE5" w:rsidP="00A77970">
      <w:pPr>
        <w:jc w:val="both"/>
        <w:rPr>
          <w:rFonts w:eastAsiaTheme="minorHAnsi"/>
          <w:lang w:eastAsia="en-US"/>
        </w:rPr>
      </w:pPr>
    </w:p>
    <w:p w:rsidR="00E32EE5" w:rsidRPr="00E32EE5" w:rsidRDefault="00E32EE5" w:rsidP="00A77970">
      <w:pPr>
        <w:keepNext/>
        <w:jc w:val="both"/>
        <w:outlineLvl w:val="0"/>
        <w:rPr>
          <w:b/>
          <w:lang w:eastAsia="en-US"/>
        </w:rPr>
      </w:pPr>
      <w:r w:rsidRPr="00E32EE5">
        <w:rPr>
          <w:rFonts w:eastAsiaTheme="minorHAnsi"/>
          <w:lang w:eastAsia="en-US"/>
        </w:rPr>
        <w:tab/>
      </w:r>
      <w:r w:rsidRPr="00E32EE5">
        <w:rPr>
          <w:b/>
          <w:lang w:eastAsia="en-US"/>
        </w:rPr>
        <w:t>Analiza incidențelor de violență în unitățile de învățământ din mun. București</w:t>
      </w:r>
    </w:p>
    <w:p w:rsidR="00E32EE5" w:rsidRPr="00E32EE5" w:rsidRDefault="00E32EE5" w:rsidP="00A77970">
      <w:pPr>
        <w:tabs>
          <w:tab w:val="left" w:pos="0"/>
        </w:tabs>
        <w:jc w:val="both"/>
        <w:rPr>
          <w:rFonts w:eastAsia="Arial Narrow"/>
        </w:rPr>
      </w:pPr>
      <w:r w:rsidRPr="00E32EE5">
        <w:rPr>
          <w:rFonts w:eastAsia="Calibri"/>
          <w:color w:val="252525"/>
        </w:rPr>
        <w:tab/>
        <w:t>La</w:t>
      </w:r>
      <w:r w:rsidRPr="00E32EE5">
        <w:rPr>
          <w:rFonts w:eastAsia="Calibri"/>
          <w:color w:val="252525"/>
          <w:spacing w:val="12"/>
        </w:rPr>
        <w:t xml:space="preserve"> </w:t>
      </w:r>
      <w:r w:rsidRPr="00E32EE5">
        <w:rPr>
          <w:rFonts w:eastAsia="Calibri"/>
          <w:color w:val="252525"/>
          <w:spacing w:val="-1"/>
        </w:rPr>
        <w:t>nivelul</w:t>
      </w:r>
      <w:r w:rsidRPr="00E32EE5">
        <w:rPr>
          <w:rFonts w:eastAsia="Calibri"/>
          <w:color w:val="252525"/>
          <w:spacing w:val="10"/>
        </w:rPr>
        <w:t xml:space="preserve"> </w:t>
      </w:r>
      <w:r w:rsidRPr="00E32EE5">
        <w:rPr>
          <w:rFonts w:eastAsia="Calibri"/>
          <w:color w:val="252525"/>
          <w:spacing w:val="-1"/>
        </w:rPr>
        <w:t>anului</w:t>
      </w:r>
      <w:r w:rsidRPr="00E32EE5">
        <w:rPr>
          <w:rFonts w:eastAsia="Calibri"/>
          <w:color w:val="252525"/>
          <w:spacing w:val="12"/>
        </w:rPr>
        <w:t xml:space="preserve"> </w:t>
      </w:r>
      <w:r w:rsidRPr="00E32EE5">
        <w:rPr>
          <w:rFonts w:eastAsia="Calibri"/>
          <w:color w:val="252525"/>
          <w:spacing w:val="-1"/>
        </w:rPr>
        <w:t>școlar</w:t>
      </w:r>
      <w:r w:rsidRPr="00E32EE5">
        <w:rPr>
          <w:rFonts w:eastAsia="Calibri"/>
          <w:color w:val="252525"/>
          <w:spacing w:val="9"/>
        </w:rPr>
        <w:t xml:space="preserve"> </w:t>
      </w:r>
      <w:r w:rsidRPr="00E32EE5">
        <w:rPr>
          <w:rFonts w:eastAsia="Calibri"/>
          <w:color w:val="252525"/>
          <w:spacing w:val="-1"/>
        </w:rPr>
        <w:t>201</w:t>
      </w:r>
      <w:r w:rsidR="007A6D72">
        <w:rPr>
          <w:rFonts w:eastAsia="Calibri"/>
          <w:color w:val="252525"/>
          <w:spacing w:val="-1"/>
        </w:rPr>
        <w:t>7</w:t>
      </w:r>
      <w:r w:rsidRPr="00E32EE5">
        <w:rPr>
          <w:rFonts w:eastAsia="Calibri"/>
          <w:color w:val="252525"/>
          <w:spacing w:val="-1"/>
        </w:rPr>
        <w:t>-201</w:t>
      </w:r>
      <w:r w:rsidR="007A6D72">
        <w:rPr>
          <w:rFonts w:eastAsia="Calibri"/>
          <w:color w:val="252525"/>
          <w:spacing w:val="-1"/>
        </w:rPr>
        <w:t>8</w:t>
      </w:r>
      <w:r w:rsidRPr="00E32EE5">
        <w:rPr>
          <w:rFonts w:eastAsia="Calibri"/>
          <w:color w:val="252525"/>
          <w:spacing w:val="-1"/>
        </w:rPr>
        <w:t>,</w:t>
      </w:r>
      <w:r w:rsidRPr="00E32EE5">
        <w:rPr>
          <w:rFonts w:eastAsia="Calibri"/>
          <w:color w:val="252525"/>
          <w:spacing w:val="10"/>
        </w:rPr>
        <w:t xml:space="preserve"> </w:t>
      </w:r>
      <w:r w:rsidRPr="00E32EE5">
        <w:rPr>
          <w:rFonts w:eastAsia="Calibri"/>
          <w:color w:val="252525"/>
          <w:spacing w:val="-1"/>
        </w:rPr>
        <w:t>numărul</w:t>
      </w:r>
      <w:r w:rsidRPr="00E32EE5">
        <w:rPr>
          <w:rFonts w:eastAsia="Calibri"/>
          <w:color w:val="252525"/>
          <w:spacing w:val="53"/>
        </w:rPr>
        <w:t xml:space="preserve"> </w:t>
      </w:r>
      <w:r w:rsidRPr="00E32EE5">
        <w:rPr>
          <w:rFonts w:eastAsia="Calibri"/>
          <w:color w:val="252525"/>
          <w:spacing w:val="-1"/>
        </w:rPr>
        <w:t>elevilor</w:t>
      </w:r>
      <w:r w:rsidRPr="00E32EE5">
        <w:rPr>
          <w:rFonts w:eastAsia="Calibri"/>
          <w:color w:val="252525"/>
          <w:spacing w:val="11"/>
        </w:rPr>
        <w:t xml:space="preserve"> </w:t>
      </w:r>
      <w:r w:rsidRPr="00E32EE5">
        <w:rPr>
          <w:rFonts w:eastAsia="Calibri"/>
          <w:color w:val="252525"/>
          <w:spacing w:val="-1"/>
        </w:rPr>
        <w:t>sancționați</w:t>
      </w:r>
      <w:r w:rsidRPr="00E32EE5">
        <w:rPr>
          <w:rFonts w:eastAsia="Calibri"/>
          <w:color w:val="252525"/>
          <w:spacing w:val="14"/>
        </w:rPr>
        <w:t xml:space="preserve"> </w:t>
      </w:r>
      <w:r w:rsidRPr="00E32EE5">
        <w:rPr>
          <w:rFonts w:eastAsia="Calibri"/>
          <w:color w:val="252525"/>
        </w:rPr>
        <w:t>a</w:t>
      </w:r>
      <w:r w:rsidRPr="00E32EE5">
        <w:rPr>
          <w:rFonts w:eastAsia="Calibri"/>
          <w:color w:val="252525"/>
          <w:spacing w:val="14"/>
        </w:rPr>
        <w:t xml:space="preserve"> </w:t>
      </w:r>
      <w:r w:rsidRPr="00E32EE5">
        <w:rPr>
          <w:rFonts w:eastAsia="Calibri"/>
          <w:color w:val="252525"/>
          <w:spacing w:val="-1"/>
        </w:rPr>
        <w:t>fost</w:t>
      </w:r>
      <w:r w:rsidRPr="00E32EE5">
        <w:rPr>
          <w:rFonts w:eastAsia="Calibri"/>
          <w:color w:val="252525"/>
          <w:spacing w:val="12"/>
        </w:rPr>
        <w:t xml:space="preserve"> </w:t>
      </w:r>
      <w:r w:rsidRPr="00E32EE5">
        <w:rPr>
          <w:rFonts w:eastAsia="Calibri"/>
          <w:color w:val="252525"/>
        </w:rPr>
        <w:t>de</w:t>
      </w:r>
      <w:r w:rsidRPr="00E32EE5">
        <w:rPr>
          <w:rFonts w:eastAsia="Calibri"/>
          <w:color w:val="252525"/>
          <w:spacing w:val="18"/>
        </w:rPr>
        <w:t xml:space="preserve"> </w:t>
      </w:r>
      <w:r w:rsidR="007A6D72">
        <w:rPr>
          <w:rFonts w:eastAsia="Calibri"/>
          <w:color w:val="252525"/>
          <w:spacing w:val="-1"/>
        </w:rPr>
        <w:t>1.201</w:t>
      </w:r>
      <w:r w:rsidRPr="00E32EE5">
        <w:rPr>
          <w:rFonts w:eastAsia="Calibri"/>
          <w:color w:val="252525"/>
          <w:spacing w:val="-1"/>
        </w:rPr>
        <w:t>,</w:t>
      </w:r>
      <w:r w:rsidRPr="00E32EE5">
        <w:rPr>
          <w:rFonts w:eastAsia="Calibri"/>
          <w:color w:val="252525"/>
          <w:spacing w:val="14"/>
        </w:rPr>
        <w:t xml:space="preserve"> </w:t>
      </w:r>
      <w:r w:rsidRPr="00E32EE5">
        <w:rPr>
          <w:rFonts w:eastAsia="Calibri"/>
          <w:color w:val="252525"/>
          <w:spacing w:val="-1"/>
        </w:rPr>
        <w:t>cele</w:t>
      </w:r>
      <w:r w:rsidRPr="00E32EE5">
        <w:rPr>
          <w:rFonts w:eastAsia="Calibri"/>
          <w:color w:val="252525"/>
          <w:spacing w:val="12"/>
        </w:rPr>
        <w:t xml:space="preserve"> </w:t>
      </w:r>
      <w:r w:rsidRPr="00E32EE5">
        <w:rPr>
          <w:rFonts w:eastAsia="Calibri"/>
          <w:color w:val="252525"/>
        </w:rPr>
        <w:t>mai</w:t>
      </w:r>
      <w:r w:rsidRPr="00E32EE5">
        <w:rPr>
          <w:rFonts w:eastAsia="Calibri"/>
          <w:color w:val="252525"/>
          <w:spacing w:val="13"/>
        </w:rPr>
        <w:t xml:space="preserve"> </w:t>
      </w:r>
      <w:r w:rsidRPr="00E32EE5">
        <w:rPr>
          <w:rFonts w:eastAsia="Calibri"/>
          <w:color w:val="252525"/>
          <w:spacing w:val="-1"/>
        </w:rPr>
        <w:t>multe</w:t>
      </w:r>
      <w:r w:rsidRPr="00E32EE5">
        <w:rPr>
          <w:rFonts w:eastAsia="Calibri"/>
          <w:color w:val="252525"/>
          <w:spacing w:val="37"/>
        </w:rPr>
        <w:t xml:space="preserve"> </w:t>
      </w:r>
      <w:r w:rsidRPr="00E32EE5">
        <w:rPr>
          <w:rFonts w:eastAsia="Calibri"/>
          <w:color w:val="252525"/>
          <w:spacing w:val="-1"/>
        </w:rPr>
        <w:t>sancțiuni</w:t>
      </w:r>
      <w:r w:rsidRPr="00E32EE5">
        <w:rPr>
          <w:rFonts w:eastAsia="Calibri"/>
          <w:color w:val="252525"/>
          <w:spacing w:val="19"/>
        </w:rPr>
        <w:t xml:space="preserve"> </w:t>
      </w:r>
      <w:r w:rsidRPr="00E32EE5">
        <w:rPr>
          <w:rFonts w:eastAsia="Calibri"/>
          <w:color w:val="252525"/>
        </w:rPr>
        <w:t>au</w:t>
      </w:r>
      <w:r w:rsidRPr="00E32EE5">
        <w:rPr>
          <w:rFonts w:eastAsia="Calibri"/>
          <w:color w:val="252525"/>
          <w:spacing w:val="19"/>
        </w:rPr>
        <w:t xml:space="preserve"> </w:t>
      </w:r>
      <w:r w:rsidRPr="00E32EE5">
        <w:rPr>
          <w:rFonts w:eastAsia="Calibri"/>
          <w:color w:val="252525"/>
          <w:spacing w:val="-1"/>
        </w:rPr>
        <w:t>avut</w:t>
      </w:r>
      <w:r w:rsidRPr="00E32EE5">
        <w:rPr>
          <w:rFonts w:eastAsia="Calibri"/>
          <w:color w:val="252525"/>
          <w:spacing w:val="19"/>
        </w:rPr>
        <w:t xml:space="preserve"> </w:t>
      </w:r>
      <w:r w:rsidRPr="00E32EE5">
        <w:rPr>
          <w:rFonts w:eastAsia="Calibri"/>
          <w:color w:val="252525"/>
        </w:rPr>
        <w:t>loc</w:t>
      </w:r>
      <w:r w:rsidRPr="00E32EE5">
        <w:rPr>
          <w:rFonts w:eastAsia="Calibri"/>
          <w:color w:val="252525"/>
          <w:spacing w:val="19"/>
        </w:rPr>
        <w:t xml:space="preserve"> </w:t>
      </w:r>
      <w:r w:rsidRPr="00E32EE5">
        <w:rPr>
          <w:rFonts w:eastAsia="Calibri"/>
          <w:color w:val="252525"/>
        </w:rPr>
        <w:t>în</w:t>
      </w:r>
      <w:r w:rsidRPr="00E32EE5">
        <w:rPr>
          <w:rFonts w:eastAsia="Calibri"/>
          <w:color w:val="252525"/>
          <w:spacing w:val="19"/>
        </w:rPr>
        <w:t xml:space="preserve"> </w:t>
      </w:r>
      <w:r w:rsidRPr="00E32EE5">
        <w:rPr>
          <w:rFonts w:eastAsia="Calibri"/>
          <w:color w:val="252525"/>
          <w:spacing w:val="-1"/>
        </w:rPr>
        <w:t>primul</w:t>
      </w:r>
      <w:r w:rsidRPr="00E32EE5">
        <w:rPr>
          <w:rFonts w:eastAsia="Calibri"/>
          <w:color w:val="252525"/>
          <w:spacing w:val="19"/>
        </w:rPr>
        <w:t xml:space="preserve"> </w:t>
      </w:r>
      <w:r w:rsidRPr="00E32EE5">
        <w:rPr>
          <w:rFonts w:eastAsia="Calibri"/>
          <w:color w:val="252525"/>
          <w:spacing w:val="-1"/>
        </w:rPr>
        <w:t>semestru</w:t>
      </w:r>
      <w:r w:rsidRPr="00E32EE5">
        <w:rPr>
          <w:rFonts w:eastAsia="Calibri"/>
          <w:color w:val="252525"/>
          <w:spacing w:val="19"/>
        </w:rPr>
        <w:t xml:space="preserve"> </w:t>
      </w:r>
      <w:r w:rsidRPr="00E32EE5">
        <w:rPr>
          <w:rFonts w:eastAsia="Calibri"/>
          <w:color w:val="252525"/>
        </w:rPr>
        <w:t>al</w:t>
      </w:r>
      <w:r w:rsidRPr="00E32EE5">
        <w:rPr>
          <w:rFonts w:eastAsia="Calibri"/>
          <w:color w:val="252525"/>
          <w:spacing w:val="19"/>
        </w:rPr>
        <w:t xml:space="preserve"> </w:t>
      </w:r>
      <w:r w:rsidRPr="00E32EE5">
        <w:rPr>
          <w:rFonts w:eastAsia="Calibri"/>
          <w:color w:val="252525"/>
          <w:spacing w:val="-1"/>
        </w:rPr>
        <w:t>anului</w:t>
      </w:r>
      <w:r w:rsidRPr="00E32EE5">
        <w:rPr>
          <w:rFonts w:eastAsia="Calibri"/>
          <w:color w:val="252525"/>
          <w:spacing w:val="41"/>
        </w:rPr>
        <w:t xml:space="preserve"> </w:t>
      </w:r>
      <w:r w:rsidRPr="00E32EE5">
        <w:rPr>
          <w:rFonts w:eastAsia="Calibri"/>
          <w:color w:val="252525"/>
        </w:rPr>
        <w:t>școlar</w:t>
      </w:r>
      <w:r w:rsidRPr="00E32EE5">
        <w:rPr>
          <w:rFonts w:eastAsia="Calibri"/>
          <w:color w:val="252525"/>
          <w:spacing w:val="3"/>
        </w:rPr>
        <w:t xml:space="preserve"> </w:t>
      </w:r>
      <w:r w:rsidRPr="00E32EE5">
        <w:rPr>
          <w:rFonts w:eastAsia="Calibri"/>
          <w:color w:val="252525"/>
          <w:spacing w:val="-1"/>
        </w:rPr>
        <w:t>(</w:t>
      </w:r>
      <w:r w:rsidR="007A6D72">
        <w:rPr>
          <w:rFonts w:eastAsia="Calibri"/>
          <w:color w:val="252525"/>
          <w:spacing w:val="-1"/>
        </w:rPr>
        <w:t>831</w:t>
      </w:r>
      <w:r w:rsidRPr="00E32EE5">
        <w:rPr>
          <w:rFonts w:eastAsia="Calibri"/>
          <w:color w:val="252525"/>
          <w:spacing w:val="2"/>
        </w:rPr>
        <w:t xml:space="preserve"> </w:t>
      </w:r>
      <w:r w:rsidRPr="00E32EE5">
        <w:rPr>
          <w:rFonts w:eastAsia="Calibri"/>
          <w:color w:val="252525"/>
          <w:spacing w:val="-1"/>
        </w:rPr>
        <w:t>elevi).</w:t>
      </w:r>
      <w:r w:rsidRPr="00E32EE5">
        <w:rPr>
          <w:rFonts w:eastAsia="Calibri"/>
          <w:color w:val="252525"/>
          <w:spacing w:val="3"/>
        </w:rPr>
        <w:t xml:space="preserve"> </w:t>
      </w:r>
      <w:r w:rsidRPr="00E32EE5">
        <w:rPr>
          <w:rFonts w:eastAsia="Calibri"/>
          <w:color w:val="252525"/>
        </w:rPr>
        <w:t>În</w:t>
      </w:r>
      <w:r w:rsidRPr="00E32EE5">
        <w:rPr>
          <w:rFonts w:eastAsia="Calibri"/>
          <w:color w:val="252525"/>
          <w:spacing w:val="50"/>
        </w:rPr>
        <w:t xml:space="preserve"> </w:t>
      </w:r>
      <w:r w:rsidRPr="00E32EE5">
        <w:rPr>
          <w:rFonts w:eastAsia="Calibri"/>
          <w:color w:val="252525"/>
        </w:rPr>
        <w:t>cel</w:t>
      </w:r>
      <w:r w:rsidRPr="00E32EE5">
        <w:rPr>
          <w:rFonts w:eastAsia="Calibri"/>
          <w:color w:val="252525"/>
          <w:spacing w:val="3"/>
        </w:rPr>
        <w:t xml:space="preserve"> </w:t>
      </w:r>
      <w:r w:rsidRPr="00E32EE5">
        <w:rPr>
          <w:rFonts w:eastAsia="Calibri"/>
          <w:color w:val="252525"/>
          <w:spacing w:val="-1"/>
        </w:rPr>
        <w:t>de-al</w:t>
      </w:r>
      <w:r w:rsidRPr="00E32EE5">
        <w:rPr>
          <w:rFonts w:eastAsia="Calibri"/>
          <w:color w:val="252525"/>
          <w:spacing w:val="3"/>
        </w:rPr>
        <w:t xml:space="preserve"> </w:t>
      </w:r>
      <w:r w:rsidRPr="00E32EE5">
        <w:rPr>
          <w:rFonts w:eastAsia="Calibri"/>
          <w:color w:val="252525"/>
          <w:spacing w:val="-1"/>
        </w:rPr>
        <w:t>doilea</w:t>
      </w:r>
      <w:r w:rsidRPr="00E32EE5">
        <w:rPr>
          <w:rFonts w:eastAsia="Calibri"/>
          <w:color w:val="252525"/>
          <w:spacing w:val="2"/>
        </w:rPr>
        <w:t xml:space="preserve"> </w:t>
      </w:r>
      <w:r w:rsidRPr="00E32EE5">
        <w:rPr>
          <w:rFonts w:eastAsia="Calibri"/>
          <w:color w:val="252525"/>
          <w:spacing w:val="-1"/>
        </w:rPr>
        <w:t>semestru</w:t>
      </w:r>
      <w:r w:rsidRPr="00E32EE5">
        <w:rPr>
          <w:rFonts w:eastAsia="Calibri"/>
          <w:color w:val="252525"/>
          <w:spacing w:val="27"/>
        </w:rPr>
        <w:t xml:space="preserve"> </w:t>
      </w:r>
      <w:r w:rsidRPr="00E32EE5">
        <w:rPr>
          <w:rFonts w:eastAsia="Calibri"/>
          <w:color w:val="252525"/>
          <w:spacing w:val="-1"/>
        </w:rPr>
        <w:t>elevii</w:t>
      </w:r>
      <w:r w:rsidRPr="00E32EE5">
        <w:rPr>
          <w:rFonts w:eastAsia="Calibri"/>
          <w:color w:val="252525"/>
        </w:rPr>
        <w:t xml:space="preserve"> </w:t>
      </w:r>
      <w:r w:rsidRPr="00E32EE5">
        <w:rPr>
          <w:rFonts w:eastAsia="Calibri"/>
          <w:color w:val="252525"/>
          <w:spacing w:val="-1"/>
        </w:rPr>
        <w:t>sancționați</w:t>
      </w:r>
      <w:r w:rsidRPr="00E32EE5">
        <w:rPr>
          <w:rFonts w:eastAsia="Calibri"/>
          <w:color w:val="252525"/>
          <w:spacing w:val="-2"/>
        </w:rPr>
        <w:t xml:space="preserve"> </w:t>
      </w:r>
      <w:r w:rsidRPr="00E32EE5">
        <w:rPr>
          <w:rFonts w:eastAsia="Calibri"/>
          <w:color w:val="252525"/>
        </w:rPr>
        <w:t xml:space="preserve">au </w:t>
      </w:r>
      <w:r w:rsidRPr="00E32EE5">
        <w:rPr>
          <w:rFonts w:eastAsia="Calibri"/>
          <w:color w:val="252525"/>
          <w:spacing w:val="-1"/>
        </w:rPr>
        <w:t>fost</w:t>
      </w:r>
      <w:r w:rsidRPr="00E32EE5">
        <w:rPr>
          <w:rFonts w:eastAsia="Calibri"/>
          <w:color w:val="252525"/>
        </w:rPr>
        <w:t xml:space="preserve"> în </w:t>
      </w:r>
      <w:r w:rsidRPr="00E32EE5">
        <w:rPr>
          <w:rFonts w:eastAsia="Calibri"/>
          <w:color w:val="252525"/>
          <w:spacing w:val="-1"/>
        </w:rPr>
        <w:t>număr</w:t>
      </w:r>
      <w:r w:rsidRPr="00E32EE5">
        <w:rPr>
          <w:rFonts w:eastAsia="Calibri"/>
          <w:color w:val="252525"/>
        </w:rPr>
        <w:t xml:space="preserve"> de </w:t>
      </w:r>
      <w:r w:rsidR="007A6D72">
        <w:rPr>
          <w:rFonts w:eastAsia="Calibri"/>
          <w:color w:val="252525"/>
          <w:spacing w:val="-1"/>
        </w:rPr>
        <w:t>370</w:t>
      </w:r>
      <w:r w:rsidRPr="00E32EE5">
        <w:rPr>
          <w:rFonts w:eastAsia="Calibri"/>
          <w:color w:val="252525"/>
          <w:spacing w:val="-1"/>
        </w:rPr>
        <w:t>.</w:t>
      </w:r>
    </w:p>
    <w:p w:rsidR="00E32EE5" w:rsidRPr="00E32EE5" w:rsidRDefault="00E32EE5" w:rsidP="00A77970">
      <w:pPr>
        <w:tabs>
          <w:tab w:val="left" w:pos="0"/>
        </w:tabs>
        <w:jc w:val="both"/>
        <w:rPr>
          <w:b/>
          <w:spacing w:val="-1"/>
          <w:lang w:eastAsia="en-US"/>
        </w:rPr>
      </w:pPr>
    </w:p>
    <w:p w:rsidR="007B1D41" w:rsidRPr="00E32EE5" w:rsidRDefault="00E32EE5" w:rsidP="00A77970">
      <w:pPr>
        <w:tabs>
          <w:tab w:val="left" w:pos="0"/>
        </w:tabs>
        <w:jc w:val="both"/>
        <w:rPr>
          <w:b/>
          <w:spacing w:val="-1"/>
          <w:lang w:eastAsia="en-US"/>
        </w:rPr>
      </w:pPr>
      <w:r w:rsidRPr="00E32EE5">
        <w:rPr>
          <w:b/>
          <w:spacing w:val="-1"/>
          <w:lang w:eastAsia="en-US"/>
        </w:rPr>
        <w:t xml:space="preserve">Numărul </w:t>
      </w:r>
      <w:r w:rsidRPr="00E32EE5">
        <w:rPr>
          <w:b/>
          <w:lang w:eastAsia="en-US"/>
        </w:rPr>
        <w:t>total</w:t>
      </w:r>
      <w:r w:rsidRPr="00E32EE5">
        <w:rPr>
          <w:b/>
          <w:spacing w:val="-4"/>
          <w:lang w:eastAsia="en-US"/>
        </w:rPr>
        <w:t xml:space="preserve"> </w:t>
      </w:r>
      <w:r w:rsidRPr="00E32EE5">
        <w:rPr>
          <w:b/>
          <w:spacing w:val="-1"/>
          <w:lang w:eastAsia="en-US"/>
        </w:rPr>
        <w:t>al elevilor</w:t>
      </w:r>
      <w:r w:rsidRPr="00E32EE5">
        <w:rPr>
          <w:b/>
          <w:spacing w:val="-3"/>
          <w:lang w:eastAsia="en-US"/>
        </w:rPr>
        <w:t xml:space="preserve"> </w:t>
      </w:r>
      <w:r w:rsidRPr="00E32EE5">
        <w:rPr>
          <w:b/>
          <w:spacing w:val="-1"/>
          <w:lang w:eastAsia="en-US"/>
        </w:rPr>
        <w:t>sancționați</w:t>
      </w:r>
      <w:r w:rsidRPr="00E32EE5">
        <w:rPr>
          <w:b/>
          <w:spacing w:val="-4"/>
          <w:lang w:eastAsia="en-US"/>
        </w:rPr>
        <w:t xml:space="preserve"> </w:t>
      </w:r>
      <w:r w:rsidRPr="00E32EE5">
        <w:rPr>
          <w:b/>
          <w:lang w:eastAsia="en-US"/>
        </w:rPr>
        <w:t>pe</w:t>
      </w:r>
      <w:r w:rsidRPr="00E32EE5">
        <w:rPr>
          <w:b/>
          <w:spacing w:val="-3"/>
          <w:lang w:eastAsia="en-US"/>
        </w:rPr>
        <w:t xml:space="preserve"> </w:t>
      </w:r>
      <w:r w:rsidRPr="00E32EE5">
        <w:rPr>
          <w:b/>
          <w:spacing w:val="-1"/>
          <w:lang w:eastAsia="en-US"/>
        </w:rPr>
        <w:t>categorii</w:t>
      </w:r>
      <w:r w:rsidRPr="00E32EE5">
        <w:rPr>
          <w:b/>
          <w:spacing w:val="-4"/>
          <w:lang w:eastAsia="en-US"/>
        </w:rPr>
        <w:t xml:space="preserve"> </w:t>
      </w:r>
      <w:r w:rsidRPr="00E32EE5">
        <w:rPr>
          <w:b/>
          <w:lang w:eastAsia="en-US"/>
        </w:rPr>
        <w:t>de</w:t>
      </w:r>
      <w:r w:rsidRPr="00E32EE5">
        <w:rPr>
          <w:b/>
          <w:spacing w:val="-1"/>
          <w:lang w:eastAsia="en-US"/>
        </w:rPr>
        <w:t xml:space="preserve"> sancțiuni</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28"/>
        <w:gridCol w:w="3260"/>
      </w:tblGrid>
      <w:tr w:rsidR="00E32EE5" w:rsidRPr="00E32EE5" w:rsidTr="00A55728">
        <w:trPr>
          <w:trHeight w:val="324"/>
        </w:trPr>
        <w:tc>
          <w:tcPr>
            <w:tcW w:w="4728" w:type="dxa"/>
            <w:vAlign w:val="center"/>
          </w:tcPr>
          <w:p w:rsidR="00E32EE5" w:rsidRPr="00E32EE5" w:rsidRDefault="00E32EE5" w:rsidP="000D61A1">
            <w:pPr>
              <w:tabs>
                <w:tab w:val="left" w:pos="0"/>
              </w:tabs>
              <w:ind w:left="33"/>
              <w:jc w:val="both"/>
              <w:rPr>
                <w:lang w:eastAsia="en-US"/>
              </w:rPr>
            </w:pPr>
            <w:r w:rsidRPr="00E32EE5">
              <w:rPr>
                <w:lang w:eastAsia="en-US"/>
              </w:rPr>
              <w:t>Observa</w:t>
            </w:r>
            <w:r w:rsidR="007B1D41">
              <w:rPr>
                <w:lang w:eastAsia="en-US"/>
              </w:rPr>
              <w:t>ț</w:t>
            </w:r>
            <w:r w:rsidRPr="00E32EE5">
              <w:rPr>
                <w:lang w:eastAsia="en-US"/>
              </w:rPr>
              <w:t>ie  individual</w:t>
            </w:r>
            <w:r w:rsidR="007B1D41">
              <w:rPr>
                <w:lang w:eastAsia="en-US"/>
              </w:rPr>
              <w:t>ă</w:t>
            </w:r>
          </w:p>
        </w:tc>
        <w:tc>
          <w:tcPr>
            <w:tcW w:w="3260" w:type="dxa"/>
            <w:vAlign w:val="center"/>
          </w:tcPr>
          <w:p w:rsidR="00E32EE5" w:rsidRPr="00E32EE5" w:rsidRDefault="000D61A1" w:rsidP="00A77970">
            <w:pPr>
              <w:tabs>
                <w:tab w:val="left" w:pos="0"/>
              </w:tabs>
              <w:ind w:left="33"/>
              <w:jc w:val="center"/>
              <w:rPr>
                <w:lang w:eastAsia="en-US"/>
              </w:rPr>
            </w:pPr>
            <w:r>
              <w:rPr>
                <w:lang w:eastAsia="en-US"/>
              </w:rPr>
              <w:t>624</w:t>
            </w:r>
          </w:p>
        </w:tc>
      </w:tr>
      <w:tr w:rsidR="00E32EE5" w:rsidRPr="00E32EE5" w:rsidTr="00A55728">
        <w:trPr>
          <w:trHeight w:val="260"/>
        </w:trPr>
        <w:tc>
          <w:tcPr>
            <w:tcW w:w="4728" w:type="dxa"/>
            <w:vAlign w:val="center"/>
          </w:tcPr>
          <w:p w:rsidR="00E32EE5" w:rsidRPr="00E32EE5" w:rsidRDefault="00E32EE5" w:rsidP="000D61A1">
            <w:pPr>
              <w:tabs>
                <w:tab w:val="left" w:pos="0"/>
              </w:tabs>
              <w:ind w:left="33"/>
              <w:jc w:val="both"/>
              <w:rPr>
                <w:lang w:eastAsia="en-US"/>
              </w:rPr>
            </w:pPr>
            <w:r w:rsidRPr="00E32EE5">
              <w:rPr>
                <w:lang w:eastAsia="en-US"/>
              </w:rPr>
              <w:t>Mustrare scris</w:t>
            </w:r>
            <w:r w:rsidR="007B1D41">
              <w:rPr>
                <w:lang w:eastAsia="en-US"/>
              </w:rPr>
              <w:t>ă</w:t>
            </w:r>
          </w:p>
        </w:tc>
        <w:tc>
          <w:tcPr>
            <w:tcW w:w="3260" w:type="dxa"/>
            <w:vAlign w:val="center"/>
          </w:tcPr>
          <w:p w:rsidR="00E32EE5" w:rsidRPr="00E32EE5" w:rsidRDefault="000D61A1" w:rsidP="00A77970">
            <w:pPr>
              <w:tabs>
                <w:tab w:val="left" w:pos="0"/>
              </w:tabs>
              <w:ind w:left="33"/>
              <w:jc w:val="center"/>
              <w:rPr>
                <w:lang w:eastAsia="en-US"/>
              </w:rPr>
            </w:pPr>
            <w:r>
              <w:rPr>
                <w:lang w:eastAsia="en-US"/>
              </w:rPr>
              <w:t>529</w:t>
            </w:r>
          </w:p>
        </w:tc>
      </w:tr>
      <w:tr w:rsidR="00E32EE5" w:rsidRPr="00E32EE5" w:rsidTr="00A55728">
        <w:tc>
          <w:tcPr>
            <w:tcW w:w="4728" w:type="dxa"/>
            <w:vAlign w:val="center"/>
          </w:tcPr>
          <w:p w:rsidR="00E32EE5" w:rsidRPr="00E32EE5" w:rsidRDefault="00E32EE5" w:rsidP="000D61A1">
            <w:pPr>
              <w:tabs>
                <w:tab w:val="left" w:pos="0"/>
              </w:tabs>
              <w:ind w:left="33"/>
              <w:jc w:val="both"/>
              <w:rPr>
                <w:lang w:eastAsia="en-US"/>
              </w:rPr>
            </w:pPr>
            <w:r w:rsidRPr="00E32EE5">
              <w:rPr>
                <w:lang w:eastAsia="en-US"/>
              </w:rPr>
              <w:t>Preaviz de exmatriculare</w:t>
            </w:r>
          </w:p>
        </w:tc>
        <w:tc>
          <w:tcPr>
            <w:tcW w:w="3260" w:type="dxa"/>
            <w:vAlign w:val="center"/>
          </w:tcPr>
          <w:p w:rsidR="00E32EE5" w:rsidRPr="00E32EE5" w:rsidRDefault="000D61A1" w:rsidP="00A77970">
            <w:pPr>
              <w:tabs>
                <w:tab w:val="left" w:pos="0"/>
              </w:tabs>
              <w:ind w:left="33"/>
              <w:jc w:val="center"/>
              <w:rPr>
                <w:lang w:eastAsia="en-US"/>
              </w:rPr>
            </w:pPr>
            <w:r>
              <w:rPr>
                <w:lang w:eastAsia="en-US"/>
              </w:rPr>
              <w:t>31</w:t>
            </w:r>
          </w:p>
        </w:tc>
      </w:tr>
      <w:tr w:rsidR="00E32EE5" w:rsidRPr="00E32EE5" w:rsidTr="00A55728">
        <w:tc>
          <w:tcPr>
            <w:tcW w:w="4728" w:type="dxa"/>
            <w:vAlign w:val="center"/>
          </w:tcPr>
          <w:p w:rsidR="00E32EE5" w:rsidRPr="00E32EE5" w:rsidRDefault="00E32EE5" w:rsidP="000D61A1">
            <w:pPr>
              <w:tabs>
                <w:tab w:val="left" w:pos="0"/>
              </w:tabs>
              <w:ind w:left="33"/>
              <w:jc w:val="both"/>
              <w:rPr>
                <w:lang w:eastAsia="en-US"/>
              </w:rPr>
            </w:pPr>
            <w:r w:rsidRPr="00E32EE5">
              <w:rPr>
                <w:lang w:eastAsia="en-US"/>
              </w:rPr>
              <w:t>Mutare disciplinar</w:t>
            </w:r>
            <w:r w:rsidR="007B1D41">
              <w:rPr>
                <w:lang w:eastAsia="en-US"/>
              </w:rPr>
              <w:t>ă</w:t>
            </w:r>
            <w:r w:rsidRPr="00E32EE5">
              <w:rPr>
                <w:lang w:eastAsia="en-US"/>
              </w:rPr>
              <w:t xml:space="preserve"> la o clas</w:t>
            </w:r>
            <w:r w:rsidR="007B1D41">
              <w:rPr>
                <w:lang w:eastAsia="en-US"/>
              </w:rPr>
              <w:t>ă</w:t>
            </w:r>
            <w:r w:rsidRPr="00E32EE5">
              <w:rPr>
                <w:lang w:eastAsia="en-US"/>
              </w:rPr>
              <w:t xml:space="preserve"> paralel</w:t>
            </w:r>
            <w:r w:rsidR="007B1D41">
              <w:rPr>
                <w:lang w:eastAsia="en-US"/>
              </w:rPr>
              <w:t>ă</w:t>
            </w:r>
          </w:p>
        </w:tc>
        <w:tc>
          <w:tcPr>
            <w:tcW w:w="3260" w:type="dxa"/>
            <w:vAlign w:val="center"/>
          </w:tcPr>
          <w:p w:rsidR="00E32EE5" w:rsidRPr="00E32EE5" w:rsidRDefault="000D61A1" w:rsidP="00A77970">
            <w:pPr>
              <w:tabs>
                <w:tab w:val="left" w:pos="0"/>
              </w:tabs>
              <w:ind w:left="33"/>
              <w:jc w:val="center"/>
              <w:rPr>
                <w:lang w:eastAsia="en-US"/>
              </w:rPr>
            </w:pPr>
            <w:r>
              <w:rPr>
                <w:lang w:eastAsia="en-US"/>
              </w:rPr>
              <w:t>11</w:t>
            </w:r>
          </w:p>
        </w:tc>
      </w:tr>
      <w:tr w:rsidR="00E32EE5" w:rsidRPr="00E32EE5" w:rsidTr="00A55728">
        <w:tc>
          <w:tcPr>
            <w:tcW w:w="4728" w:type="dxa"/>
            <w:vAlign w:val="center"/>
          </w:tcPr>
          <w:p w:rsidR="00E32EE5" w:rsidRPr="00E32EE5" w:rsidRDefault="00E32EE5" w:rsidP="000D61A1">
            <w:pPr>
              <w:tabs>
                <w:tab w:val="left" w:pos="0"/>
              </w:tabs>
              <w:ind w:left="33"/>
              <w:jc w:val="both"/>
              <w:rPr>
                <w:lang w:eastAsia="en-US"/>
              </w:rPr>
            </w:pPr>
            <w:r w:rsidRPr="00E32EE5">
              <w:rPr>
                <w:lang w:eastAsia="en-US"/>
              </w:rPr>
              <w:t>Exmatriculare</w:t>
            </w:r>
          </w:p>
        </w:tc>
        <w:tc>
          <w:tcPr>
            <w:tcW w:w="3260" w:type="dxa"/>
            <w:vAlign w:val="center"/>
          </w:tcPr>
          <w:p w:rsidR="00E32EE5" w:rsidRPr="00E32EE5" w:rsidRDefault="000D61A1" w:rsidP="00A77970">
            <w:pPr>
              <w:tabs>
                <w:tab w:val="left" w:pos="0"/>
                <w:tab w:val="center" w:pos="1062"/>
              </w:tabs>
              <w:ind w:left="33"/>
              <w:jc w:val="center"/>
              <w:rPr>
                <w:lang w:eastAsia="en-US"/>
              </w:rPr>
            </w:pPr>
            <w:r>
              <w:rPr>
                <w:lang w:eastAsia="en-US"/>
              </w:rPr>
              <w:t>6</w:t>
            </w:r>
          </w:p>
        </w:tc>
      </w:tr>
    </w:tbl>
    <w:p w:rsidR="00AD061C" w:rsidRDefault="00E32EE5" w:rsidP="00A77970">
      <w:pPr>
        <w:keepNext/>
        <w:jc w:val="both"/>
        <w:outlineLvl w:val="0"/>
        <w:rPr>
          <w:b/>
          <w:lang w:eastAsia="en-US"/>
        </w:rPr>
      </w:pPr>
      <w:bookmarkStart w:id="31" w:name="_Toc336953331"/>
      <w:bookmarkStart w:id="32" w:name="_Toc367704124"/>
      <w:bookmarkStart w:id="33" w:name="_Toc367704234"/>
      <w:bookmarkStart w:id="34" w:name="_Toc367704407"/>
      <w:bookmarkStart w:id="35" w:name="_Toc446946779"/>
      <w:bookmarkStart w:id="36" w:name="_Toc463344243"/>
      <w:r w:rsidRPr="00E32EE5">
        <w:rPr>
          <w:b/>
          <w:lang w:eastAsia="en-US"/>
        </w:rPr>
        <w:tab/>
      </w:r>
    </w:p>
    <w:p w:rsidR="00E32EE5" w:rsidRPr="00E32EE5" w:rsidRDefault="00AD061C" w:rsidP="00A77970">
      <w:pPr>
        <w:keepNext/>
        <w:jc w:val="both"/>
        <w:outlineLvl w:val="0"/>
        <w:rPr>
          <w:b/>
          <w:lang w:eastAsia="en-US"/>
        </w:rPr>
      </w:pPr>
      <w:r>
        <w:rPr>
          <w:b/>
          <w:lang w:eastAsia="en-US"/>
        </w:rPr>
        <w:tab/>
      </w:r>
      <w:r w:rsidR="00E32EE5" w:rsidRPr="00E32EE5">
        <w:rPr>
          <w:b/>
          <w:lang w:eastAsia="en-US"/>
        </w:rPr>
        <w:t>Învăţământul particular</w:t>
      </w:r>
      <w:bookmarkEnd w:id="31"/>
      <w:bookmarkEnd w:id="32"/>
      <w:bookmarkEnd w:id="33"/>
      <w:bookmarkEnd w:id="34"/>
      <w:bookmarkEnd w:id="35"/>
      <w:bookmarkEnd w:id="36"/>
    </w:p>
    <w:p w:rsidR="00E32EE5" w:rsidRDefault="00362C53" w:rsidP="00A77970">
      <w:pPr>
        <w:jc w:val="both"/>
        <w:rPr>
          <w:lang w:val="en-US" w:eastAsia="en-US"/>
        </w:rPr>
      </w:pPr>
      <w:r>
        <w:rPr>
          <w:lang w:val="en-US" w:eastAsia="en-US"/>
        </w:rPr>
        <w:tab/>
      </w:r>
      <w:r w:rsidRPr="00362C53">
        <w:rPr>
          <w:lang w:val="en-US" w:eastAsia="en-US"/>
        </w:rPr>
        <w:t>În anul școlar 2017-2018 au funcționat în rețeaua școlară a Municipiului București un număr total de 222 unități de învățământ particulare, dintre care: 142 unități de învățământ preșcolar, 34 școli primare, 14 școli gimnaziale, 20 unități de învățământ liceal, 12 școli profesionale.</w:t>
      </w:r>
    </w:p>
    <w:p w:rsidR="00362C53" w:rsidRPr="00E32EE5" w:rsidRDefault="00362C53" w:rsidP="00A77970">
      <w:pPr>
        <w:jc w:val="both"/>
        <w:rPr>
          <w:b/>
          <w:lang w:val="en-US" w:eastAsia="en-US"/>
        </w:rPr>
      </w:pPr>
    </w:p>
    <w:p w:rsidR="007B1D41" w:rsidRDefault="00362C53" w:rsidP="00362C53">
      <w:pPr>
        <w:jc w:val="both"/>
        <w:rPr>
          <w:b/>
          <w:lang w:val="en-US" w:eastAsia="en-US"/>
        </w:rPr>
      </w:pPr>
      <w:r w:rsidRPr="00362C53">
        <w:rPr>
          <w:b/>
          <w:lang w:val="en-US" w:eastAsia="en-US"/>
        </w:rPr>
        <w:t xml:space="preserve">Situația comparativă a numărului de elevi și preșcolari din învățământul </w:t>
      </w:r>
      <w:r>
        <w:rPr>
          <w:b/>
          <w:lang w:val="en-US" w:eastAsia="en-US"/>
        </w:rPr>
        <w:t xml:space="preserve">particular pentru anii școlari </w:t>
      </w:r>
      <w:r w:rsidRPr="00362C53">
        <w:rPr>
          <w:b/>
          <w:lang w:val="en-US" w:eastAsia="en-US"/>
        </w:rPr>
        <w:t>2017-2018, 2018-2019</w:t>
      </w:r>
    </w:p>
    <w:p w:rsidR="00A55728" w:rsidRPr="00362C53" w:rsidRDefault="00A55728" w:rsidP="00362C53">
      <w:pPr>
        <w:jc w:val="both"/>
        <w:rPr>
          <w:b/>
          <w:lang w:val="en-US" w:eastAsia="en-US"/>
        </w:rPr>
      </w:pPr>
    </w:p>
    <w:tbl>
      <w:tblPr>
        <w:tblStyle w:val="TableGrid"/>
        <w:tblW w:w="10530" w:type="dxa"/>
        <w:tblInd w:w="108" w:type="dxa"/>
        <w:tblLook w:val="04A0"/>
      </w:tblPr>
      <w:tblGrid>
        <w:gridCol w:w="3510"/>
        <w:gridCol w:w="3420"/>
        <w:gridCol w:w="3600"/>
      </w:tblGrid>
      <w:tr w:rsidR="00A55728" w:rsidRPr="00A55728" w:rsidTr="00A55728">
        <w:trPr>
          <w:trHeight w:val="197"/>
        </w:trPr>
        <w:tc>
          <w:tcPr>
            <w:tcW w:w="3510" w:type="dxa"/>
            <w:shd w:val="clear" w:color="auto" w:fill="auto"/>
            <w:vAlign w:val="center"/>
          </w:tcPr>
          <w:p w:rsidR="00A55728" w:rsidRPr="00A55728" w:rsidRDefault="00A55728" w:rsidP="003E3FEE">
            <w:pPr>
              <w:jc w:val="center"/>
              <w:rPr>
                <w:b/>
                <w:sz w:val="24"/>
                <w:szCs w:val="24"/>
              </w:rPr>
            </w:pPr>
            <w:r w:rsidRPr="00A55728">
              <w:rPr>
                <w:b/>
                <w:sz w:val="24"/>
                <w:szCs w:val="24"/>
              </w:rPr>
              <w:t>Nivel de învățământ</w:t>
            </w:r>
          </w:p>
        </w:tc>
        <w:tc>
          <w:tcPr>
            <w:tcW w:w="3420" w:type="dxa"/>
            <w:shd w:val="clear" w:color="auto" w:fill="auto"/>
            <w:vAlign w:val="center"/>
          </w:tcPr>
          <w:p w:rsidR="00A55728" w:rsidRPr="00A55728" w:rsidRDefault="00A55728" w:rsidP="003E3FEE">
            <w:pPr>
              <w:jc w:val="center"/>
              <w:rPr>
                <w:b/>
                <w:sz w:val="24"/>
                <w:szCs w:val="24"/>
              </w:rPr>
            </w:pPr>
            <w:r w:rsidRPr="00A55728">
              <w:rPr>
                <w:b/>
                <w:sz w:val="24"/>
                <w:szCs w:val="24"/>
              </w:rPr>
              <w:t>Nr. preșcolari/elevi</w:t>
            </w:r>
          </w:p>
          <w:p w:rsidR="00A55728" w:rsidRPr="00A55728" w:rsidRDefault="00A55728" w:rsidP="003E3FEE">
            <w:pPr>
              <w:jc w:val="center"/>
              <w:rPr>
                <w:b/>
                <w:sz w:val="24"/>
                <w:szCs w:val="24"/>
              </w:rPr>
            </w:pPr>
            <w:r w:rsidRPr="00A55728">
              <w:rPr>
                <w:b/>
                <w:sz w:val="24"/>
                <w:szCs w:val="24"/>
              </w:rPr>
              <w:t>An școlar 2017-2018</w:t>
            </w:r>
          </w:p>
        </w:tc>
        <w:tc>
          <w:tcPr>
            <w:tcW w:w="3600" w:type="dxa"/>
            <w:shd w:val="clear" w:color="auto" w:fill="auto"/>
            <w:vAlign w:val="center"/>
          </w:tcPr>
          <w:p w:rsidR="00A55728" w:rsidRPr="00A55728" w:rsidRDefault="00A55728" w:rsidP="003E3FEE">
            <w:pPr>
              <w:jc w:val="center"/>
              <w:rPr>
                <w:b/>
                <w:sz w:val="24"/>
                <w:szCs w:val="24"/>
              </w:rPr>
            </w:pPr>
            <w:r w:rsidRPr="00A55728">
              <w:rPr>
                <w:b/>
                <w:sz w:val="24"/>
                <w:szCs w:val="24"/>
              </w:rPr>
              <w:t xml:space="preserve">Nr. preșcolari/elevi </w:t>
            </w:r>
          </w:p>
          <w:p w:rsidR="00A55728" w:rsidRPr="00A55728" w:rsidRDefault="00A55728" w:rsidP="007218B3">
            <w:pPr>
              <w:jc w:val="center"/>
              <w:rPr>
                <w:b/>
                <w:sz w:val="24"/>
                <w:szCs w:val="24"/>
              </w:rPr>
            </w:pPr>
            <w:r w:rsidRPr="00A55728">
              <w:rPr>
                <w:b/>
                <w:sz w:val="24"/>
                <w:szCs w:val="24"/>
              </w:rPr>
              <w:t>an școlar 201</w:t>
            </w:r>
            <w:r w:rsidR="007218B3">
              <w:rPr>
                <w:b/>
                <w:sz w:val="24"/>
                <w:szCs w:val="24"/>
              </w:rPr>
              <w:t>8</w:t>
            </w:r>
            <w:r w:rsidRPr="00A55728">
              <w:rPr>
                <w:b/>
                <w:sz w:val="24"/>
                <w:szCs w:val="24"/>
              </w:rPr>
              <w:t>-201</w:t>
            </w:r>
            <w:r w:rsidR="007218B3">
              <w:rPr>
                <w:b/>
                <w:sz w:val="24"/>
                <w:szCs w:val="24"/>
              </w:rPr>
              <w:t>9</w:t>
            </w:r>
          </w:p>
        </w:tc>
      </w:tr>
      <w:tr w:rsidR="00A55728" w:rsidRPr="00A55728" w:rsidTr="00A55728">
        <w:trPr>
          <w:trHeight w:val="70"/>
        </w:trPr>
        <w:tc>
          <w:tcPr>
            <w:tcW w:w="3510" w:type="dxa"/>
            <w:shd w:val="clear" w:color="auto" w:fill="auto"/>
            <w:vAlign w:val="center"/>
          </w:tcPr>
          <w:p w:rsidR="00A55728" w:rsidRPr="00A55728" w:rsidRDefault="00A55728" w:rsidP="003E3FEE">
            <w:pPr>
              <w:rPr>
                <w:sz w:val="24"/>
                <w:szCs w:val="24"/>
              </w:rPr>
            </w:pPr>
            <w:r w:rsidRPr="00A55728">
              <w:rPr>
                <w:sz w:val="24"/>
                <w:szCs w:val="24"/>
              </w:rPr>
              <w:t>Învățământ preșcolar</w:t>
            </w:r>
          </w:p>
        </w:tc>
        <w:tc>
          <w:tcPr>
            <w:tcW w:w="3420" w:type="dxa"/>
            <w:shd w:val="clear" w:color="auto" w:fill="auto"/>
            <w:vAlign w:val="center"/>
          </w:tcPr>
          <w:p w:rsidR="00A55728" w:rsidRPr="00A55728" w:rsidRDefault="00A55728" w:rsidP="003E3FEE">
            <w:pPr>
              <w:jc w:val="center"/>
              <w:rPr>
                <w:sz w:val="24"/>
                <w:szCs w:val="24"/>
              </w:rPr>
            </w:pPr>
            <w:r w:rsidRPr="00A55728">
              <w:rPr>
                <w:sz w:val="24"/>
                <w:szCs w:val="24"/>
              </w:rPr>
              <w:t>7068</w:t>
            </w:r>
          </w:p>
        </w:tc>
        <w:tc>
          <w:tcPr>
            <w:tcW w:w="3600" w:type="dxa"/>
            <w:shd w:val="clear" w:color="auto" w:fill="auto"/>
            <w:vAlign w:val="center"/>
          </w:tcPr>
          <w:p w:rsidR="00A55728" w:rsidRPr="00A55728" w:rsidRDefault="00A55728" w:rsidP="003E3FEE">
            <w:pPr>
              <w:jc w:val="center"/>
              <w:rPr>
                <w:sz w:val="24"/>
                <w:szCs w:val="24"/>
              </w:rPr>
            </w:pPr>
            <w:r w:rsidRPr="00A55728">
              <w:rPr>
                <w:sz w:val="24"/>
                <w:szCs w:val="24"/>
              </w:rPr>
              <w:t>7339</w:t>
            </w:r>
          </w:p>
        </w:tc>
      </w:tr>
      <w:tr w:rsidR="00A55728" w:rsidRPr="00A55728" w:rsidTr="00A55728">
        <w:trPr>
          <w:trHeight w:val="70"/>
        </w:trPr>
        <w:tc>
          <w:tcPr>
            <w:tcW w:w="3510" w:type="dxa"/>
            <w:shd w:val="clear" w:color="auto" w:fill="auto"/>
            <w:vAlign w:val="center"/>
          </w:tcPr>
          <w:p w:rsidR="00A55728" w:rsidRPr="00A55728" w:rsidRDefault="00A55728" w:rsidP="003E3FEE">
            <w:pPr>
              <w:rPr>
                <w:sz w:val="24"/>
                <w:szCs w:val="24"/>
              </w:rPr>
            </w:pPr>
            <w:r w:rsidRPr="00A55728">
              <w:rPr>
                <w:sz w:val="24"/>
                <w:szCs w:val="24"/>
              </w:rPr>
              <w:t>Învățământ primar</w:t>
            </w:r>
          </w:p>
        </w:tc>
        <w:tc>
          <w:tcPr>
            <w:tcW w:w="3420" w:type="dxa"/>
            <w:shd w:val="clear" w:color="auto" w:fill="auto"/>
            <w:vAlign w:val="center"/>
          </w:tcPr>
          <w:p w:rsidR="00A55728" w:rsidRPr="00A55728" w:rsidRDefault="00A55728" w:rsidP="003E3FEE">
            <w:pPr>
              <w:jc w:val="center"/>
              <w:rPr>
                <w:sz w:val="24"/>
                <w:szCs w:val="24"/>
              </w:rPr>
            </w:pPr>
            <w:r w:rsidRPr="00A55728">
              <w:rPr>
                <w:sz w:val="24"/>
                <w:szCs w:val="24"/>
              </w:rPr>
              <w:t>4996</w:t>
            </w:r>
          </w:p>
        </w:tc>
        <w:tc>
          <w:tcPr>
            <w:tcW w:w="3600" w:type="dxa"/>
            <w:shd w:val="clear" w:color="auto" w:fill="auto"/>
            <w:vAlign w:val="center"/>
          </w:tcPr>
          <w:p w:rsidR="00A55728" w:rsidRPr="00A55728" w:rsidRDefault="00A55728" w:rsidP="003E3FEE">
            <w:pPr>
              <w:jc w:val="center"/>
              <w:rPr>
                <w:sz w:val="24"/>
                <w:szCs w:val="24"/>
              </w:rPr>
            </w:pPr>
            <w:r w:rsidRPr="00A55728">
              <w:rPr>
                <w:sz w:val="24"/>
                <w:szCs w:val="24"/>
              </w:rPr>
              <w:t>5143</w:t>
            </w:r>
          </w:p>
        </w:tc>
      </w:tr>
      <w:tr w:rsidR="00A55728" w:rsidRPr="00A55728" w:rsidTr="00A55728">
        <w:trPr>
          <w:trHeight w:val="70"/>
        </w:trPr>
        <w:tc>
          <w:tcPr>
            <w:tcW w:w="3510" w:type="dxa"/>
            <w:shd w:val="clear" w:color="auto" w:fill="auto"/>
            <w:vAlign w:val="center"/>
          </w:tcPr>
          <w:p w:rsidR="00A55728" w:rsidRPr="00A55728" w:rsidRDefault="00A55728" w:rsidP="003E3FEE">
            <w:pPr>
              <w:rPr>
                <w:sz w:val="24"/>
                <w:szCs w:val="24"/>
              </w:rPr>
            </w:pPr>
            <w:r w:rsidRPr="00A55728">
              <w:rPr>
                <w:sz w:val="24"/>
                <w:szCs w:val="24"/>
              </w:rPr>
              <w:lastRenderedPageBreak/>
              <w:t>Învățământ gimnazial</w:t>
            </w:r>
          </w:p>
        </w:tc>
        <w:tc>
          <w:tcPr>
            <w:tcW w:w="3420" w:type="dxa"/>
            <w:shd w:val="clear" w:color="auto" w:fill="auto"/>
            <w:vAlign w:val="center"/>
          </w:tcPr>
          <w:p w:rsidR="00A55728" w:rsidRPr="00A55728" w:rsidRDefault="00A55728" w:rsidP="003E3FEE">
            <w:pPr>
              <w:jc w:val="center"/>
              <w:rPr>
                <w:sz w:val="24"/>
                <w:szCs w:val="24"/>
              </w:rPr>
            </w:pPr>
            <w:r w:rsidRPr="00A55728">
              <w:rPr>
                <w:sz w:val="24"/>
                <w:szCs w:val="24"/>
              </w:rPr>
              <w:t>2290</w:t>
            </w:r>
          </w:p>
        </w:tc>
        <w:tc>
          <w:tcPr>
            <w:tcW w:w="3600" w:type="dxa"/>
            <w:shd w:val="clear" w:color="auto" w:fill="auto"/>
            <w:vAlign w:val="center"/>
          </w:tcPr>
          <w:p w:rsidR="00A55728" w:rsidRPr="00A55728" w:rsidRDefault="00A55728" w:rsidP="003E3FEE">
            <w:pPr>
              <w:jc w:val="center"/>
              <w:rPr>
                <w:sz w:val="24"/>
                <w:szCs w:val="24"/>
              </w:rPr>
            </w:pPr>
            <w:r w:rsidRPr="00A55728">
              <w:rPr>
                <w:sz w:val="24"/>
                <w:szCs w:val="24"/>
              </w:rPr>
              <w:t>2624</w:t>
            </w:r>
          </w:p>
        </w:tc>
      </w:tr>
      <w:tr w:rsidR="00A55728" w:rsidRPr="00A55728" w:rsidTr="00A55728">
        <w:trPr>
          <w:trHeight w:val="70"/>
        </w:trPr>
        <w:tc>
          <w:tcPr>
            <w:tcW w:w="3510" w:type="dxa"/>
            <w:shd w:val="clear" w:color="auto" w:fill="auto"/>
            <w:vAlign w:val="center"/>
          </w:tcPr>
          <w:p w:rsidR="00A55728" w:rsidRPr="00A55728" w:rsidRDefault="00A55728" w:rsidP="003E3FEE">
            <w:pPr>
              <w:rPr>
                <w:sz w:val="24"/>
                <w:szCs w:val="24"/>
              </w:rPr>
            </w:pPr>
            <w:r w:rsidRPr="00A55728">
              <w:rPr>
                <w:sz w:val="24"/>
                <w:szCs w:val="24"/>
              </w:rPr>
              <w:t>Învățământ liceal</w:t>
            </w:r>
          </w:p>
        </w:tc>
        <w:tc>
          <w:tcPr>
            <w:tcW w:w="3420" w:type="dxa"/>
            <w:shd w:val="clear" w:color="auto" w:fill="auto"/>
            <w:vAlign w:val="center"/>
          </w:tcPr>
          <w:p w:rsidR="00A55728" w:rsidRPr="00A55728" w:rsidRDefault="00A55728" w:rsidP="003E3FEE">
            <w:pPr>
              <w:jc w:val="center"/>
              <w:rPr>
                <w:sz w:val="24"/>
                <w:szCs w:val="24"/>
              </w:rPr>
            </w:pPr>
            <w:r w:rsidRPr="00A55728">
              <w:rPr>
                <w:sz w:val="24"/>
                <w:szCs w:val="24"/>
              </w:rPr>
              <w:t>3861</w:t>
            </w:r>
          </w:p>
        </w:tc>
        <w:tc>
          <w:tcPr>
            <w:tcW w:w="3600" w:type="dxa"/>
            <w:shd w:val="clear" w:color="auto" w:fill="auto"/>
            <w:vAlign w:val="center"/>
          </w:tcPr>
          <w:p w:rsidR="00A55728" w:rsidRPr="00A55728" w:rsidRDefault="00A55728" w:rsidP="003E3FEE">
            <w:pPr>
              <w:jc w:val="center"/>
              <w:rPr>
                <w:sz w:val="24"/>
                <w:szCs w:val="24"/>
              </w:rPr>
            </w:pPr>
            <w:r w:rsidRPr="00A55728">
              <w:rPr>
                <w:sz w:val="24"/>
                <w:szCs w:val="24"/>
              </w:rPr>
              <w:t>3906</w:t>
            </w:r>
          </w:p>
        </w:tc>
      </w:tr>
      <w:tr w:rsidR="00A55728" w:rsidRPr="00A55728" w:rsidTr="00A55728">
        <w:trPr>
          <w:trHeight w:val="70"/>
        </w:trPr>
        <w:tc>
          <w:tcPr>
            <w:tcW w:w="3510" w:type="dxa"/>
            <w:shd w:val="clear" w:color="auto" w:fill="auto"/>
            <w:vAlign w:val="center"/>
          </w:tcPr>
          <w:p w:rsidR="00A55728" w:rsidRPr="00A55728" w:rsidRDefault="00A55728" w:rsidP="003E3FEE">
            <w:pPr>
              <w:rPr>
                <w:sz w:val="24"/>
                <w:szCs w:val="24"/>
              </w:rPr>
            </w:pPr>
            <w:r w:rsidRPr="00A55728">
              <w:rPr>
                <w:sz w:val="24"/>
                <w:szCs w:val="24"/>
              </w:rPr>
              <w:t>Învățământ profesional</w:t>
            </w:r>
          </w:p>
        </w:tc>
        <w:tc>
          <w:tcPr>
            <w:tcW w:w="3420" w:type="dxa"/>
            <w:shd w:val="clear" w:color="auto" w:fill="auto"/>
            <w:vAlign w:val="center"/>
          </w:tcPr>
          <w:p w:rsidR="00A55728" w:rsidRPr="00A55728" w:rsidRDefault="00A55728" w:rsidP="003E3FEE">
            <w:pPr>
              <w:jc w:val="center"/>
              <w:rPr>
                <w:sz w:val="24"/>
                <w:szCs w:val="24"/>
              </w:rPr>
            </w:pPr>
            <w:r w:rsidRPr="00A55728">
              <w:rPr>
                <w:sz w:val="24"/>
                <w:szCs w:val="24"/>
              </w:rPr>
              <w:t>366</w:t>
            </w:r>
          </w:p>
        </w:tc>
        <w:tc>
          <w:tcPr>
            <w:tcW w:w="3600" w:type="dxa"/>
            <w:shd w:val="clear" w:color="auto" w:fill="auto"/>
            <w:vAlign w:val="center"/>
          </w:tcPr>
          <w:p w:rsidR="00A55728" w:rsidRPr="00A55728" w:rsidRDefault="00A55728" w:rsidP="003E3FEE">
            <w:pPr>
              <w:jc w:val="center"/>
              <w:rPr>
                <w:sz w:val="24"/>
                <w:szCs w:val="24"/>
              </w:rPr>
            </w:pPr>
            <w:r w:rsidRPr="00A55728">
              <w:rPr>
                <w:sz w:val="24"/>
                <w:szCs w:val="24"/>
              </w:rPr>
              <w:t>312</w:t>
            </w:r>
          </w:p>
        </w:tc>
      </w:tr>
      <w:tr w:rsidR="00A55728" w:rsidRPr="00A55728" w:rsidTr="00A55728">
        <w:trPr>
          <w:trHeight w:val="70"/>
        </w:trPr>
        <w:tc>
          <w:tcPr>
            <w:tcW w:w="3510" w:type="dxa"/>
            <w:shd w:val="clear" w:color="auto" w:fill="auto"/>
            <w:vAlign w:val="center"/>
          </w:tcPr>
          <w:p w:rsidR="00A55728" w:rsidRPr="00A55728" w:rsidRDefault="00A55728" w:rsidP="003E3FEE">
            <w:pPr>
              <w:rPr>
                <w:sz w:val="24"/>
                <w:szCs w:val="24"/>
              </w:rPr>
            </w:pPr>
            <w:r w:rsidRPr="00A55728">
              <w:rPr>
                <w:sz w:val="24"/>
                <w:szCs w:val="24"/>
              </w:rPr>
              <w:t>Învățământ postliceal</w:t>
            </w:r>
          </w:p>
        </w:tc>
        <w:tc>
          <w:tcPr>
            <w:tcW w:w="3420" w:type="dxa"/>
            <w:shd w:val="clear" w:color="auto" w:fill="auto"/>
            <w:vAlign w:val="center"/>
          </w:tcPr>
          <w:p w:rsidR="00A55728" w:rsidRPr="00A55728" w:rsidRDefault="00A55728" w:rsidP="003E3FEE">
            <w:pPr>
              <w:jc w:val="center"/>
              <w:rPr>
                <w:sz w:val="24"/>
                <w:szCs w:val="24"/>
              </w:rPr>
            </w:pPr>
            <w:r w:rsidRPr="00A55728">
              <w:rPr>
                <w:sz w:val="24"/>
                <w:szCs w:val="24"/>
              </w:rPr>
              <w:t>5589</w:t>
            </w:r>
          </w:p>
        </w:tc>
        <w:tc>
          <w:tcPr>
            <w:tcW w:w="3600" w:type="dxa"/>
            <w:shd w:val="clear" w:color="auto" w:fill="auto"/>
            <w:vAlign w:val="center"/>
          </w:tcPr>
          <w:p w:rsidR="00A55728" w:rsidRPr="00A55728" w:rsidRDefault="00A55728" w:rsidP="003E3FEE">
            <w:pPr>
              <w:jc w:val="center"/>
              <w:rPr>
                <w:sz w:val="24"/>
                <w:szCs w:val="24"/>
              </w:rPr>
            </w:pPr>
            <w:r w:rsidRPr="00A55728">
              <w:rPr>
                <w:sz w:val="24"/>
                <w:szCs w:val="24"/>
              </w:rPr>
              <w:t>5903</w:t>
            </w:r>
          </w:p>
        </w:tc>
      </w:tr>
      <w:tr w:rsidR="00A55728" w:rsidRPr="00A55728" w:rsidTr="00A55728">
        <w:trPr>
          <w:trHeight w:val="70"/>
        </w:trPr>
        <w:tc>
          <w:tcPr>
            <w:tcW w:w="3510" w:type="dxa"/>
            <w:shd w:val="clear" w:color="auto" w:fill="auto"/>
            <w:vAlign w:val="center"/>
          </w:tcPr>
          <w:p w:rsidR="00A55728" w:rsidRPr="00A55728" w:rsidRDefault="00A55728" w:rsidP="003E3FEE">
            <w:pPr>
              <w:jc w:val="center"/>
              <w:rPr>
                <w:b/>
                <w:sz w:val="24"/>
                <w:szCs w:val="24"/>
              </w:rPr>
            </w:pPr>
            <w:r w:rsidRPr="00A55728">
              <w:rPr>
                <w:b/>
                <w:sz w:val="24"/>
                <w:szCs w:val="24"/>
              </w:rPr>
              <w:t>TOTAL</w:t>
            </w:r>
          </w:p>
        </w:tc>
        <w:tc>
          <w:tcPr>
            <w:tcW w:w="3420" w:type="dxa"/>
            <w:shd w:val="clear" w:color="auto" w:fill="auto"/>
            <w:vAlign w:val="center"/>
          </w:tcPr>
          <w:p w:rsidR="00A55728" w:rsidRPr="00A55728" w:rsidRDefault="00A55728" w:rsidP="003E3FEE">
            <w:pPr>
              <w:jc w:val="center"/>
              <w:rPr>
                <w:b/>
                <w:sz w:val="24"/>
                <w:szCs w:val="24"/>
              </w:rPr>
            </w:pPr>
            <w:r w:rsidRPr="00A55728">
              <w:rPr>
                <w:b/>
                <w:sz w:val="24"/>
                <w:szCs w:val="24"/>
              </w:rPr>
              <w:t>24</w:t>
            </w:r>
            <w:r>
              <w:rPr>
                <w:b/>
                <w:sz w:val="24"/>
                <w:szCs w:val="24"/>
              </w:rPr>
              <w:t>.</w:t>
            </w:r>
            <w:r w:rsidRPr="00A55728">
              <w:rPr>
                <w:b/>
                <w:sz w:val="24"/>
                <w:szCs w:val="24"/>
              </w:rPr>
              <w:t>170</w:t>
            </w:r>
          </w:p>
        </w:tc>
        <w:tc>
          <w:tcPr>
            <w:tcW w:w="3600" w:type="dxa"/>
            <w:shd w:val="clear" w:color="auto" w:fill="auto"/>
            <w:vAlign w:val="center"/>
          </w:tcPr>
          <w:p w:rsidR="00A55728" w:rsidRPr="00A55728" w:rsidRDefault="00A55728" w:rsidP="003E3FEE">
            <w:pPr>
              <w:jc w:val="center"/>
              <w:rPr>
                <w:b/>
                <w:sz w:val="24"/>
                <w:szCs w:val="24"/>
              </w:rPr>
            </w:pPr>
            <w:r w:rsidRPr="00A55728">
              <w:rPr>
                <w:b/>
                <w:sz w:val="24"/>
                <w:szCs w:val="24"/>
              </w:rPr>
              <w:t>25</w:t>
            </w:r>
            <w:r>
              <w:rPr>
                <w:b/>
                <w:sz w:val="24"/>
                <w:szCs w:val="24"/>
              </w:rPr>
              <w:t>.</w:t>
            </w:r>
            <w:r w:rsidRPr="00A55728">
              <w:rPr>
                <w:b/>
                <w:sz w:val="24"/>
                <w:szCs w:val="24"/>
              </w:rPr>
              <w:t>227</w:t>
            </w:r>
          </w:p>
        </w:tc>
      </w:tr>
    </w:tbl>
    <w:p w:rsidR="00E32EE5" w:rsidRPr="00E32EE5" w:rsidRDefault="00E32EE5" w:rsidP="00A77970">
      <w:pPr>
        <w:jc w:val="both"/>
        <w:rPr>
          <w:rFonts w:eastAsiaTheme="minorHAnsi"/>
          <w:lang w:eastAsia="en-US"/>
        </w:rPr>
      </w:pPr>
    </w:p>
    <w:p w:rsidR="007611EB" w:rsidRDefault="007611EB" w:rsidP="00A77970">
      <w:pPr>
        <w:jc w:val="both"/>
      </w:pPr>
    </w:p>
    <w:p w:rsidR="007611EB" w:rsidRDefault="007611EB" w:rsidP="00A77970">
      <w:pPr>
        <w:ind w:firstLine="708"/>
        <w:jc w:val="both"/>
        <w:rPr>
          <w:b/>
          <w:bCs/>
          <w:iCs/>
        </w:rPr>
      </w:pPr>
      <w:r>
        <w:rPr>
          <w:b/>
          <w:bCs/>
          <w:iCs/>
        </w:rPr>
        <w:t>Î</w:t>
      </w:r>
      <w:r w:rsidRPr="007611EB">
        <w:rPr>
          <w:b/>
          <w:bCs/>
          <w:iCs/>
        </w:rPr>
        <w:t>nvățământul universitar</w:t>
      </w:r>
    </w:p>
    <w:p w:rsidR="007611EB" w:rsidRDefault="007611EB" w:rsidP="00AD061C">
      <w:pPr>
        <w:ind w:firstLine="708"/>
        <w:jc w:val="both"/>
        <w:rPr>
          <w:bCs/>
          <w:iCs/>
        </w:rPr>
      </w:pPr>
      <w:r>
        <w:rPr>
          <w:bCs/>
          <w:iCs/>
        </w:rPr>
        <w:t>M</w:t>
      </w:r>
      <w:r w:rsidRPr="008A5875">
        <w:rPr>
          <w:bCs/>
          <w:iCs/>
        </w:rPr>
        <w:t xml:space="preserve">unicipiul Bucureşti este cel mai mare centru universitar din ţară, </w:t>
      </w:r>
      <w:r w:rsidR="00AD061C" w:rsidRPr="00FE1A91">
        <w:rPr>
          <w:bCs/>
          <w:iCs/>
        </w:rPr>
        <w:t>concentrând peste 30% din numărul de facultăţi şi personal didactic. În anul universitar 2017-2018 numărul instituţiilor de învăţământ superior era de 32 de unităţi, în care erau înscrişi 127921 studenţi,  majoritatea studenţilor optând pentru facultăţi cu specializări din profilele universitar (filologie, pedagogie, matematică-fizică etc), economic sau tehnic.</w:t>
      </w:r>
    </w:p>
    <w:p w:rsidR="00AD061C" w:rsidRDefault="00AD061C" w:rsidP="00AD061C">
      <w:pPr>
        <w:ind w:firstLine="708"/>
        <w:jc w:val="both"/>
      </w:pPr>
    </w:p>
    <w:p w:rsidR="005C57E2" w:rsidRDefault="005C57E2" w:rsidP="00A77970">
      <w:pPr>
        <w:pStyle w:val="ListParagraph"/>
        <w:numPr>
          <w:ilvl w:val="0"/>
          <w:numId w:val="4"/>
        </w:numPr>
        <w:jc w:val="both"/>
      </w:pPr>
      <w:r>
        <w:t>Cultură</w:t>
      </w:r>
    </w:p>
    <w:p w:rsidR="0049267E" w:rsidRDefault="0049267E" w:rsidP="00A77970">
      <w:pPr>
        <w:jc w:val="both"/>
      </w:pPr>
    </w:p>
    <w:p w:rsidR="0049267E" w:rsidRPr="00565C64" w:rsidRDefault="0049267E" w:rsidP="00A77970">
      <w:pPr>
        <w:jc w:val="both"/>
      </w:pPr>
      <w:r>
        <w:tab/>
      </w:r>
      <w:r w:rsidRPr="00565C64">
        <w:t>Între anii 1852 - 1888 s-au înfiinţat unele dintre cele mai importante instituţii culturale ale vremii, considerate şi în prezent repere ale vieţii culturale româneşti. Dintre acestea amintim: Teatrul Naţional, Universitatea, Conservatorul de Muzică şi Declamaţiune, Filarmonica Română, Academia Română, Ateneul Român.</w:t>
      </w:r>
    </w:p>
    <w:p w:rsidR="00565C64" w:rsidRDefault="0049267E" w:rsidP="00565C64">
      <w:pPr>
        <w:jc w:val="both"/>
      </w:pPr>
      <w:r w:rsidRPr="00565C64">
        <w:tab/>
      </w:r>
      <w:r w:rsidR="00565C64" w:rsidRPr="00565C64">
        <w:t>La începutul anului 2018, în Bucureşti erau deschise publicului 40 de muzee, din care amintim: Muzeul Naţional</w:t>
      </w:r>
      <w:r w:rsidR="00565C64">
        <w:t xml:space="preserve"> de Artă înfiinţat în anul 1948 în Casa Golescu, Muzeul de Istorie şi Artă al Municipiului Bucureşti adăpostit în Palatul Şuţu şi redat în circuitul public în anul 1959, Muzeul Satului înfiinţat în anul 1936 de Prof. Dimitrie Gusti, Muzeul Ţăranului Român înfiinţat în anul 1990, Muzeul Naţional de Istorie Naturală Grigore Antipa înfiinţat în anul 1908, Muzeul Militar Naţional înfiinţat în anul 1914, Muzeul Cotroceni.</w:t>
      </w:r>
    </w:p>
    <w:p w:rsidR="00197446" w:rsidRDefault="00565C64" w:rsidP="00565C64">
      <w:pPr>
        <w:jc w:val="both"/>
      </w:pPr>
      <w:r>
        <w:t>Tot aici, la începutul anului 2018, funcţionau 43 de instituţii şi companii de spectacol sau concerte, ocupând locul I în ierarhia naţională. Din acestea, putem enumera: 13 teatre dramatice, 1 teatru de păpuşi şi marionete, 2 teatre muzicale de estradă şi operetă, 4 filarmonici şi orchestre simfonice, 19 ansambluri artistice, 1 circ şi 2 opere.</w:t>
      </w:r>
    </w:p>
    <w:p w:rsidR="00565C64" w:rsidRDefault="00565C64" w:rsidP="00565C64">
      <w:pPr>
        <w:jc w:val="both"/>
      </w:pPr>
    </w:p>
    <w:p w:rsidR="00756F46" w:rsidRDefault="007611EB" w:rsidP="00A77970">
      <w:pPr>
        <w:jc w:val="both"/>
        <w:rPr>
          <w:b/>
        </w:rPr>
      </w:pPr>
      <w:r>
        <w:rPr>
          <w:b/>
          <w:kern w:val="28"/>
          <w:lang w:val="en-US" w:eastAsia="en-US"/>
        </w:rPr>
        <w:t>P</w:t>
      </w:r>
      <w:r w:rsidRPr="001A0ECE">
        <w:rPr>
          <w:b/>
          <w:kern w:val="28"/>
          <w:lang w:val="en-US" w:eastAsia="en-US"/>
        </w:rPr>
        <w:t xml:space="preserve">rincipalele realizări </w:t>
      </w:r>
      <w:r>
        <w:rPr>
          <w:b/>
          <w:kern w:val="28"/>
          <w:lang w:val="en-US" w:eastAsia="en-US"/>
        </w:rPr>
        <w:t xml:space="preserve">ale </w:t>
      </w:r>
      <w:r w:rsidRPr="00756F46">
        <w:rPr>
          <w:b/>
        </w:rPr>
        <w:t>Direcți</w:t>
      </w:r>
      <w:r>
        <w:rPr>
          <w:b/>
        </w:rPr>
        <w:t>ei</w:t>
      </w:r>
      <w:r w:rsidRPr="00756F46">
        <w:rPr>
          <w:b/>
        </w:rPr>
        <w:t xml:space="preserve"> </w:t>
      </w:r>
      <w:r>
        <w:rPr>
          <w:b/>
        </w:rPr>
        <w:t>p</w:t>
      </w:r>
      <w:r w:rsidRPr="00756F46">
        <w:rPr>
          <w:b/>
        </w:rPr>
        <w:t xml:space="preserve">entru Cultură </w:t>
      </w:r>
      <w:r>
        <w:rPr>
          <w:b/>
        </w:rPr>
        <w:t>a</w:t>
      </w:r>
      <w:r w:rsidRPr="00756F46">
        <w:rPr>
          <w:b/>
        </w:rPr>
        <w:t xml:space="preserve"> Municipiului București</w:t>
      </w:r>
      <w:r>
        <w:rPr>
          <w:b/>
        </w:rPr>
        <w:t xml:space="preserve"> </w:t>
      </w:r>
      <w:r w:rsidRPr="003169FC">
        <w:t>(</w:t>
      </w:r>
      <w:r w:rsidR="003169FC" w:rsidRPr="003169FC">
        <w:t>D.C.M.B</w:t>
      </w:r>
      <w:r w:rsidR="009B08B1">
        <w:t>.</w:t>
      </w:r>
      <w:r w:rsidR="003169FC" w:rsidRPr="003169FC">
        <w:t>)</w:t>
      </w:r>
    </w:p>
    <w:p w:rsidR="003169FC" w:rsidRPr="001A0ECE" w:rsidRDefault="003169FC" w:rsidP="00A77970">
      <w:pPr>
        <w:ind w:left="142"/>
        <w:jc w:val="center"/>
        <w:rPr>
          <w:b/>
          <w:kern w:val="28"/>
          <w:lang w:val="en-US" w:eastAsia="en-US"/>
        </w:rPr>
      </w:pPr>
    </w:p>
    <w:p w:rsidR="00FA7658" w:rsidRPr="00FA7658" w:rsidRDefault="00FA7658" w:rsidP="00FA7658">
      <w:pPr>
        <w:tabs>
          <w:tab w:val="left" w:pos="1890"/>
        </w:tabs>
        <w:jc w:val="both"/>
        <w:rPr>
          <w:b/>
        </w:rPr>
      </w:pPr>
      <w:r w:rsidRPr="00FA7658">
        <w:rPr>
          <w:b/>
        </w:rPr>
        <w:t>Compartimentul Patrimoniu Cultural național mobil și imaterial</w:t>
      </w:r>
    </w:p>
    <w:p w:rsidR="00FA7658" w:rsidRPr="00FA7658" w:rsidRDefault="00FA7658" w:rsidP="00FA7658">
      <w:pPr>
        <w:tabs>
          <w:tab w:val="left" w:pos="1890"/>
        </w:tabs>
        <w:jc w:val="both"/>
      </w:pPr>
    </w:p>
    <w:tbl>
      <w:tblPr>
        <w:tblStyle w:val="TableGrid16"/>
        <w:tblW w:w="0" w:type="auto"/>
        <w:tblInd w:w="108" w:type="dxa"/>
        <w:tblLook w:val="04A0"/>
      </w:tblPr>
      <w:tblGrid>
        <w:gridCol w:w="8548"/>
        <w:gridCol w:w="1680"/>
      </w:tblGrid>
      <w:tr w:rsidR="00FA7658" w:rsidRPr="00FA7658" w:rsidTr="00FA7658">
        <w:trPr>
          <w:trHeight w:val="316"/>
        </w:trPr>
        <w:tc>
          <w:tcPr>
            <w:tcW w:w="8730" w:type="dxa"/>
          </w:tcPr>
          <w:p w:rsidR="00FA7658" w:rsidRPr="00FA7658" w:rsidRDefault="00FA7658" w:rsidP="00FA7658">
            <w:pPr>
              <w:tabs>
                <w:tab w:val="left" w:pos="1890"/>
              </w:tabs>
              <w:jc w:val="both"/>
            </w:pPr>
            <w:r w:rsidRPr="00FA7658">
              <w:t>Certificate de export definitive-bunuri culturale mobile</w:t>
            </w:r>
          </w:p>
        </w:tc>
        <w:tc>
          <w:tcPr>
            <w:tcW w:w="1710" w:type="dxa"/>
            <w:vAlign w:val="center"/>
          </w:tcPr>
          <w:p w:rsidR="00FA7658" w:rsidRPr="00FA7658" w:rsidRDefault="00FA7658" w:rsidP="00FA7658">
            <w:pPr>
              <w:jc w:val="right"/>
              <w:rPr>
                <w:b/>
              </w:rPr>
            </w:pPr>
            <w:r w:rsidRPr="00FA7658">
              <w:rPr>
                <w:b/>
              </w:rPr>
              <w:t>855</w:t>
            </w:r>
          </w:p>
        </w:tc>
      </w:tr>
      <w:tr w:rsidR="00FA7658" w:rsidRPr="00FA7658" w:rsidTr="00FA7658">
        <w:tc>
          <w:tcPr>
            <w:tcW w:w="8730" w:type="dxa"/>
          </w:tcPr>
          <w:p w:rsidR="00FA7658" w:rsidRPr="00FA7658" w:rsidRDefault="00FA7658" w:rsidP="00FA7658">
            <w:pPr>
              <w:tabs>
                <w:tab w:val="left" w:pos="1890"/>
              </w:tabs>
              <w:jc w:val="both"/>
            </w:pPr>
            <w:r w:rsidRPr="00FA7658">
              <w:t>Certificate de export temporare – bunuri culturale mobile</w:t>
            </w:r>
          </w:p>
        </w:tc>
        <w:tc>
          <w:tcPr>
            <w:tcW w:w="1710" w:type="dxa"/>
            <w:vAlign w:val="center"/>
          </w:tcPr>
          <w:p w:rsidR="00FA7658" w:rsidRPr="00FA7658" w:rsidRDefault="00FA7658" w:rsidP="00FA7658">
            <w:pPr>
              <w:jc w:val="right"/>
              <w:rPr>
                <w:b/>
              </w:rPr>
            </w:pPr>
            <w:r w:rsidRPr="00FA7658">
              <w:rPr>
                <w:b/>
              </w:rPr>
              <w:t>25</w:t>
            </w:r>
          </w:p>
        </w:tc>
      </w:tr>
      <w:tr w:rsidR="00FA7658" w:rsidRPr="00FA7658" w:rsidTr="00FA7658">
        <w:tc>
          <w:tcPr>
            <w:tcW w:w="8730" w:type="dxa"/>
          </w:tcPr>
          <w:p w:rsidR="00FA7658" w:rsidRPr="00FA7658" w:rsidRDefault="00FA7658" w:rsidP="00FA7658">
            <w:pPr>
              <w:tabs>
                <w:tab w:val="left" w:pos="1890"/>
              </w:tabs>
              <w:jc w:val="both"/>
            </w:pPr>
            <w:r w:rsidRPr="00FA7658">
              <w:t>Clasări bunuri culturale mobile</w:t>
            </w:r>
          </w:p>
        </w:tc>
        <w:tc>
          <w:tcPr>
            <w:tcW w:w="1710" w:type="dxa"/>
            <w:vAlign w:val="center"/>
          </w:tcPr>
          <w:p w:rsidR="00FA7658" w:rsidRPr="00FA7658" w:rsidRDefault="00FA7658" w:rsidP="00FA7658">
            <w:pPr>
              <w:jc w:val="right"/>
              <w:rPr>
                <w:b/>
              </w:rPr>
            </w:pPr>
            <w:r w:rsidRPr="00FA7658">
              <w:rPr>
                <w:b/>
              </w:rPr>
              <w:t>37</w:t>
            </w:r>
          </w:p>
        </w:tc>
      </w:tr>
      <w:tr w:rsidR="00FA7658" w:rsidRPr="00FA7658" w:rsidTr="00FA7658">
        <w:tc>
          <w:tcPr>
            <w:tcW w:w="8730" w:type="dxa"/>
          </w:tcPr>
          <w:p w:rsidR="00FA7658" w:rsidRPr="00FA7658" w:rsidRDefault="00FA7658" w:rsidP="00FA7658">
            <w:pPr>
              <w:tabs>
                <w:tab w:val="left" w:pos="1890"/>
              </w:tabs>
              <w:jc w:val="both"/>
            </w:pPr>
            <w:r w:rsidRPr="00FA7658">
              <w:t>Preemțiuni bunuri culturale mobile</w:t>
            </w:r>
          </w:p>
        </w:tc>
        <w:tc>
          <w:tcPr>
            <w:tcW w:w="1710" w:type="dxa"/>
            <w:vAlign w:val="center"/>
          </w:tcPr>
          <w:p w:rsidR="00FA7658" w:rsidRPr="00FA7658" w:rsidRDefault="00FA7658" w:rsidP="00FA7658">
            <w:pPr>
              <w:jc w:val="right"/>
              <w:rPr>
                <w:b/>
              </w:rPr>
            </w:pPr>
            <w:r w:rsidRPr="00FA7658">
              <w:rPr>
                <w:b/>
              </w:rPr>
              <w:t>15</w:t>
            </w:r>
          </w:p>
        </w:tc>
      </w:tr>
      <w:tr w:rsidR="00FA7658" w:rsidRPr="00FA7658" w:rsidTr="00FA7658">
        <w:tc>
          <w:tcPr>
            <w:tcW w:w="8730" w:type="dxa"/>
          </w:tcPr>
          <w:p w:rsidR="00FA7658" w:rsidRPr="00FA7658" w:rsidRDefault="00FA7658" w:rsidP="00FA7658">
            <w:pPr>
              <w:tabs>
                <w:tab w:val="left" w:pos="1890"/>
              </w:tabs>
              <w:jc w:val="both"/>
            </w:pPr>
            <w:r w:rsidRPr="00FA7658">
              <w:t>Control agenți economici care comercializează bunuri culturale mobile</w:t>
            </w:r>
          </w:p>
        </w:tc>
        <w:tc>
          <w:tcPr>
            <w:tcW w:w="1710" w:type="dxa"/>
            <w:vAlign w:val="center"/>
          </w:tcPr>
          <w:p w:rsidR="00FA7658" w:rsidRPr="00FA7658" w:rsidRDefault="00FA7658" w:rsidP="00FA7658">
            <w:pPr>
              <w:jc w:val="right"/>
              <w:rPr>
                <w:b/>
              </w:rPr>
            </w:pPr>
            <w:r w:rsidRPr="00FA7658">
              <w:rPr>
                <w:b/>
              </w:rPr>
              <w:t>9</w:t>
            </w:r>
          </w:p>
        </w:tc>
      </w:tr>
      <w:tr w:rsidR="00FA7658" w:rsidRPr="00FA7658" w:rsidTr="00FA7658">
        <w:tc>
          <w:tcPr>
            <w:tcW w:w="8730" w:type="dxa"/>
          </w:tcPr>
          <w:p w:rsidR="00FA7658" w:rsidRPr="00FA7658" w:rsidRDefault="00FA7658" w:rsidP="00FA7658">
            <w:pPr>
              <w:tabs>
                <w:tab w:val="left" w:pos="1890"/>
              </w:tabs>
              <w:jc w:val="both"/>
              <w:rPr>
                <w:spacing w:val="-4"/>
              </w:rPr>
            </w:pPr>
            <w:r w:rsidRPr="00FA7658">
              <w:rPr>
                <w:spacing w:val="-4"/>
              </w:rPr>
              <w:t>Autorizare – înființare agenți economici care comercializează bunuri culturale mobile</w:t>
            </w:r>
          </w:p>
        </w:tc>
        <w:tc>
          <w:tcPr>
            <w:tcW w:w="1710" w:type="dxa"/>
            <w:vAlign w:val="center"/>
          </w:tcPr>
          <w:p w:rsidR="00FA7658" w:rsidRPr="00FA7658" w:rsidRDefault="00FA7658" w:rsidP="00FA7658">
            <w:pPr>
              <w:jc w:val="right"/>
              <w:rPr>
                <w:b/>
              </w:rPr>
            </w:pPr>
            <w:r w:rsidRPr="00FA7658">
              <w:rPr>
                <w:b/>
              </w:rPr>
              <w:t>11</w:t>
            </w:r>
          </w:p>
        </w:tc>
      </w:tr>
    </w:tbl>
    <w:p w:rsidR="00FA7658" w:rsidRPr="00FA7658" w:rsidRDefault="00FA7658" w:rsidP="00FA7658">
      <w:pPr>
        <w:jc w:val="both"/>
      </w:pPr>
    </w:p>
    <w:p w:rsidR="00FA7658" w:rsidRPr="00FA7658" w:rsidRDefault="00FA7658" w:rsidP="00FA7658">
      <w:pPr>
        <w:jc w:val="both"/>
      </w:pPr>
      <w:r w:rsidRPr="00FA7658">
        <w:rPr>
          <w:b/>
        </w:rPr>
        <w:t>TOTAL LUCRĂRI  COMPARTIMENT: 952</w:t>
      </w:r>
      <w:r w:rsidRPr="00FA7658">
        <w:t xml:space="preserve"> - </w:t>
      </w:r>
      <w:r w:rsidRPr="00FA7658">
        <w:rPr>
          <w:b/>
        </w:rPr>
        <w:t>realizate de 1 angajat</w:t>
      </w:r>
    </w:p>
    <w:p w:rsidR="00FA7658" w:rsidRPr="00FA7658" w:rsidRDefault="00FA7658" w:rsidP="00FA7658">
      <w:pPr>
        <w:jc w:val="both"/>
      </w:pPr>
    </w:p>
    <w:p w:rsidR="00FA7658" w:rsidRPr="00FA7658" w:rsidRDefault="00FA7658" w:rsidP="00FA7658">
      <w:pPr>
        <w:tabs>
          <w:tab w:val="left" w:pos="1890"/>
        </w:tabs>
        <w:jc w:val="both"/>
        <w:rPr>
          <w:b/>
        </w:rPr>
      </w:pPr>
      <w:r w:rsidRPr="00FA7658">
        <w:rPr>
          <w:b/>
        </w:rPr>
        <w:t>Compartimentul Monumente istorice și arheologie</w:t>
      </w:r>
    </w:p>
    <w:p w:rsidR="00FA7658" w:rsidRPr="00FA7658" w:rsidRDefault="00FA7658" w:rsidP="00FA7658">
      <w:pPr>
        <w:tabs>
          <w:tab w:val="left" w:pos="1890"/>
        </w:tabs>
        <w:jc w:val="both"/>
        <w:rPr>
          <w:b/>
        </w:rPr>
      </w:pPr>
    </w:p>
    <w:p w:rsidR="00FA7658" w:rsidRPr="00FA7658" w:rsidRDefault="00FA7658" w:rsidP="00FA7658">
      <w:pPr>
        <w:tabs>
          <w:tab w:val="left" w:pos="1890"/>
        </w:tabs>
        <w:jc w:val="both"/>
        <w:rPr>
          <w:b/>
        </w:rPr>
      </w:pPr>
      <w:r>
        <w:rPr>
          <w:b/>
          <w:i/>
        </w:rPr>
        <w:t xml:space="preserve"> </w:t>
      </w:r>
      <w:r w:rsidRPr="00FA7658">
        <w:rPr>
          <w:b/>
          <w:i/>
        </w:rPr>
        <w:t xml:space="preserve">Numărul Total al Întrunirilor Membrilor CZMI </w:t>
      </w:r>
      <w:r>
        <w:rPr>
          <w:b/>
          <w:i/>
        </w:rPr>
        <w:t xml:space="preserve">București-Ilfov-Giurigu -  </w:t>
      </w:r>
      <w:r w:rsidRPr="00FA7658">
        <w:rPr>
          <w:b/>
          <w:i/>
        </w:rPr>
        <w:t>30</w:t>
      </w:r>
    </w:p>
    <w:p w:rsidR="00FA7658" w:rsidRPr="00FA7658" w:rsidRDefault="00FA7658" w:rsidP="00FA7658">
      <w:pPr>
        <w:tabs>
          <w:tab w:val="left" w:pos="1890"/>
        </w:tabs>
        <w:jc w:val="both"/>
        <w:rPr>
          <w:b/>
        </w:rPr>
      </w:pPr>
    </w:p>
    <w:p w:rsidR="00FA7658" w:rsidRPr="00FA7658" w:rsidRDefault="00FA7658" w:rsidP="00980D72">
      <w:pPr>
        <w:numPr>
          <w:ilvl w:val="0"/>
          <w:numId w:val="30"/>
        </w:numPr>
        <w:tabs>
          <w:tab w:val="left" w:pos="1260"/>
        </w:tabs>
        <w:ind w:firstLine="0"/>
        <w:contextualSpacing/>
        <w:jc w:val="both"/>
        <w:rPr>
          <w:b/>
        </w:rPr>
      </w:pPr>
      <w:r w:rsidRPr="00FA7658">
        <w:rPr>
          <w:b/>
        </w:rPr>
        <w:t>Activitatea de Avizare</w:t>
      </w:r>
    </w:p>
    <w:p w:rsidR="00FA7658" w:rsidRPr="00FA7658" w:rsidRDefault="00FA7658" w:rsidP="00FA7658">
      <w:pPr>
        <w:tabs>
          <w:tab w:val="left" w:pos="1890"/>
        </w:tabs>
        <w:jc w:val="both"/>
        <w:rPr>
          <w:b/>
        </w:rPr>
      </w:pPr>
    </w:p>
    <w:tbl>
      <w:tblPr>
        <w:tblStyle w:val="TableGrid16"/>
        <w:tblW w:w="0" w:type="auto"/>
        <w:tblInd w:w="108" w:type="dxa"/>
        <w:tblLook w:val="04A0"/>
      </w:tblPr>
      <w:tblGrid>
        <w:gridCol w:w="8545"/>
        <w:gridCol w:w="1683"/>
      </w:tblGrid>
      <w:tr w:rsidR="00FA7658" w:rsidRPr="00FA7658" w:rsidTr="00FA7658">
        <w:tc>
          <w:tcPr>
            <w:tcW w:w="8730" w:type="dxa"/>
          </w:tcPr>
          <w:p w:rsidR="00FA7658" w:rsidRPr="00FA7658" w:rsidRDefault="00FA7658" w:rsidP="00FA7658">
            <w:pPr>
              <w:tabs>
                <w:tab w:val="left" w:pos="1890"/>
              </w:tabs>
              <w:jc w:val="both"/>
            </w:pPr>
            <w:r w:rsidRPr="00FA7658">
              <w:t xml:space="preserve">Dosare de avizare a intervențiilor pe monumente istorice, în zone de protecție a monumentelor istorice și în zonele construite protejate </w:t>
            </w:r>
            <w:r w:rsidRPr="00FA7658">
              <w:rPr>
                <w:b/>
              </w:rPr>
              <w:t>analizate</w:t>
            </w:r>
            <w:r w:rsidRPr="00FA7658">
              <w:t xml:space="preserve"> de către Comizia Zonală a Monumentelor Istorice a Municipiului București – Ilfov – Giurgiu  </w:t>
            </w:r>
          </w:p>
        </w:tc>
        <w:tc>
          <w:tcPr>
            <w:tcW w:w="1710" w:type="dxa"/>
            <w:vAlign w:val="center"/>
          </w:tcPr>
          <w:p w:rsidR="00FA7658" w:rsidRPr="00FA7658" w:rsidRDefault="00FA7658" w:rsidP="00FA7658">
            <w:pPr>
              <w:tabs>
                <w:tab w:val="left" w:pos="1890"/>
              </w:tabs>
              <w:jc w:val="right"/>
              <w:rPr>
                <w:b/>
              </w:rPr>
            </w:pPr>
            <w:r w:rsidRPr="00FA7658">
              <w:rPr>
                <w:b/>
              </w:rPr>
              <w:t>1883</w:t>
            </w:r>
          </w:p>
        </w:tc>
      </w:tr>
      <w:tr w:rsidR="00FA7658" w:rsidRPr="00FA7658" w:rsidTr="00FA7658">
        <w:tc>
          <w:tcPr>
            <w:tcW w:w="8730" w:type="dxa"/>
          </w:tcPr>
          <w:p w:rsidR="00FA7658" w:rsidRPr="00FA7658" w:rsidRDefault="00FA7658" w:rsidP="00FA7658">
            <w:pPr>
              <w:tabs>
                <w:tab w:val="left" w:pos="1890"/>
              </w:tabs>
              <w:jc w:val="both"/>
            </w:pPr>
            <w:r w:rsidRPr="00FA7658">
              <w:t xml:space="preserve">Avize/Dosare de avizare a intervențiilor pe monumente istorice, în zone de protecție a monumentelor istorice și în zonele construite protejate </w:t>
            </w:r>
            <w:r w:rsidRPr="00FA7658">
              <w:rPr>
                <w:b/>
              </w:rPr>
              <w:t xml:space="preserve">avizate </w:t>
            </w:r>
            <w:r w:rsidRPr="00FA7658">
              <w:t xml:space="preserve">de către Comizia Zonală a Monumentelor Istorice a Municipiului București – Ilfov – Giurgiu  </w:t>
            </w:r>
          </w:p>
        </w:tc>
        <w:tc>
          <w:tcPr>
            <w:tcW w:w="1710" w:type="dxa"/>
            <w:vAlign w:val="center"/>
          </w:tcPr>
          <w:p w:rsidR="00FA7658" w:rsidRPr="00FA7658" w:rsidRDefault="00FA7658" w:rsidP="00FA7658">
            <w:pPr>
              <w:tabs>
                <w:tab w:val="left" w:pos="1890"/>
              </w:tabs>
              <w:jc w:val="right"/>
              <w:rPr>
                <w:b/>
              </w:rPr>
            </w:pPr>
            <w:r w:rsidRPr="00FA7658">
              <w:rPr>
                <w:b/>
              </w:rPr>
              <w:t>1394</w:t>
            </w:r>
          </w:p>
        </w:tc>
      </w:tr>
      <w:tr w:rsidR="00FA7658" w:rsidRPr="00FA7658" w:rsidTr="00FA7658">
        <w:tc>
          <w:tcPr>
            <w:tcW w:w="8730" w:type="dxa"/>
          </w:tcPr>
          <w:p w:rsidR="00FA7658" w:rsidRPr="00FA7658" w:rsidRDefault="00FA7658" w:rsidP="00FA7658">
            <w:pPr>
              <w:tabs>
                <w:tab w:val="left" w:pos="1890"/>
              </w:tabs>
              <w:jc w:val="both"/>
            </w:pPr>
            <w:r w:rsidRPr="00FA7658">
              <w:t xml:space="preserve">Dosare de avizare a intervențiilor pe monumente istorice, în zone de protecție a monumentelor istorice și în zonele construite protejate </w:t>
            </w:r>
            <w:r w:rsidRPr="00FA7658">
              <w:rPr>
                <w:b/>
              </w:rPr>
              <w:t xml:space="preserve">respinse </w:t>
            </w:r>
            <w:r w:rsidRPr="00FA7658">
              <w:t xml:space="preserve">de către Comizia Zonală a Monumentelor Istorice a Municipiului București – Ilfov – Giurgiu  </w:t>
            </w:r>
          </w:p>
        </w:tc>
        <w:tc>
          <w:tcPr>
            <w:tcW w:w="1710" w:type="dxa"/>
            <w:vAlign w:val="center"/>
          </w:tcPr>
          <w:p w:rsidR="00FA7658" w:rsidRPr="00FA7658" w:rsidRDefault="00FA7658" w:rsidP="00FA7658">
            <w:pPr>
              <w:tabs>
                <w:tab w:val="left" w:pos="1890"/>
              </w:tabs>
              <w:jc w:val="right"/>
              <w:rPr>
                <w:b/>
              </w:rPr>
            </w:pPr>
            <w:r w:rsidRPr="00FA7658">
              <w:rPr>
                <w:b/>
              </w:rPr>
              <w:t>489</w:t>
            </w:r>
          </w:p>
        </w:tc>
      </w:tr>
    </w:tbl>
    <w:p w:rsidR="00FA7658" w:rsidRDefault="00FA7658" w:rsidP="00FA7658">
      <w:pPr>
        <w:jc w:val="both"/>
      </w:pPr>
    </w:p>
    <w:p w:rsidR="00FA7658" w:rsidRPr="00FA7658" w:rsidRDefault="00FA7658" w:rsidP="00FA7658">
      <w:pPr>
        <w:jc w:val="both"/>
      </w:pPr>
      <w:r w:rsidRPr="00FA7658">
        <w:rPr>
          <w:noProof/>
        </w:rPr>
        <w:drawing>
          <wp:inline distT="0" distB="0" distL="0" distR="0">
            <wp:extent cx="6629400" cy="2038350"/>
            <wp:effectExtent l="0" t="0" r="0" b="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A7658" w:rsidRPr="00FA7658" w:rsidRDefault="00FA7658" w:rsidP="00FA7658">
      <w:pPr>
        <w:jc w:val="both"/>
      </w:pPr>
    </w:p>
    <w:tbl>
      <w:tblPr>
        <w:tblStyle w:val="TableGrid16"/>
        <w:tblW w:w="0" w:type="auto"/>
        <w:tblLook w:val="04A0"/>
      </w:tblPr>
      <w:tblGrid>
        <w:gridCol w:w="9322"/>
        <w:gridCol w:w="778"/>
      </w:tblGrid>
      <w:tr w:rsidR="00FA7658" w:rsidRPr="00FA7658" w:rsidTr="00FA7658">
        <w:tc>
          <w:tcPr>
            <w:tcW w:w="9322" w:type="dxa"/>
          </w:tcPr>
          <w:p w:rsidR="00FA7658" w:rsidRPr="00FA7658" w:rsidRDefault="00FA7658" w:rsidP="00FA7658">
            <w:pPr>
              <w:jc w:val="both"/>
            </w:pPr>
            <w:r w:rsidRPr="00FA7658">
              <w:t>Avize/Dosare de avizare a intervențiilor pe monumente istorice, în zone de protecție a monumentelor istorice și în zonele construite protejate care afectează în mică măsură substanța istorică și/sau sunt temporare, pentru care s-a emis aviz de către DCMB fără consultarea CZMI</w:t>
            </w:r>
          </w:p>
        </w:tc>
        <w:tc>
          <w:tcPr>
            <w:tcW w:w="778" w:type="dxa"/>
            <w:vAlign w:val="center"/>
          </w:tcPr>
          <w:p w:rsidR="00FA7658" w:rsidRPr="00FA7658" w:rsidRDefault="00FA7658" w:rsidP="00FA7658">
            <w:pPr>
              <w:jc w:val="right"/>
            </w:pPr>
            <w:r w:rsidRPr="00FA7658">
              <w:t>410</w:t>
            </w:r>
          </w:p>
        </w:tc>
      </w:tr>
    </w:tbl>
    <w:p w:rsidR="00FA7658" w:rsidRPr="00FA7658" w:rsidRDefault="00FA7658" w:rsidP="00FA7658">
      <w:pPr>
        <w:tabs>
          <w:tab w:val="left" w:pos="1890"/>
        </w:tabs>
        <w:jc w:val="both"/>
        <w:rPr>
          <w:b/>
        </w:rPr>
      </w:pPr>
    </w:p>
    <w:p w:rsidR="00FA7658" w:rsidRPr="00FA7658" w:rsidRDefault="00FA7658" w:rsidP="00FA7658">
      <w:pPr>
        <w:tabs>
          <w:tab w:val="left" w:pos="1890"/>
        </w:tabs>
        <w:jc w:val="both"/>
        <w:rPr>
          <w:b/>
        </w:rPr>
      </w:pPr>
      <w:r w:rsidRPr="00FA7658">
        <w:rPr>
          <w:b/>
        </w:rPr>
        <w:t>Total dosare analizate: 2293</w:t>
      </w:r>
    </w:p>
    <w:p w:rsidR="00FA7658" w:rsidRPr="00FA7658" w:rsidRDefault="00FA7658" w:rsidP="00FA7658">
      <w:pPr>
        <w:tabs>
          <w:tab w:val="left" w:pos="1890"/>
        </w:tabs>
        <w:jc w:val="both"/>
        <w:rPr>
          <w:b/>
        </w:rPr>
      </w:pPr>
      <w:r w:rsidRPr="00FA7658">
        <w:rPr>
          <w:b/>
        </w:rPr>
        <w:t>Total avize eliberate: 1804</w:t>
      </w:r>
    </w:p>
    <w:p w:rsidR="00FA7658" w:rsidRPr="00FA7658" w:rsidRDefault="00FA7658" w:rsidP="00FA7658">
      <w:pPr>
        <w:tabs>
          <w:tab w:val="left" w:pos="1890"/>
        </w:tabs>
        <w:jc w:val="both"/>
        <w:rPr>
          <w:b/>
        </w:rPr>
      </w:pPr>
    </w:p>
    <w:p w:rsidR="00FA7658" w:rsidRPr="00FA7658" w:rsidRDefault="00FA7658" w:rsidP="00980D72">
      <w:pPr>
        <w:numPr>
          <w:ilvl w:val="0"/>
          <w:numId w:val="30"/>
        </w:numPr>
        <w:tabs>
          <w:tab w:val="left" w:pos="1260"/>
        </w:tabs>
        <w:ind w:firstLine="0"/>
        <w:contextualSpacing/>
        <w:jc w:val="both"/>
        <w:rPr>
          <w:b/>
        </w:rPr>
      </w:pPr>
      <w:r w:rsidRPr="00FA7658">
        <w:rPr>
          <w:b/>
        </w:rPr>
        <w:t>Activitatea de Evidență a Monumentelor Istorice</w:t>
      </w:r>
    </w:p>
    <w:p w:rsidR="00FA7658" w:rsidRPr="00FA7658" w:rsidRDefault="00FA7658" w:rsidP="00FA7658">
      <w:pPr>
        <w:tabs>
          <w:tab w:val="left" w:pos="1890"/>
        </w:tabs>
        <w:ind w:left="720"/>
        <w:contextualSpacing/>
        <w:jc w:val="both"/>
        <w:rPr>
          <w:b/>
        </w:rPr>
      </w:pPr>
    </w:p>
    <w:tbl>
      <w:tblPr>
        <w:tblStyle w:val="TableGrid16"/>
        <w:tblW w:w="0" w:type="auto"/>
        <w:tblInd w:w="108" w:type="dxa"/>
        <w:tblLook w:val="04A0"/>
      </w:tblPr>
      <w:tblGrid>
        <w:gridCol w:w="8987"/>
        <w:gridCol w:w="1241"/>
      </w:tblGrid>
      <w:tr w:rsidR="00FA7658" w:rsidRPr="00FA7658" w:rsidTr="00FA7658">
        <w:tc>
          <w:tcPr>
            <w:tcW w:w="9180" w:type="dxa"/>
          </w:tcPr>
          <w:p w:rsidR="00FA7658" w:rsidRPr="00FA7658" w:rsidRDefault="00FA7658" w:rsidP="00FA7658">
            <w:pPr>
              <w:jc w:val="both"/>
            </w:pPr>
            <w:r w:rsidRPr="00FA7658">
              <w:t xml:space="preserve">Documentații de clasare </w:t>
            </w:r>
          </w:p>
        </w:tc>
        <w:tc>
          <w:tcPr>
            <w:tcW w:w="1260" w:type="dxa"/>
            <w:vAlign w:val="center"/>
          </w:tcPr>
          <w:p w:rsidR="00FA7658" w:rsidRPr="00FA7658" w:rsidRDefault="00FA7658" w:rsidP="00FA7658">
            <w:pPr>
              <w:jc w:val="right"/>
              <w:rPr>
                <w:b/>
              </w:rPr>
            </w:pPr>
            <w:r w:rsidRPr="00FA7658">
              <w:rPr>
                <w:b/>
              </w:rPr>
              <w:t>5</w:t>
            </w:r>
          </w:p>
        </w:tc>
      </w:tr>
      <w:tr w:rsidR="00FA7658" w:rsidRPr="00FA7658" w:rsidTr="00FA7658">
        <w:tc>
          <w:tcPr>
            <w:tcW w:w="9180" w:type="dxa"/>
          </w:tcPr>
          <w:p w:rsidR="00FA7658" w:rsidRPr="00FA7658" w:rsidRDefault="00FA7658" w:rsidP="00FA7658">
            <w:pPr>
              <w:jc w:val="both"/>
            </w:pPr>
            <w:r w:rsidRPr="00FA7658">
              <w:t>Docuemntații de declasare</w:t>
            </w:r>
          </w:p>
        </w:tc>
        <w:tc>
          <w:tcPr>
            <w:tcW w:w="1260" w:type="dxa"/>
            <w:vAlign w:val="center"/>
          </w:tcPr>
          <w:p w:rsidR="00FA7658" w:rsidRPr="00FA7658" w:rsidRDefault="00FA7658" w:rsidP="00FA7658">
            <w:pPr>
              <w:jc w:val="right"/>
              <w:rPr>
                <w:b/>
              </w:rPr>
            </w:pPr>
            <w:r w:rsidRPr="00FA7658">
              <w:rPr>
                <w:b/>
              </w:rPr>
              <w:t>6</w:t>
            </w:r>
          </w:p>
        </w:tc>
      </w:tr>
      <w:tr w:rsidR="00FA7658" w:rsidRPr="00FA7658" w:rsidTr="00FA7658">
        <w:tc>
          <w:tcPr>
            <w:tcW w:w="9180" w:type="dxa"/>
          </w:tcPr>
          <w:p w:rsidR="00FA7658" w:rsidRPr="00FA7658" w:rsidRDefault="00FA7658" w:rsidP="00FA7658">
            <w:pPr>
              <w:jc w:val="both"/>
            </w:pPr>
            <w:r w:rsidRPr="00FA7658">
              <w:t>Preemțiuni</w:t>
            </w:r>
          </w:p>
        </w:tc>
        <w:tc>
          <w:tcPr>
            <w:tcW w:w="1260" w:type="dxa"/>
            <w:vAlign w:val="center"/>
          </w:tcPr>
          <w:p w:rsidR="00FA7658" w:rsidRPr="00FA7658" w:rsidRDefault="00FA7658" w:rsidP="00FA7658">
            <w:pPr>
              <w:jc w:val="right"/>
              <w:rPr>
                <w:b/>
              </w:rPr>
            </w:pPr>
            <w:r w:rsidRPr="00FA7658">
              <w:rPr>
                <w:b/>
              </w:rPr>
              <w:t>331</w:t>
            </w:r>
          </w:p>
        </w:tc>
      </w:tr>
      <w:tr w:rsidR="00FA7658" w:rsidRPr="00FA7658" w:rsidTr="00FA7658">
        <w:trPr>
          <w:trHeight w:val="308"/>
        </w:trPr>
        <w:tc>
          <w:tcPr>
            <w:tcW w:w="9180" w:type="dxa"/>
          </w:tcPr>
          <w:p w:rsidR="00FA7658" w:rsidRPr="00FA7658" w:rsidRDefault="00FA7658" w:rsidP="00FA7658">
            <w:pPr>
              <w:jc w:val="both"/>
            </w:pPr>
            <w:r w:rsidRPr="00FA7658">
              <w:t>Comunicări situație juridică a imobilelor/Statute</w:t>
            </w:r>
          </w:p>
        </w:tc>
        <w:tc>
          <w:tcPr>
            <w:tcW w:w="1260" w:type="dxa"/>
            <w:vAlign w:val="center"/>
          </w:tcPr>
          <w:p w:rsidR="00FA7658" w:rsidRPr="00FA7658" w:rsidRDefault="00FA7658" w:rsidP="00FA7658">
            <w:pPr>
              <w:jc w:val="right"/>
              <w:rPr>
                <w:b/>
              </w:rPr>
            </w:pPr>
            <w:r w:rsidRPr="00FA7658">
              <w:rPr>
                <w:b/>
              </w:rPr>
              <w:t>291</w:t>
            </w:r>
          </w:p>
        </w:tc>
      </w:tr>
      <w:tr w:rsidR="00FA7658" w:rsidRPr="00FA7658" w:rsidTr="00FA7658">
        <w:tc>
          <w:tcPr>
            <w:tcW w:w="9180" w:type="dxa"/>
          </w:tcPr>
          <w:p w:rsidR="00FA7658" w:rsidRPr="00FA7658" w:rsidRDefault="00FA7658" w:rsidP="00FA7658">
            <w:pPr>
              <w:jc w:val="both"/>
            </w:pPr>
            <w:r w:rsidRPr="00FA7658">
              <w:t>Convocări/Participări la recepțiile de finalizare a intervențiilor efectuate asupra monumentelor Istorice</w:t>
            </w:r>
          </w:p>
        </w:tc>
        <w:tc>
          <w:tcPr>
            <w:tcW w:w="1260" w:type="dxa"/>
            <w:vAlign w:val="center"/>
          </w:tcPr>
          <w:p w:rsidR="00FA7658" w:rsidRPr="00FA7658" w:rsidRDefault="00FA7658" w:rsidP="00FA7658">
            <w:pPr>
              <w:jc w:val="right"/>
              <w:rPr>
                <w:b/>
              </w:rPr>
            </w:pPr>
          </w:p>
          <w:p w:rsidR="00FA7658" w:rsidRPr="00FA7658" w:rsidRDefault="00FA7658" w:rsidP="00FA7658">
            <w:pPr>
              <w:jc w:val="right"/>
              <w:rPr>
                <w:b/>
              </w:rPr>
            </w:pPr>
            <w:r w:rsidRPr="00FA7658">
              <w:rPr>
                <w:b/>
              </w:rPr>
              <w:t>23</w:t>
            </w:r>
          </w:p>
        </w:tc>
      </w:tr>
      <w:tr w:rsidR="00FA7658" w:rsidRPr="00FA7658" w:rsidTr="00FA7658">
        <w:tc>
          <w:tcPr>
            <w:tcW w:w="9180" w:type="dxa"/>
          </w:tcPr>
          <w:p w:rsidR="00FA7658" w:rsidRPr="00FA7658" w:rsidRDefault="00FA7658" w:rsidP="00FA7658">
            <w:pPr>
              <w:jc w:val="both"/>
            </w:pPr>
            <w:r w:rsidRPr="00FA7658">
              <w:t>Deplasări/constatări în teren a stării monumentelor istorice</w:t>
            </w:r>
          </w:p>
        </w:tc>
        <w:tc>
          <w:tcPr>
            <w:tcW w:w="1260" w:type="dxa"/>
            <w:vAlign w:val="center"/>
          </w:tcPr>
          <w:p w:rsidR="00FA7658" w:rsidRPr="00FA7658" w:rsidRDefault="00FA7658" w:rsidP="00FA7658">
            <w:pPr>
              <w:jc w:val="right"/>
              <w:rPr>
                <w:b/>
              </w:rPr>
            </w:pPr>
            <w:r w:rsidRPr="00FA7658">
              <w:rPr>
                <w:b/>
              </w:rPr>
              <w:t>5</w:t>
            </w:r>
          </w:p>
        </w:tc>
      </w:tr>
      <w:tr w:rsidR="00FA7658" w:rsidRPr="00FA7658" w:rsidTr="00FA7658">
        <w:tc>
          <w:tcPr>
            <w:tcW w:w="9180" w:type="dxa"/>
          </w:tcPr>
          <w:p w:rsidR="00FA7658" w:rsidRPr="00FA7658" w:rsidRDefault="00FA7658" w:rsidP="00FA7658">
            <w:pPr>
              <w:jc w:val="both"/>
            </w:pPr>
            <w:r w:rsidRPr="00FA7658">
              <w:t xml:space="preserve">Corespondența cu Ministerul Culturii și Identității Naționale                  </w:t>
            </w:r>
          </w:p>
        </w:tc>
        <w:tc>
          <w:tcPr>
            <w:tcW w:w="1260" w:type="dxa"/>
            <w:vAlign w:val="center"/>
          </w:tcPr>
          <w:p w:rsidR="00FA7658" w:rsidRPr="00FA7658" w:rsidRDefault="00FA7658" w:rsidP="00FA7658">
            <w:pPr>
              <w:jc w:val="right"/>
              <w:rPr>
                <w:b/>
              </w:rPr>
            </w:pPr>
            <w:r w:rsidRPr="00FA7658">
              <w:rPr>
                <w:b/>
              </w:rPr>
              <w:t>294</w:t>
            </w:r>
          </w:p>
        </w:tc>
      </w:tr>
      <w:tr w:rsidR="00FA7658" w:rsidRPr="00FA7658" w:rsidTr="00FA7658">
        <w:tc>
          <w:tcPr>
            <w:tcW w:w="9180" w:type="dxa"/>
          </w:tcPr>
          <w:p w:rsidR="00FA7658" w:rsidRPr="00FA7658" w:rsidRDefault="00FA7658" w:rsidP="00FA7658">
            <w:pPr>
              <w:jc w:val="both"/>
            </w:pPr>
            <w:r w:rsidRPr="00FA7658">
              <w:t>Obligații de folosință întocmite</w:t>
            </w:r>
          </w:p>
        </w:tc>
        <w:tc>
          <w:tcPr>
            <w:tcW w:w="1260" w:type="dxa"/>
            <w:vAlign w:val="center"/>
          </w:tcPr>
          <w:p w:rsidR="00FA7658" w:rsidRPr="00FA7658" w:rsidRDefault="00FA7658" w:rsidP="00FA7658">
            <w:pPr>
              <w:jc w:val="right"/>
              <w:rPr>
                <w:b/>
              </w:rPr>
            </w:pPr>
            <w:r w:rsidRPr="00FA7658">
              <w:rPr>
                <w:b/>
              </w:rPr>
              <w:t>34</w:t>
            </w:r>
          </w:p>
        </w:tc>
      </w:tr>
      <w:tr w:rsidR="00FA7658" w:rsidRPr="00FA7658" w:rsidTr="00FA7658">
        <w:tc>
          <w:tcPr>
            <w:tcW w:w="9180" w:type="dxa"/>
          </w:tcPr>
          <w:p w:rsidR="00FA7658" w:rsidRPr="00FA7658" w:rsidRDefault="00FA7658" w:rsidP="00FA7658">
            <w:pPr>
              <w:tabs>
                <w:tab w:val="left" w:pos="1890"/>
              </w:tabs>
              <w:jc w:val="both"/>
              <w:rPr>
                <w:b/>
              </w:rPr>
            </w:pPr>
            <w:r w:rsidRPr="00FA7658">
              <w:rPr>
                <w:b/>
              </w:rPr>
              <w:t xml:space="preserve">Total dosare de evidență </w:t>
            </w:r>
          </w:p>
        </w:tc>
        <w:tc>
          <w:tcPr>
            <w:tcW w:w="1260" w:type="dxa"/>
            <w:vAlign w:val="center"/>
          </w:tcPr>
          <w:p w:rsidR="00FA7658" w:rsidRPr="00FA7658" w:rsidRDefault="00FA7658" w:rsidP="00FA7658">
            <w:pPr>
              <w:jc w:val="right"/>
              <w:rPr>
                <w:b/>
              </w:rPr>
            </w:pPr>
            <w:r w:rsidRPr="00FA7658">
              <w:rPr>
                <w:b/>
              </w:rPr>
              <w:t>989</w:t>
            </w:r>
          </w:p>
        </w:tc>
      </w:tr>
    </w:tbl>
    <w:p w:rsidR="00FA7658" w:rsidRDefault="00FA7658" w:rsidP="00FA7658">
      <w:pPr>
        <w:tabs>
          <w:tab w:val="left" w:pos="1890"/>
        </w:tabs>
        <w:ind w:left="720"/>
        <w:contextualSpacing/>
        <w:jc w:val="both"/>
        <w:rPr>
          <w:b/>
        </w:rPr>
      </w:pPr>
    </w:p>
    <w:p w:rsidR="00FE31A2" w:rsidRPr="00FA7658" w:rsidRDefault="00FE31A2" w:rsidP="00FA7658">
      <w:pPr>
        <w:tabs>
          <w:tab w:val="left" w:pos="1890"/>
        </w:tabs>
        <w:ind w:left="720"/>
        <w:contextualSpacing/>
        <w:jc w:val="both"/>
        <w:rPr>
          <w:b/>
        </w:rPr>
      </w:pPr>
    </w:p>
    <w:p w:rsidR="00D853B3" w:rsidRPr="00D853B3" w:rsidRDefault="00D853B3" w:rsidP="00D853B3">
      <w:pPr>
        <w:tabs>
          <w:tab w:val="left" w:pos="720"/>
          <w:tab w:val="left" w:pos="1170"/>
        </w:tabs>
        <w:contextualSpacing/>
        <w:jc w:val="both"/>
      </w:pPr>
      <w:r>
        <w:tab/>
      </w:r>
      <w:r w:rsidRPr="00D853B3">
        <w:t>Au fost avizate 19 dosare pentru intervenții pe monumente de for public</w:t>
      </w:r>
      <w:r>
        <w:t xml:space="preserve"> și</w:t>
      </w:r>
      <w:r w:rsidRPr="00D853B3">
        <w:t xml:space="preserve"> 15 certificate de descărcare de sarcină arheologică</w:t>
      </w:r>
      <w:r>
        <w:t>.</w:t>
      </w:r>
    </w:p>
    <w:p w:rsidR="00D853B3" w:rsidRDefault="00D853B3" w:rsidP="00D853B3">
      <w:pPr>
        <w:tabs>
          <w:tab w:val="left" w:pos="1170"/>
        </w:tabs>
        <w:contextualSpacing/>
        <w:jc w:val="both"/>
        <w:rPr>
          <w:b/>
        </w:rPr>
      </w:pPr>
    </w:p>
    <w:p w:rsidR="00D853B3" w:rsidRDefault="00D853B3" w:rsidP="00D853B3">
      <w:pPr>
        <w:tabs>
          <w:tab w:val="left" w:pos="1170"/>
        </w:tabs>
        <w:contextualSpacing/>
        <w:jc w:val="both"/>
        <w:rPr>
          <w:b/>
        </w:rPr>
      </w:pPr>
    </w:p>
    <w:p w:rsidR="00D853B3" w:rsidRDefault="00D853B3" w:rsidP="00D853B3">
      <w:pPr>
        <w:tabs>
          <w:tab w:val="left" w:pos="1170"/>
        </w:tabs>
        <w:contextualSpacing/>
        <w:jc w:val="both"/>
        <w:rPr>
          <w:b/>
        </w:rPr>
        <w:sectPr w:rsidR="00D853B3" w:rsidSect="00D853B3">
          <w:footerReference w:type="default" r:id="rId19"/>
          <w:pgSz w:w="11906" w:h="16838"/>
          <w:pgMar w:top="1440" w:right="709" w:bottom="1440" w:left="1077" w:header="709" w:footer="709" w:gutter="0"/>
          <w:cols w:space="708"/>
          <w:docGrid w:linePitch="360"/>
        </w:sectPr>
      </w:pPr>
    </w:p>
    <w:p w:rsidR="00D853B3" w:rsidRDefault="00D853B3" w:rsidP="00D853B3">
      <w:pPr>
        <w:tabs>
          <w:tab w:val="left" w:pos="1170"/>
        </w:tabs>
        <w:ind w:left="720"/>
        <w:contextualSpacing/>
        <w:jc w:val="both"/>
        <w:rPr>
          <w:b/>
        </w:rPr>
      </w:pPr>
    </w:p>
    <w:p w:rsidR="00FA7658" w:rsidRPr="00FA7658" w:rsidRDefault="00FA7658" w:rsidP="00980D72">
      <w:pPr>
        <w:numPr>
          <w:ilvl w:val="0"/>
          <w:numId w:val="30"/>
        </w:numPr>
        <w:tabs>
          <w:tab w:val="left" w:pos="1170"/>
        </w:tabs>
        <w:ind w:firstLine="0"/>
        <w:contextualSpacing/>
        <w:jc w:val="both"/>
        <w:rPr>
          <w:b/>
        </w:rPr>
      </w:pPr>
      <w:r w:rsidRPr="00FA7658">
        <w:rPr>
          <w:b/>
        </w:rPr>
        <w:t>Relație cu cetățenii</w:t>
      </w:r>
    </w:p>
    <w:p w:rsidR="00FA7658" w:rsidRPr="00FA7658" w:rsidRDefault="00FA7658" w:rsidP="00FA7658">
      <w:pPr>
        <w:tabs>
          <w:tab w:val="left" w:pos="1890"/>
        </w:tabs>
        <w:ind w:left="720"/>
        <w:contextualSpacing/>
        <w:jc w:val="both"/>
        <w:rPr>
          <w:b/>
        </w:rPr>
      </w:pPr>
    </w:p>
    <w:tbl>
      <w:tblPr>
        <w:tblStyle w:val="TableGrid16"/>
        <w:tblW w:w="0" w:type="auto"/>
        <w:tblInd w:w="18" w:type="dxa"/>
        <w:tblLook w:val="04A0"/>
      </w:tblPr>
      <w:tblGrid>
        <w:gridCol w:w="4050"/>
        <w:gridCol w:w="630"/>
      </w:tblGrid>
      <w:tr w:rsidR="00FA7658" w:rsidRPr="00FA7658" w:rsidTr="00FA7658">
        <w:trPr>
          <w:trHeight w:val="300"/>
        </w:trPr>
        <w:tc>
          <w:tcPr>
            <w:tcW w:w="4050" w:type="dxa"/>
          </w:tcPr>
          <w:p w:rsidR="00D853B3" w:rsidRPr="00FA7658" w:rsidRDefault="00FA7658" w:rsidP="00FA7658">
            <w:pPr>
              <w:jc w:val="both"/>
            </w:pPr>
            <w:r w:rsidRPr="00FA7658">
              <w:t>Audiențe</w:t>
            </w:r>
          </w:p>
        </w:tc>
        <w:tc>
          <w:tcPr>
            <w:tcW w:w="630" w:type="dxa"/>
          </w:tcPr>
          <w:p w:rsidR="00FA7658" w:rsidRPr="00FA7658" w:rsidRDefault="00FA7658" w:rsidP="00FA7658">
            <w:pPr>
              <w:jc w:val="both"/>
              <w:rPr>
                <w:b/>
              </w:rPr>
            </w:pPr>
            <w:r w:rsidRPr="00FA7658">
              <w:rPr>
                <w:b/>
              </w:rPr>
              <w:t>140</w:t>
            </w:r>
          </w:p>
        </w:tc>
      </w:tr>
      <w:tr w:rsidR="00FA7658" w:rsidRPr="00FA7658" w:rsidTr="00FA7658">
        <w:trPr>
          <w:trHeight w:val="300"/>
        </w:trPr>
        <w:tc>
          <w:tcPr>
            <w:tcW w:w="4050" w:type="dxa"/>
          </w:tcPr>
          <w:p w:rsidR="00D853B3" w:rsidRPr="00FA7658" w:rsidRDefault="00FA7658" w:rsidP="00FA7658">
            <w:pPr>
              <w:jc w:val="both"/>
            </w:pPr>
            <w:r w:rsidRPr="00FA7658">
              <w:t>Consultări</w:t>
            </w:r>
          </w:p>
        </w:tc>
        <w:tc>
          <w:tcPr>
            <w:tcW w:w="630" w:type="dxa"/>
          </w:tcPr>
          <w:p w:rsidR="00FA7658" w:rsidRPr="00FA7658" w:rsidRDefault="00FA7658" w:rsidP="00FA7658">
            <w:pPr>
              <w:jc w:val="both"/>
              <w:rPr>
                <w:b/>
              </w:rPr>
            </w:pPr>
            <w:r w:rsidRPr="00FA7658">
              <w:rPr>
                <w:b/>
              </w:rPr>
              <w:t>150</w:t>
            </w:r>
          </w:p>
        </w:tc>
      </w:tr>
      <w:tr w:rsidR="00FA7658" w:rsidRPr="00FA7658" w:rsidTr="00FA7658">
        <w:trPr>
          <w:trHeight w:val="300"/>
        </w:trPr>
        <w:tc>
          <w:tcPr>
            <w:tcW w:w="4050" w:type="dxa"/>
          </w:tcPr>
          <w:p w:rsidR="00D853B3" w:rsidRPr="00FA7658" w:rsidRDefault="00FA7658" w:rsidP="00FA7658">
            <w:pPr>
              <w:jc w:val="both"/>
            </w:pPr>
            <w:r w:rsidRPr="00FA7658">
              <w:t>Adrese</w:t>
            </w:r>
          </w:p>
        </w:tc>
        <w:tc>
          <w:tcPr>
            <w:tcW w:w="630" w:type="dxa"/>
          </w:tcPr>
          <w:p w:rsidR="00FA7658" w:rsidRPr="00FA7658" w:rsidRDefault="00FA7658" w:rsidP="00FA7658">
            <w:pPr>
              <w:jc w:val="both"/>
              <w:rPr>
                <w:b/>
              </w:rPr>
            </w:pPr>
            <w:r w:rsidRPr="00FA7658">
              <w:rPr>
                <w:b/>
              </w:rPr>
              <w:t>479</w:t>
            </w:r>
          </w:p>
        </w:tc>
      </w:tr>
    </w:tbl>
    <w:p w:rsidR="00FA7658" w:rsidRPr="00FA7658" w:rsidRDefault="00FA7658" w:rsidP="00FA7658">
      <w:pPr>
        <w:tabs>
          <w:tab w:val="left" w:pos="1890"/>
        </w:tabs>
        <w:jc w:val="both"/>
        <w:rPr>
          <w:b/>
        </w:rPr>
      </w:pPr>
    </w:p>
    <w:p w:rsidR="00FA7658" w:rsidRPr="00FA7658" w:rsidRDefault="00FA7658" w:rsidP="00D853B3">
      <w:pPr>
        <w:tabs>
          <w:tab w:val="left" w:pos="1890"/>
        </w:tabs>
        <w:jc w:val="both"/>
        <w:rPr>
          <w:b/>
        </w:rPr>
      </w:pPr>
      <w:r w:rsidRPr="00FA7658">
        <w:rPr>
          <w:b/>
        </w:rPr>
        <w:t>Total: 769</w:t>
      </w:r>
    </w:p>
    <w:p w:rsidR="00D853B3" w:rsidRDefault="00D853B3" w:rsidP="00D853B3">
      <w:pPr>
        <w:tabs>
          <w:tab w:val="left" w:pos="1170"/>
        </w:tabs>
        <w:ind w:left="720"/>
        <w:contextualSpacing/>
        <w:jc w:val="both"/>
        <w:rPr>
          <w:b/>
        </w:rPr>
      </w:pPr>
    </w:p>
    <w:p w:rsidR="00D853B3" w:rsidRDefault="00D853B3" w:rsidP="00D853B3">
      <w:pPr>
        <w:tabs>
          <w:tab w:val="left" w:pos="1170"/>
        </w:tabs>
        <w:ind w:left="720"/>
        <w:contextualSpacing/>
        <w:jc w:val="both"/>
        <w:rPr>
          <w:b/>
        </w:rPr>
      </w:pPr>
    </w:p>
    <w:p w:rsidR="00FA7658" w:rsidRPr="00FA7658" w:rsidRDefault="00FA7658" w:rsidP="00980D72">
      <w:pPr>
        <w:numPr>
          <w:ilvl w:val="0"/>
          <w:numId w:val="30"/>
        </w:numPr>
        <w:tabs>
          <w:tab w:val="left" w:pos="1170"/>
        </w:tabs>
        <w:ind w:firstLine="0"/>
        <w:contextualSpacing/>
        <w:jc w:val="both"/>
        <w:rPr>
          <w:b/>
        </w:rPr>
      </w:pPr>
      <w:r w:rsidRPr="00FA7658">
        <w:rPr>
          <w:b/>
        </w:rPr>
        <w:lastRenderedPageBreak/>
        <w:t>Colaborarea cu alte instituții</w:t>
      </w:r>
    </w:p>
    <w:p w:rsidR="00FA7658" w:rsidRPr="00FA7658" w:rsidRDefault="00FA7658" w:rsidP="00FA7658">
      <w:pPr>
        <w:jc w:val="both"/>
      </w:pPr>
    </w:p>
    <w:tbl>
      <w:tblPr>
        <w:tblStyle w:val="TableGrid16"/>
        <w:tblW w:w="0" w:type="auto"/>
        <w:tblLook w:val="04A0"/>
      </w:tblPr>
      <w:tblGrid>
        <w:gridCol w:w="4068"/>
        <w:gridCol w:w="630"/>
      </w:tblGrid>
      <w:tr w:rsidR="00FA7658" w:rsidRPr="00FA7658" w:rsidTr="00D853B3">
        <w:tc>
          <w:tcPr>
            <w:tcW w:w="4068" w:type="dxa"/>
          </w:tcPr>
          <w:p w:rsidR="00FA7658" w:rsidRPr="00FA7658" w:rsidRDefault="00FA7658" w:rsidP="00FA7658">
            <w:pPr>
              <w:jc w:val="both"/>
            </w:pPr>
            <w:r w:rsidRPr="00FA7658">
              <w:t>Institutul Național al Patrimoniului</w:t>
            </w:r>
          </w:p>
        </w:tc>
        <w:tc>
          <w:tcPr>
            <w:tcW w:w="630" w:type="dxa"/>
            <w:vAlign w:val="center"/>
          </w:tcPr>
          <w:p w:rsidR="00FA7658" w:rsidRPr="00FA7658" w:rsidRDefault="00FA7658" w:rsidP="00D853B3">
            <w:pPr>
              <w:jc w:val="right"/>
              <w:rPr>
                <w:b/>
              </w:rPr>
            </w:pPr>
            <w:r w:rsidRPr="00FA7658">
              <w:rPr>
                <w:b/>
              </w:rPr>
              <w:t>25</w:t>
            </w:r>
          </w:p>
        </w:tc>
      </w:tr>
      <w:tr w:rsidR="00FA7658" w:rsidRPr="00FA7658" w:rsidTr="00D853B3">
        <w:tc>
          <w:tcPr>
            <w:tcW w:w="4068" w:type="dxa"/>
          </w:tcPr>
          <w:p w:rsidR="00FA7658" w:rsidRPr="00FA7658" w:rsidRDefault="00FA7658" w:rsidP="00FA7658">
            <w:pPr>
              <w:jc w:val="both"/>
            </w:pPr>
            <w:r w:rsidRPr="00FA7658">
              <w:t>Inspecția de Stat în Construcții</w:t>
            </w:r>
          </w:p>
        </w:tc>
        <w:tc>
          <w:tcPr>
            <w:tcW w:w="630" w:type="dxa"/>
            <w:vAlign w:val="center"/>
          </w:tcPr>
          <w:p w:rsidR="00FA7658" w:rsidRPr="00FA7658" w:rsidRDefault="00FA7658" w:rsidP="00D853B3">
            <w:pPr>
              <w:jc w:val="right"/>
              <w:rPr>
                <w:b/>
              </w:rPr>
            </w:pPr>
            <w:r w:rsidRPr="00FA7658">
              <w:rPr>
                <w:b/>
              </w:rPr>
              <w:t>5</w:t>
            </w:r>
          </w:p>
        </w:tc>
      </w:tr>
      <w:tr w:rsidR="00FA7658" w:rsidRPr="00FA7658" w:rsidTr="00D853B3">
        <w:tc>
          <w:tcPr>
            <w:tcW w:w="4068" w:type="dxa"/>
          </w:tcPr>
          <w:p w:rsidR="00FA7658" w:rsidRPr="00FA7658" w:rsidRDefault="00FA7658" w:rsidP="00FA7658">
            <w:pPr>
              <w:jc w:val="both"/>
            </w:pPr>
            <w:r w:rsidRPr="00FA7658">
              <w:t>Inspectoratul pentru Situații de Urgență</w:t>
            </w:r>
          </w:p>
        </w:tc>
        <w:tc>
          <w:tcPr>
            <w:tcW w:w="630" w:type="dxa"/>
            <w:vAlign w:val="center"/>
          </w:tcPr>
          <w:p w:rsidR="00FA7658" w:rsidRPr="00FA7658" w:rsidRDefault="00FA7658" w:rsidP="00D853B3">
            <w:pPr>
              <w:jc w:val="right"/>
              <w:rPr>
                <w:b/>
              </w:rPr>
            </w:pPr>
            <w:r w:rsidRPr="00FA7658">
              <w:rPr>
                <w:b/>
              </w:rPr>
              <w:t>2</w:t>
            </w:r>
          </w:p>
        </w:tc>
      </w:tr>
      <w:tr w:rsidR="00FA7658" w:rsidRPr="00FA7658" w:rsidTr="00D853B3">
        <w:tc>
          <w:tcPr>
            <w:tcW w:w="4068" w:type="dxa"/>
          </w:tcPr>
          <w:p w:rsidR="00FA7658" w:rsidRPr="00FA7658" w:rsidRDefault="00FA7658" w:rsidP="00FA7658">
            <w:pPr>
              <w:jc w:val="both"/>
            </w:pPr>
            <w:r w:rsidRPr="00FA7658">
              <w:t>Primării</w:t>
            </w:r>
          </w:p>
        </w:tc>
        <w:tc>
          <w:tcPr>
            <w:tcW w:w="630" w:type="dxa"/>
            <w:vAlign w:val="center"/>
          </w:tcPr>
          <w:p w:rsidR="00FA7658" w:rsidRPr="00FA7658" w:rsidRDefault="00FA7658" w:rsidP="00D853B3">
            <w:pPr>
              <w:jc w:val="right"/>
              <w:rPr>
                <w:b/>
              </w:rPr>
            </w:pPr>
            <w:r w:rsidRPr="00FA7658">
              <w:rPr>
                <w:b/>
              </w:rPr>
              <w:t>15</w:t>
            </w:r>
          </w:p>
        </w:tc>
      </w:tr>
      <w:tr w:rsidR="00FA7658" w:rsidRPr="00FA7658" w:rsidTr="00D853B3">
        <w:tc>
          <w:tcPr>
            <w:tcW w:w="4068" w:type="dxa"/>
          </w:tcPr>
          <w:p w:rsidR="00FA7658" w:rsidRPr="00FA7658" w:rsidRDefault="00FA7658" w:rsidP="00FA7658">
            <w:pPr>
              <w:jc w:val="both"/>
            </w:pPr>
            <w:r w:rsidRPr="00FA7658">
              <w:t>Prefectura</w:t>
            </w:r>
          </w:p>
        </w:tc>
        <w:tc>
          <w:tcPr>
            <w:tcW w:w="630" w:type="dxa"/>
            <w:vAlign w:val="center"/>
          </w:tcPr>
          <w:p w:rsidR="00FA7658" w:rsidRPr="00FA7658" w:rsidRDefault="00FA7658" w:rsidP="00D853B3">
            <w:pPr>
              <w:jc w:val="right"/>
              <w:rPr>
                <w:b/>
              </w:rPr>
            </w:pPr>
            <w:r w:rsidRPr="00FA7658">
              <w:rPr>
                <w:b/>
              </w:rPr>
              <w:t>10</w:t>
            </w:r>
          </w:p>
        </w:tc>
      </w:tr>
    </w:tbl>
    <w:p w:rsidR="00D853B3" w:rsidRDefault="00D853B3" w:rsidP="00FA7658">
      <w:pPr>
        <w:tabs>
          <w:tab w:val="left" w:pos="1890"/>
        </w:tabs>
        <w:jc w:val="both"/>
        <w:rPr>
          <w:b/>
        </w:rPr>
      </w:pPr>
    </w:p>
    <w:p w:rsidR="00D853B3" w:rsidRDefault="00D853B3" w:rsidP="00D853B3">
      <w:pPr>
        <w:tabs>
          <w:tab w:val="left" w:pos="1890"/>
        </w:tabs>
        <w:jc w:val="both"/>
        <w:rPr>
          <w:b/>
        </w:rPr>
      </w:pPr>
      <w:r>
        <w:rPr>
          <w:b/>
        </w:rPr>
        <w:t>Total colaborări : 57</w:t>
      </w:r>
    </w:p>
    <w:p w:rsidR="00D853B3" w:rsidRPr="00D853B3" w:rsidRDefault="00D853B3" w:rsidP="00D853B3">
      <w:pPr>
        <w:tabs>
          <w:tab w:val="left" w:pos="1890"/>
        </w:tabs>
        <w:jc w:val="both"/>
        <w:rPr>
          <w:b/>
        </w:rPr>
        <w:sectPr w:rsidR="00D853B3" w:rsidRPr="00D853B3" w:rsidSect="00D853B3">
          <w:type w:val="continuous"/>
          <w:pgSz w:w="11906" w:h="16838"/>
          <w:pgMar w:top="1440" w:right="709" w:bottom="1440" w:left="1077" w:header="709" w:footer="709" w:gutter="0"/>
          <w:cols w:num="2" w:space="708"/>
          <w:docGrid w:linePitch="360"/>
        </w:sectPr>
      </w:pPr>
    </w:p>
    <w:p w:rsidR="00FA7658" w:rsidRPr="00FA7658" w:rsidRDefault="00FA7658" w:rsidP="00980D72">
      <w:pPr>
        <w:numPr>
          <w:ilvl w:val="0"/>
          <w:numId w:val="30"/>
        </w:numPr>
        <w:tabs>
          <w:tab w:val="left" w:pos="1170"/>
        </w:tabs>
        <w:ind w:firstLine="0"/>
        <w:contextualSpacing/>
        <w:jc w:val="both"/>
        <w:rPr>
          <w:b/>
        </w:rPr>
      </w:pPr>
      <w:r w:rsidRPr="00FA7658">
        <w:rPr>
          <w:b/>
        </w:rPr>
        <w:lastRenderedPageBreak/>
        <w:t>Instrumentarea dosarelor de instanță</w:t>
      </w:r>
    </w:p>
    <w:p w:rsidR="00FA7658" w:rsidRPr="00FA7658" w:rsidRDefault="00FA7658" w:rsidP="00FA7658">
      <w:pPr>
        <w:tabs>
          <w:tab w:val="left" w:pos="1890"/>
        </w:tabs>
        <w:ind w:left="720"/>
        <w:contextualSpacing/>
        <w:jc w:val="both"/>
        <w:rPr>
          <w:b/>
        </w:rPr>
      </w:pPr>
    </w:p>
    <w:tbl>
      <w:tblPr>
        <w:tblStyle w:val="TableGrid16"/>
        <w:tblW w:w="0" w:type="auto"/>
        <w:tblInd w:w="18" w:type="dxa"/>
        <w:tblLook w:val="04A0"/>
      </w:tblPr>
      <w:tblGrid>
        <w:gridCol w:w="4050"/>
        <w:gridCol w:w="4410"/>
      </w:tblGrid>
      <w:tr w:rsidR="00FA7658" w:rsidRPr="00FA7658" w:rsidTr="00D853B3">
        <w:tc>
          <w:tcPr>
            <w:tcW w:w="4050" w:type="dxa"/>
            <w:vAlign w:val="center"/>
          </w:tcPr>
          <w:p w:rsidR="00FA7658" w:rsidRPr="00FA7658" w:rsidRDefault="00FA7658" w:rsidP="00D853B3">
            <w:r w:rsidRPr="00FA7658">
              <w:t>Dosare aflate pe rol la 01.01.2018</w:t>
            </w:r>
          </w:p>
        </w:tc>
        <w:tc>
          <w:tcPr>
            <w:tcW w:w="4410" w:type="dxa"/>
            <w:vAlign w:val="center"/>
          </w:tcPr>
          <w:p w:rsidR="00FA7658" w:rsidRPr="00FA7658" w:rsidRDefault="00FA7658" w:rsidP="00D853B3">
            <w:pPr>
              <w:jc w:val="center"/>
              <w:rPr>
                <w:b/>
              </w:rPr>
            </w:pPr>
            <w:r w:rsidRPr="00FA7658">
              <w:rPr>
                <w:b/>
              </w:rPr>
              <w:t>14</w:t>
            </w:r>
          </w:p>
        </w:tc>
      </w:tr>
      <w:tr w:rsidR="00FA7658" w:rsidRPr="00FA7658" w:rsidTr="00D853B3">
        <w:tc>
          <w:tcPr>
            <w:tcW w:w="4050" w:type="dxa"/>
            <w:vAlign w:val="center"/>
          </w:tcPr>
          <w:p w:rsidR="00FA7658" w:rsidRPr="00FA7658" w:rsidRDefault="00FA7658" w:rsidP="00D853B3">
            <w:r w:rsidRPr="00FA7658">
              <w:t>Dosare deschise în 2018</w:t>
            </w:r>
          </w:p>
        </w:tc>
        <w:tc>
          <w:tcPr>
            <w:tcW w:w="4410" w:type="dxa"/>
            <w:vAlign w:val="center"/>
          </w:tcPr>
          <w:p w:rsidR="00FA7658" w:rsidRPr="00FA7658" w:rsidRDefault="00FA7658" w:rsidP="00D853B3">
            <w:pPr>
              <w:jc w:val="center"/>
              <w:rPr>
                <w:b/>
              </w:rPr>
            </w:pPr>
            <w:r w:rsidRPr="00FA7658">
              <w:rPr>
                <w:b/>
              </w:rPr>
              <w:t>3</w:t>
            </w:r>
          </w:p>
        </w:tc>
      </w:tr>
      <w:tr w:rsidR="00FA7658" w:rsidRPr="00FA7658" w:rsidTr="00D853B3">
        <w:tc>
          <w:tcPr>
            <w:tcW w:w="4050" w:type="dxa"/>
            <w:vAlign w:val="center"/>
          </w:tcPr>
          <w:p w:rsidR="00FA7658" w:rsidRPr="00FA7658" w:rsidRDefault="00FA7658" w:rsidP="00D853B3">
            <w:r w:rsidRPr="00FA7658">
              <w:t>Dosare închise în 2018</w:t>
            </w:r>
          </w:p>
        </w:tc>
        <w:tc>
          <w:tcPr>
            <w:tcW w:w="4410" w:type="dxa"/>
            <w:vAlign w:val="center"/>
          </w:tcPr>
          <w:p w:rsidR="00D853B3" w:rsidRDefault="00FA7658" w:rsidP="00D853B3">
            <w:pPr>
              <w:jc w:val="center"/>
              <w:rPr>
                <w:b/>
              </w:rPr>
            </w:pPr>
            <w:r w:rsidRPr="00FA7658">
              <w:rPr>
                <w:b/>
              </w:rPr>
              <w:t>5</w:t>
            </w:r>
          </w:p>
          <w:p w:rsidR="00FA7658" w:rsidRPr="00FA7658" w:rsidRDefault="00FA7658" w:rsidP="00D853B3">
            <w:pPr>
              <w:jc w:val="center"/>
              <w:rPr>
                <w:b/>
              </w:rPr>
            </w:pPr>
            <w:r w:rsidRPr="00FA7658">
              <w:rPr>
                <w:b/>
              </w:rPr>
              <w:t xml:space="preserve">(4 câștig de cauză </w:t>
            </w:r>
            <w:r w:rsidR="00D853B3">
              <w:rPr>
                <w:b/>
              </w:rPr>
              <w:t>- hotărâre definitvă)</w:t>
            </w:r>
          </w:p>
        </w:tc>
      </w:tr>
      <w:tr w:rsidR="00FA7658" w:rsidRPr="00FA7658" w:rsidTr="00D853B3">
        <w:tc>
          <w:tcPr>
            <w:tcW w:w="4050" w:type="dxa"/>
            <w:vAlign w:val="center"/>
          </w:tcPr>
          <w:p w:rsidR="00FA7658" w:rsidRPr="00FA7658" w:rsidRDefault="00FA7658" w:rsidP="00D853B3">
            <w:r w:rsidRPr="00FA7658">
              <w:t>Dosare aflate pe rol la 01.01.2019</w:t>
            </w:r>
          </w:p>
        </w:tc>
        <w:tc>
          <w:tcPr>
            <w:tcW w:w="4410" w:type="dxa"/>
            <w:vAlign w:val="center"/>
          </w:tcPr>
          <w:p w:rsidR="00FA7658" w:rsidRPr="00FA7658" w:rsidRDefault="00FA7658" w:rsidP="00D853B3">
            <w:pPr>
              <w:jc w:val="center"/>
              <w:rPr>
                <w:b/>
              </w:rPr>
            </w:pPr>
            <w:r w:rsidRPr="00FA7658">
              <w:rPr>
                <w:b/>
              </w:rPr>
              <w:t>12</w:t>
            </w:r>
          </w:p>
        </w:tc>
      </w:tr>
    </w:tbl>
    <w:p w:rsidR="00FA7658" w:rsidRPr="00FA7658" w:rsidRDefault="00FA7658" w:rsidP="00FA7658">
      <w:pPr>
        <w:jc w:val="both"/>
        <w:rPr>
          <w:b/>
        </w:rPr>
      </w:pPr>
    </w:p>
    <w:p w:rsidR="00FA7658" w:rsidRPr="00FA7658" w:rsidRDefault="00FA7658" w:rsidP="00FA7658">
      <w:pPr>
        <w:jc w:val="both"/>
      </w:pPr>
      <w:r w:rsidRPr="00FA7658">
        <w:rPr>
          <w:b/>
        </w:rPr>
        <w:tab/>
        <w:t>TOTAL LUCRĂRI  COMPARTIMENT: 6.042 – realizate de 5 angajați</w:t>
      </w:r>
      <w:r w:rsidRPr="00FA7658">
        <w:t xml:space="preserve"> </w:t>
      </w:r>
    </w:p>
    <w:p w:rsidR="009B61B3" w:rsidRDefault="009B61B3" w:rsidP="00A77970">
      <w:pPr>
        <w:jc w:val="both"/>
      </w:pPr>
    </w:p>
    <w:p w:rsidR="005C57E2" w:rsidRDefault="005C57E2" w:rsidP="00A77970">
      <w:pPr>
        <w:pStyle w:val="ListParagraph"/>
        <w:numPr>
          <w:ilvl w:val="0"/>
          <w:numId w:val="4"/>
        </w:numPr>
        <w:jc w:val="both"/>
      </w:pPr>
      <w:r>
        <w:t>Activitatea în domeniul tineretului și sportului</w:t>
      </w:r>
    </w:p>
    <w:p w:rsidR="00A36205" w:rsidRDefault="00A36205" w:rsidP="00A77970">
      <w:pPr>
        <w:jc w:val="both"/>
      </w:pPr>
    </w:p>
    <w:p w:rsidR="00A36205" w:rsidRPr="00D60C70" w:rsidRDefault="007611EB" w:rsidP="00A77970">
      <w:pPr>
        <w:jc w:val="both"/>
      </w:pPr>
      <w:r>
        <w:rPr>
          <w:b/>
          <w:kern w:val="28"/>
          <w:lang w:val="en-US" w:eastAsia="en-US"/>
        </w:rPr>
        <w:t>P</w:t>
      </w:r>
      <w:r w:rsidRPr="001A0ECE">
        <w:rPr>
          <w:b/>
          <w:kern w:val="28"/>
          <w:lang w:val="en-US" w:eastAsia="en-US"/>
        </w:rPr>
        <w:t xml:space="preserve">rincipalele realizări </w:t>
      </w:r>
      <w:r>
        <w:rPr>
          <w:b/>
          <w:kern w:val="28"/>
          <w:lang w:val="en-US" w:eastAsia="en-US"/>
        </w:rPr>
        <w:t xml:space="preserve">ale </w:t>
      </w:r>
      <w:r w:rsidRPr="00A36205">
        <w:rPr>
          <w:b/>
        </w:rPr>
        <w:t xml:space="preserve">Direcția Pentru Sport </w:t>
      </w:r>
      <w:r>
        <w:rPr>
          <w:b/>
        </w:rPr>
        <w:t>ș</w:t>
      </w:r>
      <w:r w:rsidRPr="00A36205">
        <w:rPr>
          <w:b/>
        </w:rPr>
        <w:t xml:space="preserve">i Tineret </w:t>
      </w:r>
      <w:r>
        <w:rPr>
          <w:b/>
        </w:rPr>
        <w:t>a</w:t>
      </w:r>
      <w:r w:rsidRPr="00A36205">
        <w:rPr>
          <w:b/>
        </w:rPr>
        <w:t xml:space="preserve"> Municipiului București</w:t>
      </w:r>
      <w:r>
        <w:rPr>
          <w:b/>
        </w:rPr>
        <w:t xml:space="preserve"> </w:t>
      </w:r>
      <w:r w:rsidR="00D60C70" w:rsidRPr="00547871">
        <w:rPr>
          <w:b/>
        </w:rPr>
        <w:t>(D.S.T.M.B)</w:t>
      </w:r>
    </w:p>
    <w:p w:rsidR="00D60C70" w:rsidRPr="001A0ECE" w:rsidRDefault="00D60C70" w:rsidP="00A77970">
      <w:pPr>
        <w:ind w:left="142"/>
        <w:jc w:val="center"/>
        <w:rPr>
          <w:b/>
          <w:kern w:val="28"/>
          <w:lang w:val="en-US" w:eastAsia="en-US"/>
        </w:rPr>
      </w:pPr>
    </w:p>
    <w:p w:rsidR="00997334" w:rsidRPr="009B61B3" w:rsidRDefault="00997334" w:rsidP="00A77970">
      <w:pPr>
        <w:jc w:val="both"/>
        <w:rPr>
          <w:rFonts w:eastAsia="Calibri"/>
          <w:b/>
          <w:iCs/>
          <w:lang w:val="en-US" w:eastAsia="en-US"/>
        </w:rPr>
      </w:pPr>
      <w:r w:rsidRPr="009B61B3">
        <w:rPr>
          <w:rFonts w:eastAsia="Calibri"/>
          <w:b/>
          <w:i/>
          <w:iCs/>
          <w:lang w:val="en-US" w:eastAsia="en-US"/>
        </w:rPr>
        <w:t xml:space="preserve">PROGRAMUL (P1) ,,Promovarea Sportului de Performanţă” </w:t>
      </w:r>
    </w:p>
    <w:p w:rsidR="00997334" w:rsidRPr="009B61B3" w:rsidRDefault="00997334" w:rsidP="00A77970">
      <w:pPr>
        <w:ind w:firstLine="720"/>
        <w:jc w:val="both"/>
        <w:rPr>
          <w:rFonts w:eastAsia="Calibri"/>
          <w:iCs/>
          <w:lang w:val="en-US" w:eastAsia="en-US"/>
        </w:rPr>
      </w:pPr>
      <w:r w:rsidRPr="00D60C70">
        <w:rPr>
          <w:rFonts w:eastAsia="Calibri"/>
          <w:iCs/>
          <w:lang w:val="en-US" w:eastAsia="en-US"/>
        </w:rPr>
        <w:t>Numărul de acțiuni sportive în Programul (P1)</w:t>
      </w:r>
      <w:r w:rsidR="00547871">
        <w:rPr>
          <w:rFonts w:eastAsia="Calibri"/>
          <w:iCs/>
          <w:lang w:val="en-US" w:eastAsia="en-US"/>
        </w:rPr>
        <w:t xml:space="preserve"> </w:t>
      </w:r>
      <w:r w:rsidRPr="00D60C70">
        <w:rPr>
          <w:rFonts w:eastAsia="Calibri"/>
          <w:iCs/>
          <w:lang w:val="en-US" w:eastAsia="en-US"/>
        </w:rPr>
        <w:t>,,Promovarea Sportului de Performanță” din calendarul D</w:t>
      </w:r>
      <w:r w:rsidR="00E74CA8">
        <w:rPr>
          <w:rFonts w:eastAsia="Calibri"/>
          <w:iCs/>
          <w:lang w:val="en-US" w:eastAsia="en-US"/>
        </w:rPr>
        <w:t xml:space="preserve">STMB, organizate și desfășurate: </w:t>
      </w:r>
      <w:r w:rsidR="00547871">
        <w:rPr>
          <w:rFonts w:eastAsia="Calibri"/>
          <w:i/>
          <w:iCs/>
          <w:lang w:val="en-US" w:eastAsia="en-US"/>
        </w:rPr>
        <w:t xml:space="preserve">2017 – 72 actiuni / 2018 – 7 acțiuni, </w:t>
      </w:r>
      <w:r w:rsidRPr="009B61B3">
        <w:rPr>
          <w:rFonts w:eastAsia="Calibri"/>
          <w:i/>
          <w:iCs/>
          <w:lang w:val="en-US" w:eastAsia="en-US"/>
        </w:rPr>
        <w:t xml:space="preserve">rezultând un procent de </w:t>
      </w:r>
      <w:r w:rsidR="00547871">
        <w:rPr>
          <w:rFonts w:eastAsia="Calibri"/>
          <w:i/>
          <w:iCs/>
          <w:lang w:val="en-US" w:eastAsia="en-US"/>
        </w:rPr>
        <w:t>1</w:t>
      </w:r>
      <w:r w:rsidRPr="009B61B3">
        <w:rPr>
          <w:rFonts w:eastAsia="Calibri"/>
          <w:i/>
          <w:iCs/>
          <w:lang w:val="en-US" w:eastAsia="en-US"/>
        </w:rPr>
        <w:t>0%.</w:t>
      </w:r>
    </w:p>
    <w:p w:rsidR="00997334" w:rsidRPr="009B61B3" w:rsidRDefault="00547871" w:rsidP="00A77970">
      <w:pPr>
        <w:spacing w:after="200"/>
        <w:jc w:val="center"/>
        <w:rPr>
          <w:rFonts w:eastAsia="Calibri"/>
          <w:iCs/>
          <w:lang w:val="en-US" w:eastAsia="en-US"/>
        </w:rPr>
      </w:pPr>
      <w:r w:rsidRPr="00113F40">
        <w:rPr>
          <w:iCs/>
          <w:noProof/>
          <w:color w:val="FF0000"/>
          <w:shd w:val="clear" w:color="auto" w:fill="F2DBDB" w:themeFill="accent2" w:themeFillTint="33"/>
        </w:rPr>
        <w:drawing>
          <wp:inline distT="0" distB="0" distL="0" distR="0">
            <wp:extent cx="5486400" cy="220027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47871" w:rsidRDefault="00547871" w:rsidP="00A77970">
      <w:pPr>
        <w:ind w:firstLine="360"/>
        <w:jc w:val="both"/>
        <w:rPr>
          <w:rFonts w:eastAsia="Calibri"/>
          <w:iCs/>
          <w:lang w:val="en-US" w:eastAsia="en-US"/>
        </w:rPr>
      </w:pPr>
      <w:r>
        <w:rPr>
          <w:rFonts w:eastAsia="Calibri"/>
          <w:iCs/>
          <w:lang w:val="en-US" w:eastAsia="en-US"/>
        </w:rPr>
        <w:tab/>
      </w:r>
      <w:r w:rsidRPr="00547871">
        <w:rPr>
          <w:rFonts w:eastAsia="Calibri"/>
          <w:iCs/>
          <w:lang w:val="en-US" w:eastAsia="en-US"/>
        </w:rPr>
        <w:t>În anul 2018 pentru Programul (P1), ”Promovarea Sportului de Performanţă” au fost organizate și desfășurate până în luna decembrie un număr de 7 competiţii sportive. Organizarea integrală pentru o competiţie presupune asigurarea următoarelor aspecte: locul de desfăşurare a competiţiei (chirie sală), premii acordate (diplome, cupe, medalii şi materiale sportive), barem arbitraj, asistenţă medicală, precum și alte cheltuieli în funcție de specificul ramurii sportive.</w:t>
      </w:r>
      <w:r w:rsidR="00A36205" w:rsidRPr="00D60C70">
        <w:rPr>
          <w:rFonts w:eastAsia="Calibri"/>
          <w:iCs/>
          <w:lang w:val="en-US" w:eastAsia="en-US"/>
        </w:rPr>
        <w:tab/>
      </w:r>
    </w:p>
    <w:p w:rsidR="00997334" w:rsidRPr="00D60C70" w:rsidRDefault="00547871" w:rsidP="00A77970">
      <w:pPr>
        <w:ind w:firstLine="360"/>
        <w:jc w:val="both"/>
        <w:rPr>
          <w:rFonts w:eastAsia="Calibri"/>
          <w:iCs/>
          <w:lang w:val="en-US" w:eastAsia="en-US"/>
        </w:rPr>
      </w:pPr>
      <w:r>
        <w:rPr>
          <w:rFonts w:eastAsia="Calibri"/>
          <w:iCs/>
          <w:lang w:val="en-US" w:eastAsia="en-US"/>
        </w:rPr>
        <w:tab/>
      </w:r>
      <w:r w:rsidR="00997334" w:rsidRPr="00D60C70">
        <w:rPr>
          <w:rFonts w:eastAsia="Calibri"/>
          <w:iCs/>
          <w:lang w:val="en-US" w:eastAsia="en-US"/>
        </w:rPr>
        <w:t>S-au distins în cadrul Programului P1, următoarele acţiuni sportive:</w:t>
      </w:r>
    </w:p>
    <w:p w:rsidR="00997334" w:rsidRPr="00A36205" w:rsidRDefault="00547871" w:rsidP="00980D72">
      <w:pPr>
        <w:numPr>
          <w:ilvl w:val="0"/>
          <w:numId w:val="12"/>
        </w:numPr>
        <w:spacing w:after="200"/>
        <w:ind w:left="0" w:firstLine="0"/>
        <w:contextualSpacing/>
        <w:jc w:val="both"/>
        <w:rPr>
          <w:rFonts w:eastAsia="Calibri"/>
          <w:iCs/>
          <w:lang w:val="en-US" w:eastAsia="en-US"/>
        </w:rPr>
      </w:pPr>
      <w:r w:rsidRPr="00547871">
        <w:rPr>
          <w:rFonts w:eastAsia="Calibri"/>
          <w:iCs/>
          <w:lang w:val="en-US" w:eastAsia="en-US"/>
        </w:rPr>
        <w:lastRenderedPageBreak/>
        <w:t>Cupa Primii Paşi în Atletism, Cupa Absolut Fight III, Cupa Moş Crăciun jun III – tenis de masa, Cupa Moş Crăciun jun IV – tenis de masa, Cupa Impression karate, Cupa Prieteniei Lifegames – volei, Cupa Moş Crăciun Spike volei, baschet.</w:t>
      </w:r>
    </w:p>
    <w:p w:rsidR="00997334" w:rsidRPr="009B61B3" w:rsidRDefault="00997334" w:rsidP="00A77970">
      <w:pPr>
        <w:ind w:right="-98"/>
        <w:jc w:val="both"/>
        <w:rPr>
          <w:rFonts w:eastAsia="Calibri"/>
          <w:lang w:val="en-US" w:eastAsia="en-US"/>
        </w:rPr>
      </w:pPr>
    </w:p>
    <w:p w:rsidR="00997334" w:rsidRPr="009B61B3" w:rsidRDefault="00997334" w:rsidP="00A77970">
      <w:pPr>
        <w:jc w:val="both"/>
        <w:rPr>
          <w:rFonts w:eastAsia="Calibri"/>
          <w:b/>
          <w:iCs/>
          <w:lang w:val="en-US" w:eastAsia="en-US"/>
        </w:rPr>
      </w:pPr>
      <w:r w:rsidRPr="009B61B3">
        <w:rPr>
          <w:rFonts w:eastAsia="Calibri"/>
          <w:b/>
          <w:i/>
          <w:iCs/>
          <w:lang w:val="en-US" w:eastAsia="en-US"/>
        </w:rPr>
        <w:t xml:space="preserve">PROGRAMUL (P2), ,,Sportul Pentru Toţi” </w:t>
      </w:r>
    </w:p>
    <w:p w:rsidR="00997334" w:rsidRPr="00D60C70" w:rsidRDefault="00997334" w:rsidP="00A77970">
      <w:pPr>
        <w:ind w:firstLine="720"/>
        <w:jc w:val="both"/>
        <w:rPr>
          <w:rFonts w:eastAsia="Calibri"/>
          <w:iCs/>
          <w:lang w:val="en-US" w:eastAsia="en-US"/>
        </w:rPr>
      </w:pPr>
      <w:r w:rsidRPr="00D60C70">
        <w:rPr>
          <w:rFonts w:eastAsia="Calibri"/>
          <w:iCs/>
          <w:lang w:val="en-US" w:eastAsia="en-US"/>
        </w:rPr>
        <w:t>Numărul de acțiuni sportive în Programul (P2) ,,Sportul Pentru Toți” din calendarul D</w:t>
      </w:r>
      <w:r w:rsidR="00E74CA8">
        <w:rPr>
          <w:rFonts w:eastAsia="Calibri"/>
          <w:iCs/>
          <w:lang w:val="en-US" w:eastAsia="en-US"/>
        </w:rPr>
        <w:t xml:space="preserve">STMB, organizate și desfășurate: </w:t>
      </w:r>
      <w:r w:rsidR="00547871">
        <w:rPr>
          <w:rFonts w:eastAsia="Calibri"/>
          <w:iCs/>
          <w:lang w:val="en-US" w:eastAsia="en-US"/>
        </w:rPr>
        <w:t xml:space="preserve">2017 – 10 actiuni / 2018 – 1 acțiune, </w:t>
      </w:r>
      <w:r w:rsidRPr="00D60C70">
        <w:rPr>
          <w:rFonts w:eastAsia="Calibri"/>
          <w:iCs/>
          <w:lang w:val="en-US" w:eastAsia="en-US"/>
        </w:rPr>
        <w:t xml:space="preserve">rezultând un procent de </w:t>
      </w:r>
      <w:r w:rsidR="00547871">
        <w:rPr>
          <w:rFonts w:eastAsia="Calibri"/>
          <w:iCs/>
          <w:lang w:val="en-US" w:eastAsia="en-US"/>
        </w:rPr>
        <w:t>10</w:t>
      </w:r>
      <w:r w:rsidRPr="00D60C70">
        <w:rPr>
          <w:rFonts w:eastAsia="Calibri"/>
          <w:iCs/>
          <w:lang w:val="en-US" w:eastAsia="en-US"/>
        </w:rPr>
        <w:t>%.</w:t>
      </w:r>
      <w:r w:rsidRPr="00D60C70">
        <w:rPr>
          <w:rFonts w:eastAsia="Calibri"/>
          <w:iCs/>
          <w:lang w:val="en-US" w:eastAsia="en-US"/>
        </w:rPr>
        <w:tab/>
      </w:r>
    </w:p>
    <w:p w:rsidR="00E00781" w:rsidRDefault="00547871" w:rsidP="00E00781">
      <w:pPr>
        <w:tabs>
          <w:tab w:val="left" w:pos="5257"/>
        </w:tabs>
        <w:jc w:val="both"/>
        <w:rPr>
          <w:rFonts w:eastAsia="Calibri"/>
          <w:iCs/>
          <w:lang w:val="en-US" w:eastAsia="en-US"/>
        </w:rPr>
      </w:pPr>
      <w:r w:rsidRPr="00113F40">
        <w:rPr>
          <w:iCs/>
          <w:noProof/>
        </w:rPr>
        <w:drawing>
          <wp:anchor distT="0" distB="0" distL="114300" distR="114300" simplePos="0" relativeHeight="251691007" behindDoc="1" locked="0" layoutInCell="1" allowOverlap="1">
            <wp:simplePos x="0" y="0"/>
            <wp:positionH relativeFrom="column">
              <wp:posOffset>1905</wp:posOffset>
            </wp:positionH>
            <wp:positionV relativeFrom="paragraph">
              <wp:posOffset>19050</wp:posOffset>
            </wp:positionV>
            <wp:extent cx="6391275" cy="1924050"/>
            <wp:effectExtent l="0" t="0" r="0" b="0"/>
            <wp:wrapThrough wrapText="bothSides">
              <wp:wrapPolygon edited="0">
                <wp:start x="0" y="0"/>
                <wp:lineTo x="0" y="21386"/>
                <wp:lineTo x="21503" y="21386"/>
                <wp:lineTo x="21503" y="0"/>
                <wp:lineTo x="0" y="0"/>
              </wp:wrapPolygon>
            </wp:wrapThrough>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997334" w:rsidRDefault="00E00781" w:rsidP="00E00781">
      <w:pPr>
        <w:tabs>
          <w:tab w:val="left" w:pos="720"/>
        </w:tabs>
        <w:jc w:val="both"/>
        <w:rPr>
          <w:rFonts w:eastAsia="Calibri"/>
          <w:iCs/>
          <w:lang w:val="en-US" w:eastAsia="en-US"/>
        </w:rPr>
      </w:pPr>
      <w:r>
        <w:rPr>
          <w:rFonts w:eastAsia="Calibri"/>
          <w:iCs/>
          <w:lang w:val="en-US" w:eastAsia="en-US"/>
        </w:rPr>
        <w:tab/>
      </w:r>
      <w:r w:rsidR="00997334" w:rsidRPr="00D60C70">
        <w:rPr>
          <w:rFonts w:eastAsia="Calibri"/>
          <w:iCs/>
          <w:lang w:val="en-US" w:eastAsia="en-US"/>
        </w:rPr>
        <w:t>În anul 201</w:t>
      </w:r>
      <w:r>
        <w:rPr>
          <w:rFonts w:eastAsia="Calibri"/>
          <w:iCs/>
          <w:lang w:val="en-US" w:eastAsia="en-US"/>
        </w:rPr>
        <w:t>8</w:t>
      </w:r>
      <w:r w:rsidR="00997334" w:rsidRPr="00D60C70">
        <w:rPr>
          <w:rFonts w:eastAsia="Calibri"/>
          <w:iCs/>
          <w:lang w:val="en-US" w:eastAsia="en-US"/>
        </w:rPr>
        <w:t xml:space="preserve"> pentru Programul (P2), ,,Sportul Pentru Toți” a fost organizat</w:t>
      </w:r>
      <w:r>
        <w:rPr>
          <w:rFonts w:eastAsia="Calibri"/>
          <w:iCs/>
          <w:lang w:val="en-US" w:eastAsia="en-US"/>
        </w:rPr>
        <w:t>ă</w:t>
      </w:r>
      <w:r w:rsidR="00997334" w:rsidRPr="00D60C70">
        <w:rPr>
          <w:rFonts w:eastAsia="Calibri"/>
          <w:iCs/>
          <w:lang w:val="en-US" w:eastAsia="en-US"/>
        </w:rPr>
        <w:t xml:space="preserve"> și desfășurat</w:t>
      </w:r>
      <w:r>
        <w:rPr>
          <w:rFonts w:eastAsia="Calibri"/>
          <w:iCs/>
          <w:lang w:val="en-US" w:eastAsia="en-US"/>
        </w:rPr>
        <w:t>ă</w:t>
      </w:r>
      <w:r w:rsidR="00997334" w:rsidRPr="00D60C70">
        <w:rPr>
          <w:rFonts w:eastAsia="Calibri"/>
          <w:iCs/>
          <w:lang w:val="en-US" w:eastAsia="en-US"/>
        </w:rPr>
        <w:t xml:space="preserve"> până în luna decembrie</w:t>
      </w:r>
      <w:r w:rsidR="00B0199C">
        <w:rPr>
          <w:rFonts w:eastAsia="Calibri"/>
          <w:iCs/>
          <w:lang w:val="en-US" w:eastAsia="en-US"/>
        </w:rPr>
        <w:t xml:space="preserve"> o singură competitie sportivă</w:t>
      </w:r>
      <w:r>
        <w:rPr>
          <w:rFonts w:eastAsia="Calibri"/>
          <w:iCs/>
          <w:lang w:val="en-US" w:eastAsia="en-US"/>
        </w:rPr>
        <w:t>.</w:t>
      </w:r>
    </w:p>
    <w:p w:rsidR="00E00781" w:rsidRPr="00E74CA8" w:rsidRDefault="00E00781" w:rsidP="00A77970">
      <w:pPr>
        <w:ind w:firstLine="720"/>
        <w:jc w:val="both"/>
        <w:rPr>
          <w:rFonts w:eastAsia="Calibri"/>
          <w:iCs/>
          <w:lang w:val="en-US" w:eastAsia="en-US"/>
        </w:rPr>
      </w:pPr>
    </w:p>
    <w:p w:rsidR="00E00781" w:rsidRPr="00E00781" w:rsidRDefault="00E00781" w:rsidP="00E00781">
      <w:pPr>
        <w:ind w:firstLine="567"/>
        <w:jc w:val="both"/>
        <w:rPr>
          <w:rStyle w:val="Emphasis"/>
          <w:i w:val="0"/>
          <w:color w:val="000000" w:themeColor="text1"/>
        </w:rPr>
      </w:pPr>
      <w:r w:rsidRPr="00113F40">
        <w:rPr>
          <w:rStyle w:val="Emphasis"/>
          <w:i w:val="0"/>
          <w:color w:val="000000" w:themeColor="text1"/>
        </w:rPr>
        <w:t>Cetățeanul, reprezentând Structurile sportive din Municipiul București a solicitat sprijin din partea DSTMB în suma de 1.553.425 lei în anul 2018, iar MTS a decis finanțarea cu suma de 0 lei. Menționăm că fondurile disponibile pentru activi</w:t>
      </w:r>
      <w:r>
        <w:rPr>
          <w:rStyle w:val="Emphasis"/>
          <w:i w:val="0"/>
          <w:color w:val="000000" w:themeColor="text1"/>
        </w:rPr>
        <w:t>tatea sportivă la nivelul DSTMB</w:t>
      </w:r>
      <w:r w:rsidRPr="00113F40">
        <w:rPr>
          <w:rStyle w:val="Emphasis"/>
          <w:i w:val="0"/>
          <w:color w:val="000000" w:themeColor="text1"/>
        </w:rPr>
        <w:t xml:space="preserve">  s-au constituit din venituri proprii în valoare de 394.479,00 lei</w:t>
      </w:r>
      <w:r w:rsidRPr="00113F40">
        <w:rPr>
          <w:rStyle w:val="Emphasis"/>
          <w:i w:val="0"/>
          <w:color w:val="00B050"/>
        </w:rPr>
        <w:t>.</w:t>
      </w:r>
    </w:p>
    <w:p w:rsidR="00997334" w:rsidRPr="009B61B3" w:rsidRDefault="00997334" w:rsidP="00A77970">
      <w:pPr>
        <w:rPr>
          <w:rFonts w:eastAsia="Calibri"/>
          <w:iCs/>
          <w:lang w:val="en-US" w:eastAsia="en-US"/>
        </w:rPr>
      </w:pPr>
    </w:p>
    <w:p w:rsidR="00A36205" w:rsidRDefault="00997334" w:rsidP="00A77970">
      <w:pPr>
        <w:rPr>
          <w:rFonts w:eastAsia="Calibri"/>
          <w:b/>
          <w:iCs/>
          <w:lang w:val="en-US" w:eastAsia="en-US"/>
        </w:rPr>
      </w:pPr>
      <w:r w:rsidRPr="009B61B3">
        <w:rPr>
          <w:rFonts w:eastAsia="Calibri"/>
          <w:b/>
          <w:i/>
          <w:iCs/>
          <w:lang w:val="en-US" w:eastAsia="en-US"/>
        </w:rPr>
        <w:t>PROTOCOALE ŞI CONVENŢII DE PARTENERIAT</w:t>
      </w:r>
    </w:p>
    <w:p w:rsidR="00562DDF" w:rsidRDefault="00A36205" w:rsidP="00A77970">
      <w:pPr>
        <w:jc w:val="both"/>
        <w:rPr>
          <w:rFonts w:eastAsia="Calibri"/>
          <w:iCs/>
          <w:lang w:val="en-US" w:eastAsia="en-US"/>
        </w:rPr>
      </w:pPr>
      <w:r w:rsidRPr="00D60C70">
        <w:rPr>
          <w:rFonts w:eastAsia="Calibri"/>
          <w:b/>
          <w:iCs/>
          <w:lang w:val="en-US" w:eastAsia="en-US"/>
        </w:rPr>
        <w:tab/>
      </w:r>
      <w:r w:rsidR="00997334" w:rsidRPr="00D60C70">
        <w:rPr>
          <w:rFonts w:eastAsia="Calibri"/>
          <w:iCs/>
          <w:lang w:val="en-US" w:eastAsia="en-US"/>
        </w:rPr>
        <w:t>În decursul anului 201</w:t>
      </w:r>
      <w:r w:rsidR="00E00781">
        <w:rPr>
          <w:rFonts w:eastAsia="Calibri"/>
          <w:iCs/>
          <w:lang w:val="en-US" w:eastAsia="en-US"/>
        </w:rPr>
        <w:t>8</w:t>
      </w:r>
      <w:r w:rsidR="00997334" w:rsidRPr="00D60C70">
        <w:rPr>
          <w:rFonts w:eastAsia="Calibri"/>
          <w:iCs/>
          <w:lang w:val="en-US" w:eastAsia="en-US"/>
        </w:rPr>
        <w:t xml:space="preserve">, Direcţia pentru Sport şi Tineret a Municipiului Bucureşti a încheiat un număr de </w:t>
      </w:r>
      <w:r w:rsidR="00E00781">
        <w:rPr>
          <w:rFonts w:eastAsia="Calibri"/>
          <w:iCs/>
          <w:lang w:val="en-US" w:eastAsia="en-US"/>
        </w:rPr>
        <w:t>8</w:t>
      </w:r>
      <w:r w:rsidR="00997334" w:rsidRPr="00D60C70">
        <w:rPr>
          <w:rFonts w:eastAsia="Calibri"/>
          <w:iCs/>
          <w:lang w:val="en-US" w:eastAsia="en-US"/>
        </w:rPr>
        <w:t xml:space="preserve"> de protocoale şi acorduri de parteneriat cu structuri sportive, dintre care enumerăm:</w:t>
      </w:r>
      <w:r w:rsidR="00D60C70">
        <w:rPr>
          <w:rFonts w:eastAsia="Calibri"/>
          <w:b/>
          <w:iCs/>
          <w:lang w:val="en-US" w:eastAsia="en-US"/>
        </w:rPr>
        <w:t xml:space="preserve"> </w:t>
      </w:r>
      <w:r w:rsidR="00FE1CD2" w:rsidRPr="00FE1CD2">
        <w:rPr>
          <w:rFonts w:eastAsia="Calibri"/>
          <w:iCs/>
          <w:lang w:val="en-US" w:eastAsia="en-US"/>
        </w:rPr>
        <w:t>Asociaţia Municipală de tenis de masă, ACS Arte Marţiale Impression, ACS Lifegames Bucureşti, ACS Mişcarea CFR Bucureşti, Clubul Sportiv Spike București, Federaţia română de Arte Marțiale, Federaţia română de Atletism, Clubul Sportiv ”Absolut Fight” București.</w:t>
      </w:r>
    </w:p>
    <w:p w:rsidR="00FE1CD2" w:rsidRPr="009B61B3" w:rsidRDefault="00FE1CD2" w:rsidP="00A77970">
      <w:pPr>
        <w:jc w:val="both"/>
        <w:rPr>
          <w:rFonts w:eastAsia="Calibri"/>
          <w:b/>
          <w:iCs/>
          <w:lang w:val="en-US" w:eastAsia="en-US"/>
        </w:rPr>
      </w:pPr>
    </w:p>
    <w:p w:rsidR="00997334" w:rsidRPr="009B61B3" w:rsidRDefault="00997334" w:rsidP="00A77970">
      <w:pPr>
        <w:jc w:val="both"/>
        <w:rPr>
          <w:rFonts w:eastAsia="Calibri"/>
          <w:b/>
          <w:iCs/>
          <w:lang w:val="en-US" w:eastAsia="en-US"/>
        </w:rPr>
      </w:pPr>
      <w:r w:rsidRPr="009B61B3">
        <w:rPr>
          <w:rFonts w:eastAsia="Calibri"/>
          <w:b/>
          <w:i/>
          <w:iCs/>
          <w:lang w:val="en-US" w:eastAsia="en-US"/>
        </w:rPr>
        <w:t>IMPLICAREA ASOCIAŢIILOR MUNICIPALE PE RAMURĂ DE SPORT ÎN DERULAREA COMPETIŢIILOR SPORTIVE</w:t>
      </w:r>
    </w:p>
    <w:p w:rsidR="00997334" w:rsidRDefault="00FE1CD2" w:rsidP="00A77970">
      <w:pPr>
        <w:jc w:val="both"/>
        <w:rPr>
          <w:rFonts w:eastAsia="Calibri"/>
          <w:iCs/>
          <w:lang w:val="en-US" w:eastAsia="en-US"/>
        </w:rPr>
      </w:pPr>
      <w:r>
        <w:rPr>
          <w:rFonts w:eastAsia="Calibri"/>
          <w:iCs/>
          <w:lang w:val="en-US" w:eastAsia="en-US"/>
        </w:rPr>
        <w:tab/>
      </w:r>
      <w:r w:rsidRPr="00FE1CD2">
        <w:rPr>
          <w:rFonts w:eastAsia="Calibri"/>
          <w:iCs/>
          <w:lang w:val="en-US" w:eastAsia="en-US"/>
        </w:rPr>
        <w:t>În anul 2018 DSTMB a desfășurat o colaborare redusă cu federațiile sportive naționale și asociațiile municipale pe ramuri de sport din motivele menționate anterior și anume lipsa personalului în proporție de 85%</w:t>
      </w:r>
      <w:r>
        <w:rPr>
          <w:rFonts w:eastAsia="Calibri"/>
          <w:iCs/>
          <w:lang w:val="en-US" w:eastAsia="en-US"/>
        </w:rPr>
        <w:t>.</w:t>
      </w:r>
    </w:p>
    <w:p w:rsidR="00FE1CD2" w:rsidRPr="009B61B3" w:rsidRDefault="00FE1CD2" w:rsidP="00A77970">
      <w:pPr>
        <w:jc w:val="both"/>
        <w:rPr>
          <w:rFonts w:eastAsia="Calibri"/>
          <w:b/>
          <w:iCs/>
          <w:lang w:val="en-US" w:eastAsia="en-US"/>
        </w:rPr>
      </w:pPr>
    </w:p>
    <w:p w:rsidR="00997334" w:rsidRPr="009B61B3" w:rsidRDefault="00997334" w:rsidP="00A77970">
      <w:pPr>
        <w:jc w:val="both"/>
        <w:rPr>
          <w:rFonts w:eastAsia="Calibri"/>
          <w:b/>
          <w:iCs/>
          <w:lang w:val="en-US" w:eastAsia="en-US"/>
        </w:rPr>
      </w:pPr>
      <w:r w:rsidRPr="009B61B3">
        <w:rPr>
          <w:rFonts w:eastAsia="Calibri"/>
          <w:b/>
          <w:i/>
          <w:iCs/>
          <w:lang w:val="en-US" w:eastAsia="en-US"/>
        </w:rPr>
        <w:t>SITUAŢIA SPORTULUI ŞCOLAR DIN MUNICIPIUL BUCUREŞTI</w:t>
      </w:r>
    </w:p>
    <w:p w:rsidR="00D11D47" w:rsidRDefault="00FE1CD2" w:rsidP="00A77970">
      <w:pPr>
        <w:ind w:firstLine="720"/>
        <w:jc w:val="both"/>
        <w:rPr>
          <w:rStyle w:val="Emphasis"/>
          <w:i w:val="0"/>
        </w:rPr>
      </w:pPr>
      <w:r w:rsidRPr="00F43616">
        <w:rPr>
          <w:rStyle w:val="Emphasis"/>
          <w:i w:val="0"/>
        </w:rPr>
        <w:t>Olimpiada Naţională a Sportului Şcolar s-a desfășurat fără implicarea DSTMB.</w:t>
      </w:r>
    </w:p>
    <w:p w:rsidR="00FE1CD2" w:rsidRPr="009B61B3" w:rsidRDefault="00FE1CD2" w:rsidP="00A77970">
      <w:pPr>
        <w:ind w:firstLine="720"/>
        <w:jc w:val="both"/>
        <w:rPr>
          <w:rFonts w:eastAsia="Calibri"/>
          <w:iCs/>
          <w:lang w:val="en-US" w:eastAsia="en-US"/>
        </w:rPr>
      </w:pPr>
    </w:p>
    <w:p w:rsidR="00997334" w:rsidRPr="009B61B3" w:rsidRDefault="00997334" w:rsidP="00A77970">
      <w:pPr>
        <w:jc w:val="both"/>
        <w:rPr>
          <w:rFonts w:eastAsia="Calibri"/>
          <w:b/>
          <w:iCs/>
          <w:lang w:val="en-US" w:eastAsia="en-US"/>
        </w:rPr>
      </w:pPr>
      <w:r w:rsidRPr="009B61B3">
        <w:rPr>
          <w:rFonts w:eastAsia="Calibri"/>
          <w:b/>
          <w:i/>
          <w:iCs/>
          <w:lang w:val="en-US" w:eastAsia="en-US"/>
        </w:rPr>
        <w:t>SITUAŢIA CONSTITUIRII ASOCIAŢIILOR SPORTIVE FĂRĂ PERSONALITATE JURIDICĂ</w:t>
      </w:r>
    </w:p>
    <w:p w:rsidR="00997334" w:rsidRPr="00D60C70" w:rsidRDefault="00997334" w:rsidP="00A77970">
      <w:pPr>
        <w:ind w:firstLine="720"/>
        <w:rPr>
          <w:rFonts w:eastAsia="Calibri"/>
          <w:iCs/>
          <w:lang w:val="en-US" w:eastAsia="en-US"/>
        </w:rPr>
      </w:pPr>
      <w:r w:rsidRPr="00D60C70">
        <w:rPr>
          <w:rFonts w:eastAsia="Calibri"/>
          <w:iCs/>
          <w:lang w:val="en-US" w:eastAsia="en-US"/>
        </w:rPr>
        <w:t xml:space="preserve">Total Asociaţii: </w:t>
      </w:r>
      <w:r w:rsidR="00FE1CD2">
        <w:rPr>
          <w:rFonts w:eastAsia="Calibri"/>
          <w:iCs/>
          <w:lang w:val="en-US" w:eastAsia="en-US"/>
        </w:rPr>
        <w:t>437</w:t>
      </w:r>
      <w:r w:rsidR="00D11D47" w:rsidRPr="00D60C70">
        <w:rPr>
          <w:rFonts w:eastAsia="Calibri"/>
          <w:iCs/>
          <w:lang w:val="en-US" w:eastAsia="en-US"/>
        </w:rPr>
        <w:t xml:space="preserve"> </w:t>
      </w:r>
      <w:r w:rsidR="00E74CA8">
        <w:rPr>
          <w:rFonts w:eastAsia="Calibri"/>
          <w:iCs/>
          <w:lang w:val="en-US" w:eastAsia="en-US"/>
        </w:rPr>
        <w:t>(a</w:t>
      </w:r>
      <w:r w:rsidRPr="00D60C70">
        <w:rPr>
          <w:rFonts w:eastAsia="Calibri"/>
          <w:iCs/>
          <w:lang w:val="en-US" w:eastAsia="en-US"/>
        </w:rPr>
        <w:t>sociații nou înfiinţate în anul 201</w:t>
      </w:r>
      <w:r w:rsidR="00FE1CD2">
        <w:rPr>
          <w:rFonts w:eastAsia="Calibri"/>
          <w:iCs/>
          <w:lang w:val="en-US" w:eastAsia="en-US"/>
        </w:rPr>
        <w:t>8</w:t>
      </w:r>
      <w:r w:rsidR="00E74CA8">
        <w:rPr>
          <w:rFonts w:eastAsia="Calibri"/>
          <w:iCs/>
          <w:lang w:val="en-US" w:eastAsia="en-US"/>
        </w:rPr>
        <w:t xml:space="preserve">: </w:t>
      </w:r>
      <w:r w:rsidR="00FE1CD2">
        <w:rPr>
          <w:rFonts w:eastAsia="Calibri"/>
          <w:iCs/>
          <w:lang w:val="en-US" w:eastAsia="en-US"/>
        </w:rPr>
        <w:t>5</w:t>
      </w:r>
      <w:r w:rsidRPr="00D60C70">
        <w:rPr>
          <w:rFonts w:eastAsia="Calibri"/>
          <w:iCs/>
          <w:lang w:val="en-US" w:eastAsia="en-US"/>
        </w:rPr>
        <w:t xml:space="preserve"> din</w:t>
      </w:r>
      <w:r w:rsidR="00D60C70">
        <w:rPr>
          <w:rFonts w:eastAsia="Calibri"/>
          <w:iCs/>
          <w:lang w:val="en-US" w:eastAsia="en-US"/>
        </w:rPr>
        <w:t>tre</w:t>
      </w:r>
      <w:r w:rsidR="00E74CA8">
        <w:rPr>
          <w:rFonts w:eastAsia="Calibri"/>
          <w:iCs/>
          <w:lang w:val="en-US" w:eastAsia="en-US"/>
        </w:rPr>
        <w:t xml:space="preserve"> care</w:t>
      </w:r>
      <w:r w:rsidRPr="00D60C70">
        <w:rPr>
          <w:rFonts w:eastAsia="Calibri"/>
          <w:iCs/>
          <w:lang w:val="en-US" w:eastAsia="en-US"/>
        </w:rPr>
        <w:t xml:space="preserve"> </w:t>
      </w:r>
      <w:r w:rsidR="00FE1CD2">
        <w:rPr>
          <w:rFonts w:eastAsia="Calibri"/>
          <w:iCs/>
          <w:lang w:val="en-US" w:eastAsia="en-US"/>
        </w:rPr>
        <w:t>2</w:t>
      </w:r>
      <w:r w:rsidRPr="00D60C70">
        <w:rPr>
          <w:rFonts w:eastAsia="Calibri"/>
          <w:iCs/>
          <w:lang w:val="en-US" w:eastAsia="en-US"/>
        </w:rPr>
        <w:t xml:space="preserve">  şcolare</w:t>
      </w:r>
      <w:r w:rsidR="00E74CA8">
        <w:rPr>
          <w:rFonts w:eastAsia="Calibri"/>
          <w:iCs/>
          <w:lang w:val="en-US" w:eastAsia="en-US"/>
        </w:rPr>
        <w:t xml:space="preserve"> și</w:t>
      </w:r>
      <w:r w:rsidRPr="00D60C70">
        <w:rPr>
          <w:rFonts w:eastAsia="Calibri"/>
          <w:iCs/>
          <w:lang w:val="en-US" w:eastAsia="en-US"/>
        </w:rPr>
        <w:t xml:space="preserve"> </w:t>
      </w:r>
      <w:r w:rsidR="00FE1CD2">
        <w:rPr>
          <w:rFonts w:eastAsia="Calibri"/>
          <w:iCs/>
          <w:lang w:val="en-US" w:eastAsia="en-US"/>
        </w:rPr>
        <w:t>3</w:t>
      </w:r>
      <w:r w:rsidRPr="00D60C70">
        <w:rPr>
          <w:rFonts w:eastAsia="Calibri"/>
          <w:iCs/>
          <w:lang w:val="en-US" w:eastAsia="en-US"/>
        </w:rPr>
        <w:t xml:space="preserve"> private</w:t>
      </w:r>
      <w:r w:rsidR="00E74CA8">
        <w:rPr>
          <w:rFonts w:eastAsia="Calibri"/>
          <w:iCs/>
          <w:lang w:val="en-US" w:eastAsia="en-US"/>
        </w:rPr>
        <w:t>)</w:t>
      </w:r>
      <w:r w:rsidRPr="00D60C70">
        <w:rPr>
          <w:rFonts w:eastAsia="Calibri"/>
          <w:iCs/>
          <w:lang w:val="en-US" w:eastAsia="en-US"/>
        </w:rPr>
        <w:t>.</w:t>
      </w:r>
    </w:p>
    <w:p w:rsidR="00997334" w:rsidRPr="009B61B3" w:rsidRDefault="00997334" w:rsidP="00A77970">
      <w:pPr>
        <w:jc w:val="both"/>
        <w:rPr>
          <w:rFonts w:eastAsia="Calibri"/>
          <w:iCs/>
          <w:lang w:val="en-US" w:eastAsia="en-US"/>
        </w:rPr>
      </w:pPr>
    </w:p>
    <w:p w:rsidR="00997334" w:rsidRPr="009B61B3" w:rsidRDefault="00997334" w:rsidP="00A77970">
      <w:pPr>
        <w:jc w:val="both"/>
        <w:rPr>
          <w:rFonts w:eastAsia="Calibri"/>
          <w:b/>
          <w:iCs/>
          <w:lang w:val="en-US" w:eastAsia="en-US"/>
        </w:rPr>
      </w:pPr>
      <w:r w:rsidRPr="009B61B3">
        <w:rPr>
          <w:rFonts w:eastAsia="Calibri"/>
          <w:b/>
          <w:i/>
          <w:iCs/>
          <w:lang w:val="en-US" w:eastAsia="en-US"/>
        </w:rPr>
        <w:t>ANALIZA COMPARATIVĂ A ASOCIAŢIILOR SPORTIVE FĂRĂ PERSONALITATE JURIDICĂ ÎNFIINŢATE ÎN PERIOADA 201</w:t>
      </w:r>
      <w:r w:rsidR="00FE1CD2">
        <w:rPr>
          <w:rFonts w:eastAsia="Calibri"/>
          <w:b/>
          <w:i/>
          <w:iCs/>
          <w:lang w:val="en-US" w:eastAsia="en-US"/>
        </w:rPr>
        <w:t>7</w:t>
      </w:r>
      <w:r w:rsidRPr="009B61B3">
        <w:rPr>
          <w:rFonts w:eastAsia="Calibri"/>
          <w:b/>
          <w:i/>
          <w:iCs/>
          <w:lang w:val="en-US" w:eastAsia="en-US"/>
        </w:rPr>
        <w:t xml:space="preserve"> – 201</w:t>
      </w:r>
      <w:r w:rsidR="00FE1CD2">
        <w:rPr>
          <w:rFonts w:eastAsia="Calibri"/>
          <w:b/>
          <w:i/>
          <w:iCs/>
          <w:lang w:val="en-US" w:eastAsia="en-US"/>
        </w:rPr>
        <w:t>8</w:t>
      </w:r>
      <w:r w:rsidRPr="009B61B3">
        <w:rPr>
          <w:rFonts w:eastAsia="Calibri"/>
          <w:b/>
          <w:i/>
          <w:iCs/>
          <w:lang w:val="en-US" w:eastAsia="en-US"/>
        </w:rPr>
        <w:t xml:space="preserve"> </w:t>
      </w:r>
    </w:p>
    <w:p w:rsidR="00E74CA8" w:rsidRDefault="00FE1CD2" w:rsidP="00A77970">
      <w:pPr>
        <w:jc w:val="center"/>
        <w:rPr>
          <w:b/>
          <w:iCs/>
        </w:rPr>
      </w:pPr>
      <w:r w:rsidRPr="00F43616">
        <w:rPr>
          <w:b/>
          <w:iCs/>
          <w:noProof/>
        </w:rPr>
        <w:lastRenderedPageBreak/>
        <w:drawing>
          <wp:inline distT="0" distB="0" distL="0" distR="0">
            <wp:extent cx="5905500" cy="2438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4428E" w:rsidRDefault="0014428E" w:rsidP="00A77970">
      <w:pPr>
        <w:tabs>
          <w:tab w:val="left" w:pos="0"/>
          <w:tab w:val="left" w:pos="284"/>
        </w:tabs>
        <w:jc w:val="both"/>
        <w:rPr>
          <w:rFonts w:eastAsia="Calibri"/>
          <w:b/>
          <w:i/>
          <w:iCs/>
          <w:lang w:val="en-US" w:eastAsia="en-US"/>
        </w:rPr>
      </w:pPr>
    </w:p>
    <w:p w:rsidR="00997334" w:rsidRPr="009B61B3" w:rsidRDefault="00997334" w:rsidP="00A77970">
      <w:pPr>
        <w:tabs>
          <w:tab w:val="left" w:pos="0"/>
          <w:tab w:val="left" w:pos="284"/>
        </w:tabs>
        <w:jc w:val="both"/>
        <w:rPr>
          <w:b/>
          <w:iCs/>
        </w:rPr>
      </w:pPr>
      <w:r w:rsidRPr="009B61B3">
        <w:rPr>
          <w:rFonts w:eastAsia="Calibri"/>
          <w:b/>
          <w:i/>
          <w:iCs/>
          <w:lang w:val="en-US" w:eastAsia="en-US"/>
        </w:rPr>
        <w:t>ANALIZA REALIZĂRII OBIECTIVELOR ŞI INDICATORILOR ÎN DOMENIUL TINERET</w:t>
      </w:r>
    </w:p>
    <w:p w:rsidR="00997334" w:rsidRPr="009B61B3" w:rsidRDefault="00997334" w:rsidP="00A77970">
      <w:pPr>
        <w:ind w:firstLine="720"/>
        <w:jc w:val="both"/>
        <w:rPr>
          <w:iCs/>
        </w:rPr>
      </w:pPr>
    </w:p>
    <w:p w:rsidR="00997334" w:rsidRPr="009B61B3" w:rsidRDefault="00997334" w:rsidP="00A77970">
      <w:pPr>
        <w:jc w:val="both"/>
        <w:rPr>
          <w:b/>
          <w:iCs/>
          <w:lang w:val="en-US"/>
        </w:rPr>
      </w:pPr>
      <w:r w:rsidRPr="009B61B3">
        <w:rPr>
          <w:b/>
          <w:iCs/>
        </w:rPr>
        <w:t>PROGRAMUL P1- Centre de Tineret</w:t>
      </w:r>
    </w:p>
    <w:p w:rsidR="00997334" w:rsidRPr="009B61B3" w:rsidRDefault="00997334" w:rsidP="00A77970">
      <w:pPr>
        <w:jc w:val="both"/>
        <w:rPr>
          <w:iCs/>
          <w:lang w:val="en-US"/>
        </w:rPr>
      </w:pPr>
      <w:r w:rsidRPr="009B61B3">
        <w:rPr>
          <w:b/>
          <w:iCs/>
          <w:lang w:val="en-US"/>
        </w:rPr>
        <w:tab/>
      </w:r>
      <w:r w:rsidRPr="009B61B3">
        <w:rPr>
          <w:iCs/>
          <w:lang w:val="en-US"/>
        </w:rPr>
        <w:t xml:space="preserve">DSTMB nu este inclusă </w:t>
      </w:r>
      <w:r w:rsidRPr="009B61B3">
        <w:rPr>
          <w:iCs/>
        </w:rPr>
        <w:t>î</w:t>
      </w:r>
      <w:r w:rsidRPr="009B61B3">
        <w:rPr>
          <w:iCs/>
          <w:lang w:val="en-US"/>
        </w:rPr>
        <w:t>n Programul propriu al MTS privind Centrele de Tineret, prin urmare nu a fost bugetată această componentă.</w:t>
      </w:r>
    </w:p>
    <w:p w:rsidR="00997334" w:rsidRPr="009B61B3" w:rsidRDefault="00997334" w:rsidP="00A77970">
      <w:pPr>
        <w:jc w:val="both"/>
        <w:rPr>
          <w:iCs/>
          <w:lang w:val="en-US"/>
        </w:rPr>
      </w:pPr>
    </w:p>
    <w:p w:rsidR="00997334" w:rsidRPr="009B61B3" w:rsidRDefault="00997334" w:rsidP="00A77970">
      <w:pPr>
        <w:jc w:val="both"/>
        <w:rPr>
          <w:b/>
          <w:iCs/>
        </w:rPr>
      </w:pPr>
      <w:r w:rsidRPr="009B61B3">
        <w:rPr>
          <w:b/>
          <w:iCs/>
        </w:rPr>
        <w:t>PROGRAMUL P2- Proiecte Proprii/</w:t>
      </w:r>
      <w:r w:rsidRPr="009B61B3">
        <w:rPr>
          <w:b/>
          <w:iCs/>
          <w:lang w:val="en-US"/>
        </w:rPr>
        <w:t>Parteneriat și Concurs Local de Proiecte</w:t>
      </w:r>
    </w:p>
    <w:p w:rsidR="00FE1CD2" w:rsidRPr="00F43616" w:rsidRDefault="00FE1CD2" w:rsidP="00FE1CD2">
      <w:pPr>
        <w:jc w:val="both"/>
        <w:rPr>
          <w:iCs/>
        </w:rPr>
      </w:pPr>
      <w:r w:rsidRPr="00F43616">
        <w:rPr>
          <w:iCs/>
        </w:rPr>
        <w:tab/>
        <w:t>DSTMB nu a putut desfășura activitate pe aceastp linie datorită lipsei de personal și implicit ducerii la îndeplinire a Metodologiilor stabilite de MTS.</w:t>
      </w:r>
    </w:p>
    <w:p w:rsidR="00FE1CD2" w:rsidRPr="00F43616" w:rsidRDefault="00FE1CD2" w:rsidP="00FE1CD2">
      <w:pPr>
        <w:ind w:firstLine="720"/>
        <w:jc w:val="both"/>
        <w:rPr>
          <w:iCs/>
        </w:rPr>
      </w:pPr>
      <w:r w:rsidRPr="00F43616">
        <w:rPr>
          <w:iCs/>
        </w:rPr>
        <w:t>Deși obiectivele DSTMB s-au încadrat în parametrii administrativi, în conformitate cu legislația în vigoare, lipsa personalului calificat în Compartimentul Tineret a determinat  activitate zero la Proiecte în Parteneriat cu ONGT și imposibilitatea ducerii la îndeplinire a Concursului Local de Proiecte.</w:t>
      </w:r>
    </w:p>
    <w:p w:rsidR="00FE1CD2" w:rsidRPr="00F43616" w:rsidRDefault="00FE1CD2" w:rsidP="00FE1CD2">
      <w:pPr>
        <w:ind w:firstLine="720"/>
        <w:jc w:val="both"/>
        <w:rPr>
          <w:iCs/>
        </w:rPr>
      </w:pPr>
      <w:r w:rsidRPr="00F43616">
        <w:rPr>
          <w:iCs/>
        </w:rPr>
        <w:t>Comisia constituită pentru organizarea și desfășurarea Concursului local de proiecte nu și-a atins obiectivele, suspendându-și activitatea.</w:t>
      </w:r>
    </w:p>
    <w:p w:rsidR="00D60C70" w:rsidRDefault="00D60C70" w:rsidP="00A77970">
      <w:pPr>
        <w:jc w:val="both"/>
        <w:rPr>
          <w:b/>
        </w:rPr>
      </w:pPr>
    </w:p>
    <w:p w:rsidR="00997334" w:rsidRPr="009B61B3" w:rsidRDefault="00997334" w:rsidP="00A77970">
      <w:pPr>
        <w:jc w:val="both"/>
        <w:rPr>
          <w:b/>
        </w:rPr>
      </w:pPr>
      <w:r w:rsidRPr="009B61B3">
        <w:rPr>
          <w:b/>
        </w:rPr>
        <w:t>CENTRE DE AGREMENT</w:t>
      </w:r>
    </w:p>
    <w:p w:rsidR="00997334" w:rsidRPr="009B61B3" w:rsidRDefault="00997334" w:rsidP="00A77970">
      <w:pPr>
        <w:ind w:firstLine="720"/>
        <w:jc w:val="both"/>
      </w:pPr>
      <w:r w:rsidRPr="009B61B3">
        <w:t xml:space="preserve">Ministerul Tineretului și Sportului are în administrare </w:t>
      </w:r>
      <w:r w:rsidRPr="009B61B3">
        <w:rPr>
          <w:b/>
        </w:rPr>
        <w:t>4 centre, nefuncţionale</w:t>
      </w:r>
      <w:r w:rsidRPr="009B61B3">
        <w:t xml:space="preserve"> datorită stadiului avansat de depreciere a clădirilor şi anexelor pe motiv că </w:t>
      </w:r>
      <w:r w:rsidRPr="009B61B3">
        <w:rPr>
          <w:b/>
        </w:rPr>
        <w:t>nu se pot</w:t>
      </w:r>
      <w:r w:rsidRPr="009B61B3">
        <w:t xml:space="preserve"> angaja sume de la bugetul de stat </w:t>
      </w:r>
      <w:r w:rsidRPr="009B61B3">
        <w:rPr>
          <w:b/>
        </w:rPr>
        <w:t>fără a fi intabulate, totodată imposibilitatea efectuării de investiții</w:t>
      </w:r>
      <w:r w:rsidRPr="009B61B3">
        <w:t>;</w:t>
      </w:r>
    </w:p>
    <w:p w:rsidR="00997334" w:rsidRPr="009B61B3" w:rsidRDefault="00997334" w:rsidP="00A77970">
      <w:pPr>
        <w:ind w:firstLine="720"/>
        <w:jc w:val="both"/>
      </w:pPr>
      <w:r w:rsidRPr="009B61B3">
        <w:t>Situația juridică a centrelor de agrement a fost transmisă către administratorul Ministerul Tineretului și Sportului, atât conducerii ministerului cât și către Direcția Economică și Patrimoniu spre informare, analiză și decizie, DSTMB neavând la această dată un răspuns clar al Ministerului încă din luna februarie 2016.</w:t>
      </w:r>
    </w:p>
    <w:p w:rsidR="00D60C70" w:rsidRDefault="00D60C70" w:rsidP="00A77970">
      <w:pPr>
        <w:jc w:val="both"/>
        <w:rPr>
          <w:b/>
          <w:iCs/>
        </w:rPr>
      </w:pPr>
    </w:p>
    <w:p w:rsidR="00CA778E" w:rsidRPr="009B61B3" w:rsidRDefault="00CA778E" w:rsidP="00A77970">
      <w:pPr>
        <w:jc w:val="both"/>
      </w:pPr>
    </w:p>
    <w:p w:rsidR="005C57E2" w:rsidRDefault="005C57E2" w:rsidP="00A77970">
      <w:pPr>
        <w:pStyle w:val="ListParagraph"/>
        <w:numPr>
          <w:ilvl w:val="1"/>
          <w:numId w:val="5"/>
        </w:numPr>
        <w:ind w:left="709" w:hanging="709"/>
        <w:jc w:val="both"/>
        <w:rPr>
          <w:b/>
        </w:rPr>
      </w:pPr>
      <w:r w:rsidRPr="00EA590E">
        <w:rPr>
          <w:b/>
        </w:rPr>
        <w:t>Combaterea sărăciei și a șomajului</w:t>
      </w:r>
      <w:r w:rsidR="0014428E">
        <w:rPr>
          <w:b/>
        </w:rPr>
        <w:t>. Asigurări sociale</w:t>
      </w:r>
    </w:p>
    <w:p w:rsidR="0030769A" w:rsidRDefault="0030769A" w:rsidP="00A77970">
      <w:pPr>
        <w:jc w:val="both"/>
        <w:rPr>
          <w:b/>
        </w:rPr>
      </w:pPr>
    </w:p>
    <w:p w:rsidR="009B61B3" w:rsidRPr="004E0EBA" w:rsidRDefault="009B61B3" w:rsidP="00A77970">
      <w:pPr>
        <w:jc w:val="both"/>
        <w:rPr>
          <w:b/>
          <w:i/>
        </w:rPr>
      </w:pPr>
      <w:r w:rsidRPr="009B61B3">
        <w:tab/>
      </w:r>
      <w:r w:rsidRPr="004E0EBA">
        <w:rPr>
          <w:b/>
          <w:i/>
        </w:rPr>
        <w:t>La nivelul Instituției Prefectului Municipiului București</w:t>
      </w:r>
      <w:r w:rsidR="004E0EBA">
        <w:rPr>
          <w:b/>
          <w:i/>
        </w:rPr>
        <w:t>:</w:t>
      </w:r>
    </w:p>
    <w:p w:rsidR="0030769A" w:rsidRPr="009B61B3" w:rsidRDefault="009B61B3" w:rsidP="00A77970">
      <w:pPr>
        <w:jc w:val="both"/>
        <w:rPr>
          <w:b/>
          <w:bCs/>
          <w:lang w:eastAsia="en-US"/>
        </w:rPr>
      </w:pPr>
      <w:r>
        <w:rPr>
          <w:b/>
          <w:bCs/>
          <w:lang w:eastAsia="en-US"/>
        </w:rPr>
        <w:tab/>
      </w:r>
      <w:r w:rsidR="0030769A" w:rsidRPr="009B61B3">
        <w:rPr>
          <w:b/>
          <w:bCs/>
          <w:lang w:eastAsia="en-US"/>
        </w:rPr>
        <w:t xml:space="preserve">Comisia de coordonare a acţiunii de acordare de produse lactate şi de panificaţie pentru elevi şi preşcolari </w:t>
      </w:r>
      <w:r w:rsidR="0030769A" w:rsidRPr="009B61B3">
        <w:rPr>
          <w:bCs/>
          <w:color w:val="000000" w:themeColor="text1"/>
          <w:lang w:eastAsia="en-US"/>
        </w:rPr>
        <w:t>a fost înfiinţată şi funcţionează potrivit prevederilor OUG nr. 96/2002, aprobată prin Legea nr. 16/2003 şi modificată prin OUG nr. 95/2008.</w:t>
      </w:r>
    </w:p>
    <w:p w:rsidR="00375F56" w:rsidRPr="00375F56" w:rsidRDefault="004E0EBA" w:rsidP="00375F56">
      <w:pPr>
        <w:widowControl w:val="0"/>
        <w:autoSpaceDE w:val="0"/>
        <w:autoSpaceDN w:val="0"/>
        <w:adjustRightInd w:val="0"/>
        <w:jc w:val="both"/>
        <w:rPr>
          <w:color w:val="000000" w:themeColor="text1"/>
          <w:lang w:eastAsia="en-US"/>
        </w:rPr>
      </w:pPr>
      <w:r>
        <w:rPr>
          <w:color w:val="000000" w:themeColor="text1"/>
          <w:lang w:eastAsia="en-US"/>
        </w:rPr>
        <w:tab/>
      </w:r>
      <w:r w:rsidR="00375F56" w:rsidRPr="00375F56">
        <w:rPr>
          <w:color w:val="000000" w:themeColor="text1"/>
          <w:lang w:eastAsia="en-US"/>
        </w:rPr>
        <w:t xml:space="preserve">În anul 2018 s-au dispus măsuri pentru continuarea programului în anul şcolar preuniversitar 2018-2019, prin încheierea contractelor de furnizare a produselor lactate şi de panificaţie şi măsuri de verificare, cu sprijinul Direcţiei de Sănătate Publică a Municipiului Bucureşti, Direcţiei Sanitare Veterinare şi pentru Siguranţa Alimentelor Bucureşti şi a Comisariatului Regional pentru Protecţia </w:t>
      </w:r>
      <w:r w:rsidR="00375F56" w:rsidRPr="00375F56">
        <w:rPr>
          <w:color w:val="000000" w:themeColor="text1"/>
          <w:lang w:eastAsia="en-US"/>
        </w:rPr>
        <w:lastRenderedPageBreak/>
        <w:t>Consumatorilor Regiunea Bucureşti-Ilfov, pentru asigurarea respectării condiţiilor igienico-sanitare de  distribuţie, către elevi, a produselor.</w:t>
      </w:r>
    </w:p>
    <w:p w:rsidR="00375F56" w:rsidRPr="00375F56" w:rsidRDefault="00375F56" w:rsidP="00375F56">
      <w:pPr>
        <w:widowControl w:val="0"/>
        <w:autoSpaceDE w:val="0"/>
        <w:autoSpaceDN w:val="0"/>
        <w:adjustRightInd w:val="0"/>
        <w:jc w:val="both"/>
        <w:rPr>
          <w:color w:val="000000" w:themeColor="text1"/>
          <w:lang w:eastAsia="en-US"/>
        </w:rPr>
      </w:pPr>
      <w:r>
        <w:rPr>
          <w:color w:val="000000" w:themeColor="text1"/>
          <w:lang w:eastAsia="en-US"/>
        </w:rPr>
        <w:tab/>
      </w:r>
      <w:r w:rsidRPr="00375F56">
        <w:rPr>
          <w:color w:val="000000" w:themeColor="text1"/>
          <w:lang w:eastAsia="en-US"/>
        </w:rPr>
        <w:t>Conform rapoartelor primite din partea serviciilor publice deconcentrate care monitorizează desfăşurarea Programului "lapte-corn" la nivelul municipiului Bucureşti, pe parcursul anului 2018 nu au fost semnalate deficienţe igienico-sanitare în producţia, depozitarea şi transportul produselor lactate şi de panificaţie care s-au acordat preşcolarilor şi elevilor claselor I-VIII din învăţământul preunivesitar de stat. De asemenea, au fost respectate normele de etichetare, graficul de livrare şi asigurată calitatea produselor în parametrii prevăzuţi de lege.</w:t>
      </w:r>
    </w:p>
    <w:p w:rsidR="00375F56" w:rsidRDefault="00375F56" w:rsidP="00375F56">
      <w:pPr>
        <w:widowControl w:val="0"/>
        <w:autoSpaceDE w:val="0"/>
        <w:autoSpaceDN w:val="0"/>
        <w:adjustRightInd w:val="0"/>
        <w:jc w:val="both"/>
        <w:rPr>
          <w:b/>
          <w:bCs/>
          <w:color w:val="000000" w:themeColor="text1"/>
          <w:lang w:eastAsia="en-US"/>
        </w:rPr>
      </w:pPr>
      <w:r>
        <w:rPr>
          <w:color w:val="000000" w:themeColor="text1"/>
          <w:lang w:eastAsia="en-US"/>
        </w:rPr>
        <w:tab/>
      </w:r>
      <w:r w:rsidRPr="00375F56">
        <w:rPr>
          <w:color w:val="000000" w:themeColor="text1"/>
          <w:lang w:eastAsia="en-US"/>
        </w:rPr>
        <w:t>Instituţia Prefectului Municipiului Bucureşti a transmis trimestrial (15 aprilie, 15 iulie, 15 octombrie şi 15 ianuarie) către Ministerului Afacerilor Interne raportări privind stadiul programului de verificare al unităţilor de învăţământ, din punct de vedere sanitar veterinar ca urmare a inspecţiilor efectuate de către Direcţia Sanitară Veterinară şi pentru Siguranţa Alimentelor a Municipiului Bucureşti la cantinele grădiniţelor, şcolilor şi liceelor, cât şi în toate unităţile de învăţământ înscrise în Programul “Cornul şi laptele”, în conformitate cu Ordonanţa de urgenţă nr. 72/2016 privind aprobarea Programului-pilot de acordare a unui suport alimentar pentru preşcolarii şi elevii din 50 de unităţi de învăţământ preuniversitar de stat.</w:t>
      </w:r>
      <w:r w:rsidR="004E0EBA">
        <w:rPr>
          <w:b/>
          <w:bCs/>
          <w:color w:val="000000" w:themeColor="text1"/>
          <w:lang w:eastAsia="en-US"/>
        </w:rPr>
        <w:tab/>
      </w:r>
    </w:p>
    <w:p w:rsidR="00FE31A2" w:rsidRDefault="00FE31A2" w:rsidP="00375F56">
      <w:pPr>
        <w:widowControl w:val="0"/>
        <w:autoSpaceDE w:val="0"/>
        <w:autoSpaceDN w:val="0"/>
        <w:adjustRightInd w:val="0"/>
        <w:jc w:val="both"/>
        <w:rPr>
          <w:b/>
          <w:bCs/>
          <w:color w:val="000000" w:themeColor="text1"/>
          <w:lang w:eastAsia="en-US"/>
        </w:rPr>
      </w:pPr>
    </w:p>
    <w:p w:rsidR="0030769A" w:rsidRPr="009B61B3" w:rsidRDefault="00375F56" w:rsidP="00375F56">
      <w:pPr>
        <w:widowControl w:val="0"/>
        <w:autoSpaceDE w:val="0"/>
        <w:autoSpaceDN w:val="0"/>
        <w:adjustRightInd w:val="0"/>
        <w:jc w:val="both"/>
        <w:rPr>
          <w:lang w:val="en-US"/>
        </w:rPr>
      </w:pPr>
      <w:r>
        <w:rPr>
          <w:b/>
          <w:bCs/>
          <w:color w:val="000000" w:themeColor="text1"/>
          <w:lang w:eastAsia="en-US"/>
        </w:rPr>
        <w:tab/>
      </w:r>
      <w:r w:rsidR="0030769A" w:rsidRPr="009B61B3">
        <w:rPr>
          <w:b/>
          <w:bCs/>
          <w:color w:val="000000" w:themeColor="text1"/>
          <w:lang w:eastAsia="en-US"/>
        </w:rPr>
        <w:t>Comisia</w:t>
      </w:r>
      <w:r w:rsidR="0030769A" w:rsidRPr="009B61B3">
        <w:rPr>
          <w:b/>
          <w:color w:val="000000" w:themeColor="text1"/>
          <w:lang w:eastAsia="en-US"/>
        </w:rPr>
        <w:t xml:space="preserve"> pentru aprobarea Programului pentru şcoli în perioada 2017-2023 şi pentru stabilirea bugetului pentru implementarea acestuia în anul şcolar 2017-2018</w:t>
      </w:r>
      <w:r w:rsidR="0030769A" w:rsidRPr="009B61B3">
        <w:rPr>
          <w:bCs/>
          <w:color w:val="000000" w:themeColor="text1"/>
          <w:lang w:eastAsia="en-US"/>
        </w:rPr>
        <w:t xml:space="preserve"> a fost înfiinţată şi funcţionează potrivit prevederilor </w:t>
      </w:r>
      <w:r w:rsidR="0030769A" w:rsidRPr="009B61B3">
        <w:rPr>
          <w:lang w:val="en-US"/>
        </w:rPr>
        <w:t>Hotărârii Guvernului României nr. 640/7.09.2017.</w:t>
      </w:r>
    </w:p>
    <w:p w:rsidR="00375F56" w:rsidRDefault="00375F56" w:rsidP="00375F56">
      <w:pPr>
        <w:jc w:val="both"/>
      </w:pPr>
      <w:r>
        <w:tab/>
        <w:t>Prin H.G. nr. 640/2017 se stabileşte bugetul pentru implementarea Programului pentru şcoli al României în anul şcolar 2017-2018, care cuprinde şi ajutorul financiar alocat conform Deciziei de punere în aplicare a Comisiei C(2017) 1.792 final de stabilire a repartizării definitive a ajutorului din partea Uniunii către statele membre pentru fructe şi legume în şcoli şi pentru lapte în şcoli, pentru perioada 1 august 2017 - 31 iulie 2018.</w:t>
      </w:r>
    </w:p>
    <w:p w:rsidR="00375F56" w:rsidRDefault="00375F56" w:rsidP="00375F56">
      <w:pPr>
        <w:jc w:val="both"/>
      </w:pPr>
      <w:r>
        <w:tab/>
        <w:t>Componenţa şi Regulamentul de organizare şi funcţionare a Comisiei menţionate mai sus au fost stabilite prin Ordinul Prefectului municipiului Bucureşti nr. 959/ 24.10.2017 care a fost modificat de Ordinul Prefectului nr. 358 /19.07.2018.</w:t>
      </w:r>
    </w:p>
    <w:p w:rsidR="00375F56" w:rsidRDefault="00375F56" w:rsidP="00375F56">
      <w:pPr>
        <w:jc w:val="both"/>
      </w:pPr>
      <w:r>
        <w:tab/>
        <w:t>În anul 2018 Comisia pentru aprobarea Programului pentru şcoli în perioada 2017-2023 şi pentru stabilirea bugetului pentru implementarea acestuia în anul şcolar 2017-2018 s-a întâlnit în data de 5.06.2018 şi a avut ca temă de discuţie Stabilirea listei anuale a produselor ce vor fi distribuite în noul an şcolar în conformitate cu H.G. 640/2017.</w:t>
      </w:r>
    </w:p>
    <w:p w:rsidR="00375F56" w:rsidRDefault="00375F56" w:rsidP="00375F56">
      <w:pPr>
        <w:jc w:val="both"/>
      </w:pPr>
      <w:r>
        <w:tab/>
        <w:t xml:space="preserve">În anul 2018 au fost transmise către primăriile de sector adrese pentru dispunerea măsurilor ce se impun în vederea desfăşurării în bune condiţii a Programului pentru şcoli şi de asemenea, dispunerea de măsuri corespunzătoare pentru publicarea pe site-urile primăriilor de sector a modului de implementare a  Programului pentru şcoli în cadrul unităţilor de învăţământ aflate pe raza municipiului Bucureşti. </w:t>
      </w:r>
    </w:p>
    <w:p w:rsidR="00375F56" w:rsidRDefault="00375F56" w:rsidP="00375F56">
      <w:pPr>
        <w:jc w:val="both"/>
        <w:rPr>
          <w:b/>
          <w:bCs/>
          <w:color w:val="000000" w:themeColor="text1"/>
          <w:lang w:val="en-US" w:eastAsia="en-US"/>
        </w:rPr>
      </w:pPr>
      <w:r>
        <w:tab/>
        <w:t>În luna noiembrie 2018 au fost înaintate solicitări către primăriile de sector şi Inspectoratul Şcolar al Municipiului Bucureşti, referitoare la îndeplinirea responsabilităţilor ce le revin (încheierea contractelor de furnizare produse lactate şi de panificaţie, precum şi de fructe proaspete; distribuţia produselor; derularea măsurilor educative), în conformitate cu prevederile legale. Aceste informări au fost transmise lunar şi către Ministerul Agriculturii şi Dezvoltării Rurale.</w:t>
      </w:r>
      <w:r w:rsidR="004E0EBA">
        <w:rPr>
          <w:b/>
          <w:bCs/>
          <w:color w:val="000000" w:themeColor="text1"/>
          <w:lang w:val="en-US" w:eastAsia="en-US"/>
        </w:rPr>
        <w:tab/>
      </w:r>
    </w:p>
    <w:p w:rsidR="00FE31A2" w:rsidRDefault="00FE31A2" w:rsidP="00375F56">
      <w:pPr>
        <w:jc w:val="both"/>
        <w:rPr>
          <w:b/>
          <w:bCs/>
          <w:color w:val="000000" w:themeColor="text1"/>
          <w:lang w:val="en-US" w:eastAsia="en-US"/>
        </w:rPr>
      </w:pPr>
    </w:p>
    <w:p w:rsidR="00FE31A2" w:rsidRDefault="00375F56" w:rsidP="00FE31A2">
      <w:pPr>
        <w:jc w:val="both"/>
        <w:rPr>
          <w:b/>
          <w:bCs/>
          <w:color w:val="000000" w:themeColor="text1"/>
          <w:lang w:val="en-US" w:eastAsia="en-US"/>
        </w:rPr>
      </w:pPr>
      <w:r>
        <w:rPr>
          <w:b/>
          <w:bCs/>
          <w:color w:val="000000" w:themeColor="text1"/>
          <w:lang w:val="en-US" w:eastAsia="en-US"/>
        </w:rPr>
        <w:tab/>
      </w:r>
      <w:r w:rsidR="0030769A" w:rsidRPr="009B61B3">
        <w:rPr>
          <w:b/>
          <w:bCs/>
          <w:color w:val="000000" w:themeColor="text1"/>
          <w:lang w:val="en-US" w:eastAsia="en-US"/>
        </w:rPr>
        <w:t xml:space="preserve">Comisia municipiului Bucureşti privind incluziunea </w:t>
      </w:r>
      <w:r w:rsidR="00FE31A2">
        <w:rPr>
          <w:b/>
          <w:bCs/>
          <w:color w:val="000000" w:themeColor="text1"/>
          <w:lang w:val="en-US" w:eastAsia="en-US"/>
        </w:rPr>
        <w:t>social</w:t>
      </w:r>
      <w:r w:rsidR="001C00F8">
        <w:rPr>
          <w:b/>
          <w:bCs/>
          <w:color w:val="000000" w:themeColor="text1"/>
          <w:lang w:val="en-US" w:eastAsia="en-US"/>
        </w:rPr>
        <w:t>ă</w:t>
      </w:r>
    </w:p>
    <w:p w:rsidR="00375F56" w:rsidRPr="00FE31A2" w:rsidRDefault="00FE31A2" w:rsidP="00FE31A2">
      <w:pPr>
        <w:jc w:val="both"/>
        <w:rPr>
          <w:b/>
          <w:bCs/>
          <w:color w:val="000000" w:themeColor="text1"/>
          <w:lang w:val="en-US" w:eastAsia="en-US"/>
        </w:rPr>
      </w:pPr>
      <w:r>
        <w:rPr>
          <w:b/>
          <w:bCs/>
          <w:color w:val="000000" w:themeColor="text1"/>
          <w:lang w:val="en-US" w:eastAsia="en-US"/>
        </w:rPr>
        <w:tab/>
      </w:r>
      <w:r w:rsidR="00375F56" w:rsidRPr="00375F56">
        <w:t xml:space="preserve">În anul 2018, comisia s-a întrunit în două ședințe, având pe ordinea de zi următoarele teme: </w:t>
      </w:r>
    </w:p>
    <w:p w:rsidR="00375F56" w:rsidRPr="00375F56" w:rsidRDefault="00375F56" w:rsidP="00FE31A2">
      <w:pPr>
        <w:numPr>
          <w:ilvl w:val="0"/>
          <w:numId w:val="52"/>
        </w:numPr>
        <w:tabs>
          <w:tab w:val="left" w:pos="284"/>
        </w:tabs>
        <w:ind w:left="0" w:firstLine="0"/>
        <w:jc w:val="both"/>
        <w:rPr>
          <w:lang w:val="pt-BR"/>
        </w:rPr>
      </w:pPr>
      <w:r w:rsidRPr="00375F56">
        <w:rPr>
          <w:lang w:val="pt-BR"/>
        </w:rPr>
        <w:t>Prezentarea și aprobarea Planului anual de acţiuni privind incluziunea socială la nivelul Municipiului Bucureşti;</w:t>
      </w:r>
    </w:p>
    <w:p w:rsidR="00375F56" w:rsidRPr="00375F56" w:rsidRDefault="00375F56" w:rsidP="00FE31A2">
      <w:pPr>
        <w:numPr>
          <w:ilvl w:val="0"/>
          <w:numId w:val="52"/>
        </w:numPr>
        <w:tabs>
          <w:tab w:val="left" w:pos="284"/>
        </w:tabs>
        <w:ind w:left="0" w:firstLine="0"/>
        <w:jc w:val="both"/>
        <w:rPr>
          <w:lang w:val="pt-BR"/>
        </w:rPr>
      </w:pPr>
      <w:r w:rsidRPr="00375F56">
        <w:rPr>
          <w:lang w:val="pt-BR"/>
        </w:rPr>
        <w:t>Prezentarea și aprobarea Raportului pe semestrul I al Planului anual de acţiuni privind incluziunea socială la nivelul Municipiului Bucureşti pe anul 2017, în domeniul încluziunii şi protecţiei sociale;</w:t>
      </w:r>
    </w:p>
    <w:p w:rsidR="00375F56" w:rsidRDefault="00375F56" w:rsidP="00FE31A2">
      <w:pPr>
        <w:numPr>
          <w:ilvl w:val="0"/>
          <w:numId w:val="52"/>
        </w:numPr>
        <w:tabs>
          <w:tab w:val="left" w:pos="284"/>
        </w:tabs>
        <w:ind w:left="0" w:firstLine="0"/>
        <w:jc w:val="both"/>
        <w:rPr>
          <w:lang w:val="pt-BR"/>
        </w:rPr>
      </w:pPr>
      <w:r w:rsidRPr="00375F56">
        <w:rPr>
          <w:lang w:val="pt-BR"/>
        </w:rPr>
        <w:t>Dezbaterea și avizărea ”Strategiei de dezvoltare a serviciilor sociale la nivelul DGASPC Sector 5, în perioada 2019-2024”.</w:t>
      </w:r>
    </w:p>
    <w:p w:rsidR="00375F56" w:rsidRPr="00375F56" w:rsidRDefault="00375F56" w:rsidP="00375F56">
      <w:pPr>
        <w:ind w:firstLine="851"/>
        <w:jc w:val="both"/>
      </w:pPr>
      <w:r w:rsidRPr="00375F56">
        <w:lastRenderedPageBreak/>
        <w:t>În urma analizării situaţiei prezentate de reprezentanţii autorităţilor administraţiei publice locale din municipiul Bucureşti și serviciile publice deconcentrate s-a constatat o responsabilă implicare în îndeplinirea obiectivelor asumate în plan pentru perioadele analizate. Totodată, s-a remarcat o eficientă colaborare a administraţiei publice locale cu organizaţiile nonguvernamentale, fapt concretizat prin derularea unor proiecte de asistenţă socială, adoptarea de măsuri de incluziune activă, pentru dezvoltarea infrastructurii sociale şi îmbunătăţirea sistemului de sănătate pentru persoanele defavorizate, fiind alocate fonduri din bugetul de stat, bugetele locale şi fonduri ale partenerilor externi.</w:t>
      </w:r>
    </w:p>
    <w:p w:rsidR="00A66032" w:rsidRPr="00826CAD" w:rsidRDefault="00826CAD" w:rsidP="00375F56">
      <w:pPr>
        <w:jc w:val="both"/>
        <w:rPr>
          <w:b/>
          <w:kern w:val="28"/>
          <w:lang w:eastAsia="en-US"/>
        </w:rPr>
      </w:pPr>
      <w:r>
        <w:rPr>
          <w:kern w:val="28"/>
          <w:lang w:eastAsia="en-US"/>
        </w:rPr>
        <w:tab/>
      </w:r>
      <w:r w:rsidR="00A66032" w:rsidRPr="00826CAD">
        <w:rPr>
          <w:b/>
          <w:kern w:val="28"/>
          <w:lang w:eastAsia="en-US"/>
        </w:rPr>
        <w:t>Grupul de lucru cu atribuţii în implementare, la nivelul municipiului Bucureşti, a Programului Operaţional Ajutorarea Persoanelor Defavorizate</w:t>
      </w:r>
    </w:p>
    <w:p w:rsidR="00A66032" w:rsidRPr="009B61B3" w:rsidRDefault="00A66032" w:rsidP="00A77970">
      <w:pPr>
        <w:pStyle w:val="ListParagraph"/>
        <w:tabs>
          <w:tab w:val="left" w:pos="0"/>
        </w:tabs>
        <w:ind w:left="0"/>
        <w:jc w:val="both"/>
        <w:rPr>
          <w:kern w:val="28"/>
          <w:lang w:eastAsia="en-US"/>
        </w:rPr>
      </w:pPr>
      <w:r w:rsidRPr="009B61B3">
        <w:rPr>
          <w:kern w:val="28"/>
          <w:lang w:eastAsia="en-US"/>
        </w:rPr>
        <w:tab/>
        <w:t>Pentru îndeplinirea atribuţiilor prevăzute de Hotărârea Guvernului nr. 799/2014 privind implementarea Programului Operaţional Ajutorarea Persoanelor Defavorizate (POAD), serviciul strategii guvernamentale și servicii publice deconcentrate, împreună cu celelalte compartimente ale instituției au făcut propuneri pentru reactualizarea componenței Grupului de lucru cu atribuţii în implementarea POAD, precum și pentru constituirea Comisiei mixte de control pentru verificarea derulării Programului operațional Ajutorarea persoanelor defavorizate la nivelul municipiului București.</w:t>
      </w:r>
    </w:p>
    <w:p w:rsidR="00AE21D4" w:rsidRPr="00AE21D4" w:rsidRDefault="00AE21D4" w:rsidP="00A77970">
      <w:pPr>
        <w:jc w:val="both"/>
        <w:rPr>
          <w:kern w:val="28"/>
          <w:szCs w:val="20"/>
          <w:lang w:eastAsia="en-US"/>
        </w:rPr>
      </w:pPr>
    </w:p>
    <w:p w:rsidR="00997334" w:rsidRPr="00997334" w:rsidRDefault="00AE21D4" w:rsidP="00A77970">
      <w:pPr>
        <w:jc w:val="both"/>
        <w:rPr>
          <w:kern w:val="28"/>
          <w:szCs w:val="20"/>
          <w:lang w:eastAsia="en-US"/>
        </w:rPr>
      </w:pPr>
      <w:r>
        <w:rPr>
          <w:b/>
          <w:kern w:val="28"/>
          <w:szCs w:val="20"/>
          <w:lang w:eastAsia="en-US"/>
        </w:rPr>
        <w:tab/>
        <w:t>Numărul şomerilor înregistraţi</w:t>
      </w:r>
      <w:r w:rsidR="00997334" w:rsidRPr="00997334">
        <w:rPr>
          <w:b/>
          <w:kern w:val="28"/>
          <w:szCs w:val="20"/>
          <w:lang w:eastAsia="en-US"/>
        </w:rPr>
        <w:t xml:space="preserve"> </w:t>
      </w:r>
      <w:r w:rsidRPr="00AE21D4">
        <w:rPr>
          <w:kern w:val="28"/>
          <w:szCs w:val="20"/>
          <w:lang w:eastAsia="en-US"/>
        </w:rPr>
        <w:t>a scăzut cu aproape 14% în decembrie 2018 faţă de luna ianuarie a aceluiaşi an, scădere resimţită la nivelul ambelor sexe. Numărul şomerilor scade mai rapid (-18,4%) decât cel al persoanelor neocupate de sex feminin (-9,7%).</w:t>
      </w:r>
    </w:p>
    <w:p w:rsidR="00D60C70" w:rsidRDefault="00D60C70" w:rsidP="00A77970">
      <w:pPr>
        <w:rPr>
          <w:b/>
          <w:szCs w:val="20"/>
          <w:lang w:eastAsia="en-US"/>
        </w:rPr>
      </w:pPr>
    </w:p>
    <w:p w:rsidR="00997334" w:rsidRPr="00997334" w:rsidRDefault="00562DDF" w:rsidP="00A77970">
      <w:pPr>
        <w:rPr>
          <w:b/>
          <w:lang w:eastAsia="en-US"/>
        </w:rPr>
      </w:pPr>
      <w:r>
        <w:rPr>
          <w:b/>
          <w:szCs w:val="20"/>
          <w:lang w:eastAsia="en-US"/>
        </w:rPr>
        <w:t xml:space="preserve">Potrivit Agenției Naționale pentru Ocuparea Forței de Muncă, situația </w:t>
      </w:r>
      <w:r w:rsidR="00997334" w:rsidRPr="00997334">
        <w:rPr>
          <w:b/>
          <w:szCs w:val="20"/>
          <w:lang w:eastAsia="en-US"/>
        </w:rPr>
        <w:t>şomerilor înregi</w:t>
      </w:r>
      <w:r>
        <w:rPr>
          <w:b/>
          <w:szCs w:val="20"/>
          <w:lang w:eastAsia="en-US"/>
        </w:rPr>
        <w:t>straţi, pe sexe, în anul 201</w:t>
      </w:r>
      <w:r w:rsidR="00AE21D4">
        <w:rPr>
          <w:b/>
          <w:szCs w:val="20"/>
          <w:lang w:eastAsia="en-US"/>
        </w:rPr>
        <w:t>8</w:t>
      </w:r>
      <w:r>
        <w:rPr>
          <w:b/>
          <w:szCs w:val="20"/>
          <w:lang w:eastAsia="en-US"/>
        </w:rPr>
        <w:t xml:space="preserve"> </w:t>
      </w:r>
      <w:r w:rsidR="00997334" w:rsidRPr="00997334">
        <w:rPr>
          <w:b/>
          <w:lang w:eastAsia="en-US"/>
        </w:rPr>
        <w:t>(la sfârşitul fiecărei luni)</w:t>
      </w:r>
      <w:r>
        <w:rPr>
          <w:b/>
          <w:lang w:eastAsia="en-US"/>
        </w:rPr>
        <w:t>, se prezintă astfel:</w:t>
      </w:r>
    </w:p>
    <w:p w:rsidR="00997334" w:rsidRPr="00997334" w:rsidRDefault="00997334" w:rsidP="00A77970">
      <w:pPr>
        <w:jc w:val="right"/>
        <w:rPr>
          <w:kern w:val="28"/>
          <w:sz w:val="18"/>
          <w:szCs w:val="18"/>
          <w:lang w:eastAsia="en-US"/>
        </w:rPr>
      </w:pPr>
      <w:r w:rsidRPr="00997334">
        <w:rPr>
          <w:kern w:val="28"/>
          <w:sz w:val="18"/>
          <w:szCs w:val="18"/>
          <w:lang w:eastAsia="en-US"/>
        </w:rPr>
        <w:t>- persoane -</w:t>
      </w:r>
    </w:p>
    <w:tbl>
      <w:tblPr>
        <w:tblW w:w="105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061"/>
        <w:gridCol w:w="707"/>
        <w:gridCol w:w="708"/>
        <w:gridCol w:w="708"/>
        <w:gridCol w:w="708"/>
        <w:gridCol w:w="707"/>
        <w:gridCol w:w="708"/>
        <w:gridCol w:w="708"/>
        <w:gridCol w:w="708"/>
        <w:gridCol w:w="707"/>
        <w:gridCol w:w="708"/>
        <w:gridCol w:w="708"/>
        <w:gridCol w:w="708"/>
      </w:tblGrid>
      <w:tr w:rsidR="00997334" w:rsidRPr="00FE31A2" w:rsidTr="00FE31A2">
        <w:trPr>
          <w:trHeight w:val="228"/>
        </w:trPr>
        <w:tc>
          <w:tcPr>
            <w:tcW w:w="2061" w:type="dxa"/>
            <w:vMerge w:val="restart"/>
            <w:tcBorders>
              <w:top w:val="single" w:sz="4" w:space="0" w:color="auto"/>
            </w:tcBorders>
            <w:shd w:val="clear" w:color="auto" w:fill="E0E0E0"/>
            <w:tcMar>
              <w:left w:w="113" w:type="dxa"/>
            </w:tcMar>
            <w:vAlign w:val="center"/>
          </w:tcPr>
          <w:p w:rsidR="00997334" w:rsidRPr="00FE31A2" w:rsidRDefault="00997334" w:rsidP="00A77970">
            <w:pPr>
              <w:jc w:val="center"/>
              <w:rPr>
                <w:rFonts w:eastAsia="Arial Unicode MS"/>
                <w:b/>
                <w:kern w:val="28"/>
                <w:lang w:eastAsia="en-US"/>
              </w:rPr>
            </w:pPr>
          </w:p>
        </w:tc>
        <w:tc>
          <w:tcPr>
            <w:tcW w:w="8493" w:type="dxa"/>
            <w:gridSpan w:val="12"/>
            <w:tcBorders>
              <w:top w:val="single" w:sz="4" w:space="0" w:color="auto"/>
            </w:tcBorders>
            <w:shd w:val="clear" w:color="auto" w:fill="E0E0E0"/>
            <w:vAlign w:val="center"/>
          </w:tcPr>
          <w:p w:rsidR="00997334" w:rsidRPr="00FE31A2" w:rsidRDefault="00AE21D4" w:rsidP="00A77970">
            <w:pPr>
              <w:jc w:val="center"/>
              <w:rPr>
                <w:rFonts w:eastAsia="Arial Unicode MS"/>
                <w:b/>
                <w:kern w:val="28"/>
                <w:lang w:eastAsia="en-US"/>
              </w:rPr>
            </w:pPr>
            <w:r w:rsidRPr="00FE31A2">
              <w:rPr>
                <w:rFonts w:eastAsia="Arial Unicode MS"/>
                <w:b/>
                <w:kern w:val="28"/>
                <w:lang w:eastAsia="en-US"/>
              </w:rPr>
              <w:t>Anul 2018</w:t>
            </w:r>
          </w:p>
        </w:tc>
      </w:tr>
      <w:tr w:rsidR="00FE31A2" w:rsidRPr="00FE31A2" w:rsidTr="00FE31A2">
        <w:trPr>
          <w:trHeight w:val="228"/>
        </w:trPr>
        <w:tc>
          <w:tcPr>
            <w:tcW w:w="2061" w:type="dxa"/>
            <w:vMerge/>
            <w:shd w:val="clear" w:color="auto" w:fill="E0E0E0"/>
            <w:tcMar>
              <w:left w:w="113" w:type="dxa"/>
            </w:tcMar>
            <w:vAlign w:val="center"/>
          </w:tcPr>
          <w:p w:rsidR="00997334" w:rsidRPr="00FE31A2" w:rsidRDefault="00997334" w:rsidP="00A77970">
            <w:pPr>
              <w:jc w:val="center"/>
              <w:rPr>
                <w:rFonts w:eastAsia="Arial Unicode MS"/>
                <w:b/>
                <w:kern w:val="28"/>
                <w:lang w:eastAsia="en-US"/>
              </w:rPr>
            </w:pPr>
          </w:p>
        </w:tc>
        <w:tc>
          <w:tcPr>
            <w:tcW w:w="707" w:type="dxa"/>
            <w:shd w:val="clear" w:color="auto" w:fill="E0E0E0"/>
            <w:vAlign w:val="center"/>
          </w:tcPr>
          <w:p w:rsidR="00997334" w:rsidRPr="00FE31A2" w:rsidRDefault="00997334" w:rsidP="00A77970">
            <w:pPr>
              <w:jc w:val="center"/>
              <w:rPr>
                <w:rFonts w:eastAsia="Arial Unicode MS"/>
                <w:b/>
                <w:kern w:val="28"/>
                <w:lang w:eastAsia="en-US"/>
              </w:rPr>
            </w:pPr>
            <w:r w:rsidRPr="00FE31A2">
              <w:rPr>
                <w:b/>
                <w:kern w:val="28"/>
                <w:lang w:eastAsia="en-US"/>
              </w:rPr>
              <w:t>ian.</w:t>
            </w:r>
          </w:p>
        </w:tc>
        <w:tc>
          <w:tcPr>
            <w:tcW w:w="708" w:type="dxa"/>
            <w:shd w:val="clear" w:color="auto" w:fill="E0E0E0"/>
            <w:vAlign w:val="center"/>
          </w:tcPr>
          <w:p w:rsidR="00997334" w:rsidRPr="00FE31A2" w:rsidRDefault="00997334" w:rsidP="00A77970">
            <w:pPr>
              <w:jc w:val="center"/>
              <w:rPr>
                <w:rFonts w:eastAsia="Arial Unicode MS"/>
                <w:b/>
                <w:kern w:val="28"/>
                <w:lang w:eastAsia="en-US"/>
              </w:rPr>
            </w:pPr>
            <w:r w:rsidRPr="00FE31A2">
              <w:rPr>
                <w:b/>
                <w:kern w:val="28"/>
                <w:lang w:eastAsia="en-US"/>
              </w:rPr>
              <w:t>feb.</w:t>
            </w:r>
          </w:p>
        </w:tc>
        <w:tc>
          <w:tcPr>
            <w:tcW w:w="708" w:type="dxa"/>
            <w:shd w:val="clear" w:color="auto" w:fill="E0E0E0"/>
            <w:vAlign w:val="center"/>
          </w:tcPr>
          <w:p w:rsidR="00997334" w:rsidRPr="00FE31A2" w:rsidRDefault="00997334" w:rsidP="00A77970">
            <w:pPr>
              <w:jc w:val="center"/>
              <w:rPr>
                <w:rFonts w:eastAsia="Arial Unicode MS"/>
                <w:b/>
                <w:kern w:val="28"/>
                <w:lang w:eastAsia="en-US"/>
              </w:rPr>
            </w:pPr>
            <w:r w:rsidRPr="00FE31A2">
              <w:rPr>
                <w:b/>
                <w:kern w:val="28"/>
                <w:lang w:eastAsia="en-US"/>
              </w:rPr>
              <w:t>mar.</w:t>
            </w:r>
          </w:p>
        </w:tc>
        <w:tc>
          <w:tcPr>
            <w:tcW w:w="708" w:type="dxa"/>
            <w:shd w:val="clear" w:color="auto" w:fill="E0E0E0"/>
            <w:vAlign w:val="center"/>
          </w:tcPr>
          <w:p w:rsidR="00997334" w:rsidRPr="00FE31A2" w:rsidRDefault="00997334" w:rsidP="00A77970">
            <w:pPr>
              <w:jc w:val="center"/>
              <w:rPr>
                <w:rFonts w:eastAsia="Arial Unicode MS"/>
                <w:b/>
                <w:kern w:val="28"/>
                <w:lang w:eastAsia="en-US"/>
              </w:rPr>
            </w:pPr>
            <w:r w:rsidRPr="00FE31A2">
              <w:rPr>
                <w:b/>
                <w:kern w:val="28"/>
                <w:lang w:eastAsia="en-US"/>
              </w:rPr>
              <w:t>apr.</w:t>
            </w:r>
          </w:p>
        </w:tc>
        <w:tc>
          <w:tcPr>
            <w:tcW w:w="707" w:type="dxa"/>
            <w:shd w:val="clear" w:color="auto" w:fill="E0E0E0"/>
            <w:vAlign w:val="center"/>
          </w:tcPr>
          <w:p w:rsidR="00997334" w:rsidRPr="00FE31A2" w:rsidRDefault="00997334" w:rsidP="00A77970">
            <w:pPr>
              <w:jc w:val="center"/>
              <w:rPr>
                <w:rFonts w:eastAsia="Arial Unicode MS"/>
                <w:b/>
                <w:kern w:val="28"/>
                <w:lang w:eastAsia="en-US"/>
              </w:rPr>
            </w:pPr>
            <w:r w:rsidRPr="00FE31A2">
              <w:rPr>
                <w:b/>
                <w:kern w:val="28"/>
                <w:lang w:eastAsia="en-US"/>
              </w:rPr>
              <w:t>mai</w:t>
            </w:r>
          </w:p>
        </w:tc>
        <w:tc>
          <w:tcPr>
            <w:tcW w:w="708" w:type="dxa"/>
            <w:shd w:val="clear" w:color="auto" w:fill="E0E0E0"/>
            <w:vAlign w:val="center"/>
          </w:tcPr>
          <w:p w:rsidR="00997334" w:rsidRPr="00FE31A2" w:rsidRDefault="00997334" w:rsidP="00A77970">
            <w:pPr>
              <w:jc w:val="center"/>
              <w:rPr>
                <w:rFonts w:eastAsia="Arial Unicode MS"/>
                <w:b/>
                <w:kern w:val="28"/>
                <w:lang w:eastAsia="en-US"/>
              </w:rPr>
            </w:pPr>
            <w:r w:rsidRPr="00FE31A2">
              <w:rPr>
                <w:rFonts w:eastAsia="Arial Unicode MS"/>
                <w:b/>
                <w:kern w:val="28"/>
                <w:lang w:eastAsia="en-US"/>
              </w:rPr>
              <w:t>iun.</w:t>
            </w:r>
          </w:p>
        </w:tc>
        <w:tc>
          <w:tcPr>
            <w:tcW w:w="708" w:type="dxa"/>
            <w:shd w:val="clear" w:color="auto" w:fill="E0E0E0"/>
            <w:vAlign w:val="center"/>
          </w:tcPr>
          <w:p w:rsidR="00997334" w:rsidRPr="00FE31A2" w:rsidRDefault="00997334" w:rsidP="00A77970">
            <w:pPr>
              <w:jc w:val="center"/>
              <w:rPr>
                <w:rFonts w:eastAsia="Arial Unicode MS"/>
                <w:b/>
                <w:kern w:val="28"/>
                <w:lang w:eastAsia="en-US"/>
              </w:rPr>
            </w:pPr>
            <w:r w:rsidRPr="00FE31A2">
              <w:rPr>
                <w:rFonts w:eastAsia="Arial Unicode MS"/>
                <w:b/>
                <w:kern w:val="28"/>
                <w:lang w:eastAsia="en-US"/>
              </w:rPr>
              <w:t>iul.</w:t>
            </w:r>
          </w:p>
        </w:tc>
        <w:tc>
          <w:tcPr>
            <w:tcW w:w="708" w:type="dxa"/>
            <w:shd w:val="clear" w:color="auto" w:fill="E0E0E0"/>
            <w:vAlign w:val="center"/>
          </w:tcPr>
          <w:p w:rsidR="00997334" w:rsidRPr="00FE31A2" w:rsidRDefault="00997334" w:rsidP="00A77970">
            <w:pPr>
              <w:jc w:val="center"/>
              <w:rPr>
                <w:rFonts w:eastAsia="Arial Unicode MS"/>
                <w:b/>
                <w:kern w:val="28"/>
                <w:lang w:eastAsia="en-US"/>
              </w:rPr>
            </w:pPr>
            <w:r w:rsidRPr="00FE31A2">
              <w:rPr>
                <w:rFonts w:eastAsia="Arial Unicode MS"/>
                <w:b/>
                <w:kern w:val="28"/>
                <w:lang w:eastAsia="en-US"/>
              </w:rPr>
              <w:t>aug.</w:t>
            </w:r>
          </w:p>
        </w:tc>
        <w:tc>
          <w:tcPr>
            <w:tcW w:w="707" w:type="dxa"/>
            <w:shd w:val="clear" w:color="auto" w:fill="E0E0E0"/>
            <w:vAlign w:val="center"/>
          </w:tcPr>
          <w:p w:rsidR="00997334" w:rsidRPr="00FE31A2" w:rsidRDefault="00997334" w:rsidP="00A77970">
            <w:pPr>
              <w:jc w:val="center"/>
              <w:rPr>
                <w:rFonts w:eastAsia="Arial Unicode MS"/>
                <w:b/>
                <w:kern w:val="28"/>
                <w:lang w:eastAsia="en-US"/>
              </w:rPr>
            </w:pPr>
            <w:r w:rsidRPr="00FE31A2">
              <w:rPr>
                <w:rFonts w:eastAsia="Arial Unicode MS"/>
                <w:b/>
                <w:kern w:val="28"/>
                <w:lang w:eastAsia="en-US"/>
              </w:rPr>
              <w:t>sep.</w:t>
            </w:r>
          </w:p>
        </w:tc>
        <w:tc>
          <w:tcPr>
            <w:tcW w:w="708" w:type="dxa"/>
            <w:shd w:val="clear" w:color="auto" w:fill="E0E0E0"/>
            <w:vAlign w:val="center"/>
          </w:tcPr>
          <w:p w:rsidR="00997334" w:rsidRPr="00FE31A2" w:rsidRDefault="00997334" w:rsidP="00A77970">
            <w:pPr>
              <w:jc w:val="center"/>
              <w:rPr>
                <w:rFonts w:eastAsia="Arial Unicode MS"/>
                <w:b/>
                <w:kern w:val="28"/>
                <w:lang w:eastAsia="en-US"/>
              </w:rPr>
            </w:pPr>
            <w:r w:rsidRPr="00FE31A2">
              <w:rPr>
                <w:b/>
                <w:kern w:val="28"/>
                <w:lang w:eastAsia="en-US"/>
              </w:rPr>
              <w:t>oct.</w:t>
            </w:r>
          </w:p>
        </w:tc>
        <w:tc>
          <w:tcPr>
            <w:tcW w:w="708" w:type="dxa"/>
            <w:shd w:val="clear" w:color="auto" w:fill="E0E0E0"/>
            <w:vAlign w:val="center"/>
          </w:tcPr>
          <w:p w:rsidR="00997334" w:rsidRPr="00FE31A2" w:rsidRDefault="00997334" w:rsidP="00A77970">
            <w:pPr>
              <w:jc w:val="center"/>
              <w:rPr>
                <w:rFonts w:eastAsia="Arial Unicode MS"/>
                <w:b/>
                <w:kern w:val="28"/>
                <w:lang w:eastAsia="en-US"/>
              </w:rPr>
            </w:pPr>
            <w:r w:rsidRPr="00FE31A2">
              <w:rPr>
                <w:rFonts w:eastAsia="Arial Unicode MS"/>
                <w:b/>
                <w:kern w:val="28"/>
                <w:lang w:eastAsia="en-US"/>
              </w:rPr>
              <w:t>nov.</w:t>
            </w:r>
          </w:p>
        </w:tc>
        <w:tc>
          <w:tcPr>
            <w:tcW w:w="708" w:type="dxa"/>
            <w:shd w:val="clear" w:color="auto" w:fill="E0E0E0"/>
            <w:vAlign w:val="center"/>
          </w:tcPr>
          <w:p w:rsidR="00997334" w:rsidRPr="00FE31A2" w:rsidRDefault="00997334" w:rsidP="00A77970">
            <w:pPr>
              <w:jc w:val="center"/>
              <w:rPr>
                <w:rFonts w:eastAsia="Arial Unicode MS"/>
                <w:b/>
                <w:kern w:val="28"/>
                <w:lang w:eastAsia="en-US"/>
              </w:rPr>
            </w:pPr>
            <w:r w:rsidRPr="00FE31A2">
              <w:rPr>
                <w:rFonts w:eastAsia="Arial Unicode MS"/>
                <w:b/>
                <w:kern w:val="28"/>
                <w:lang w:eastAsia="en-US"/>
              </w:rPr>
              <w:t>dec.</w:t>
            </w:r>
          </w:p>
        </w:tc>
      </w:tr>
      <w:tr w:rsidR="00AE21D4" w:rsidRPr="00FE31A2" w:rsidTr="00FE31A2">
        <w:trPr>
          <w:trHeight w:val="228"/>
        </w:trPr>
        <w:tc>
          <w:tcPr>
            <w:tcW w:w="2061" w:type="dxa"/>
            <w:tcMar>
              <w:left w:w="113" w:type="dxa"/>
            </w:tcMar>
            <w:vAlign w:val="center"/>
          </w:tcPr>
          <w:p w:rsidR="00AE21D4" w:rsidRPr="00FE31A2" w:rsidRDefault="00AE21D4" w:rsidP="00A77970">
            <w:pPr>
              <w:rPr>
                <w:b/>
                <w:noProof/>
                <w:kern w:val="28"/>
                <w:lang w:val="en-US" w:eastAsia="en-US"/>
              </w:rPr>
            </w:pPr>
            <w:r w:rsidRPr="00FE31A2">
              <w:rPr>
                <w:b/>
                <w:noProof/>
                <w:kern w:val="28"/>
                <w:lang w:val="en-US" w:eastAsia="en-US"/>
              </w:rPr>
              <w:t xml:space="preserve">Municipiul Bucureşti </w:t>
            </w:r>
          </w:p>
          <w:p w:rsidR="00AE21D4" w:rsidRPr="00FE31A2" w:rsidRDefault="00AE21D4" w:rsidP="00A77970">
            <w:pPr>
              <w:rPr>
                <w:b/>
                <w:noProof/>
                <w:kern w:val="28"/>
                <w:lang w:val="en-US" w:eastAsia="en-US"/>
              </w:rPr>
            </w:pPr>
            <w:r w:rsidRPr="00FE31A2">
              <w:rPr>
                <w:b/>
                <w:noProof/>
                <w:kern w:val="28"/>
                <w:lang w:val="en-US" w:eastAsia="en-US"/>
              </w:rPr>
              <w:t>- Total</w:t>
            </w:r>
          </w:p>
        </w:tc>
        <w:tc>
          <w:tcPr>
            <w:tcW w:w="707" w:type="dxa"/>
            <w:shd w:val="clear" w:color="auto" w:fill="auto"/>
            <w:tcMar>
              <w:right w:w="85" w:type="dxa"/>
            </w:tcMar>
            <w:vAlign w:val="bottom"/>
          </w:tcPr>
          <w:p w:rsidR="00AE21D4" w:rsidRPr="00FE31A2" w:rsidRDefault="00AE21D4" w:rsidP="008A7CF6">
            <w:pPr>
              <w:jc w:val="center"/>
              <w:rPr>
                <w:b/>
                <w:bCs/>
              </w:rPr>
            </w:pPr>
            <w:r w:rsidRPr="00FE31A2">
              <w:rPr>
                <w:b/>
                <w:bCs/>
              </w:rPr>
              <w:t>18250</w:t>
            </w:r>
          </w:p>
        </w:tc>
        <w:tc>
          <w:tcPr>
            <w:tcW w:w="708" w:type="dxa"/>
            <w:shd w:val="clear" w:color="auto" w:fill="auto"/>
            <w:tcMar>
              <w:right w:w="85" w:type="dxa"/>
            </w:tcMar>
            <w:vAlign w:val="bottom"/>
          </w:tcPr>
          <w:p w:rsidR="00AE21D4" w:rsidRPr="00FE31A2" w:rsidRDefault="00AE21D4" w:rsidP="008A7CF6">
            <w:pPr>
              <w:jc w:val="center"/>
              <w:rPr>
                <w:b/>
                <w:bCs/>
              </w:rPr>
            </w:pPr>
            <w:r w:rsidRPr="00FE31A2">
              <w:rPr>
                <w:b/>
                <w:bCs/>
              </w:rPr>
              <w:t>18116</w:t>
            </w:r>
          </w:p>
        </w:tc>
        <w:tc>
          <w:tcPr>
            <w:tcW w:w="708" w:type="dxa"/>
            <w:shd w:val="clear" w:color="auto" w:fill="auto"/>
            <w:tcMar>
              <w:right w:w="85" w:type="dxa"/>
            </w:tcMar>
            <w:vAlign w:val="bottom"/>
          </w:tcPr>
          <w:p w:rsidR="00AE21D4" w:rsidRPr="00FE31A2" w:rsidRDefault="00AE21D4" w:rsidP="008A7CF6">
            <w:pPr>
              <w:jc w:val="center"/>
              <w:rPr>
                <w:b/>
                <w:bCs/>
              </w:rPr>
            </w:pPr>
            <w:r w:rsidRPr="00FE31A2">
              <w:rPr>
                <w:b/>
                <w:bCs/>
              </w:rPr>
              <w:t>18023</w:t>
            </w:r>
          </w:p>
        </w:tc>
        <w:tc>
          <w:tcPr>
            <w:tcW w:w="708" w:type="dxa"/>
            <w:shd w:val="clear" w:color="auto" w:fill="auto"/>
            <w:tcMar>
              <w:right w:w="85" w:type="dxa"/>
            </w:tcMar>
            <w:vAlign w:val="bottom"/>
          </w:tcPr>
          <w:p w:rsidR="00AE21D4" w:rsidRPr="00FE31A2" w:rsidRDefault="00AE21D4" w:rsidP="008A7CF6">
            <w:pPr>
              <w:jc w:val="center"/>
              <w:rPr>
                <w:b/>
                <w:bCs/>
              </w:rPr>
            </w:pPr>
            <w:r w:rsidRPr="00FE31A2">
              <w:rPr>
                <w:b/>
                <w:bCs/>
              </w:rPr>
              <w:t>17939</w:t>
            </w:r>
          </w:p>
        </w:tc>
        <w:tc>
          <w:tcPr>
            <w:tcW w:w="707" w:type="dxa"/>
            <w:shd w:val="clear" w:color="auto" w:fill="auto"/>
            <w:tcMar>
              <w:right w:w="85" w:type="dxa"/>
            </w:tcMar>
            <w:vAlign w:val="bottom"/>
          </w:tcPr>
          <w:p w:rsidR="00AE21D4" w:rsidRPr="00FE31A2" w:rsidRDefault="00AE21D4" w:rsidP="008A7CF6">
            <w:pPr>
              <w:jc w:val="center"/>
              <w:rPr>
                <w:b/>
                <w:bCs/>
              </w:rPr>
            </w:pPr>
            <w:r w:rsidRPr="00FE31A2">
              <w:rPr>
                <w:b/>
                <w:bCs/>
              </w:rPr>
              <w:t>17725</w:t>
            </w:r>
          </w:p>
        </w:tc>
        <w:tc>
          <w:tcPr>
            <w:tcW w:w="708" w:type="dxa"/>
            <w:shd w:val="clear" w:color="auto" w:fill="auto"/>
            <w:tcMar>
              <w:right w:w="85" w:type="dxa"/>
            </w:tcMar>
            <w:vAlign w:val="bottom"/>
          </w:tcPr>
          <w:p w:rsidR="00AE21D4" w:rsidRPr="00FE31A2" w:rsidRDefault="00AE21D4" w:rsidP="008A7CF6">
            <w:pPr>
              <w:jc w:val="center"/>
              <w:rPr>
                <w:b/>
                <w:bCs/>
              </w:rPr>
            </w:pPr>
            <w:r w:rsidRPr="00FE31A2">
              <w:rPr>
                <w:b/>
                <w:bCs/>
              </w:rPr>
              <w:t>17630</w:t>
            </w:r>
          </w:p>
        </w:tc>
        <w:tc>
          <w:tcPr>
            <w:tcW w:w="708" w:type="dxa"/>
            <w:shd w:val="clear" w:color="auto" w:fill="auto"/>
            <w:tcMar>
              <w:right w:w="85" w:type="dxa"/>
            </w:tcMar>
            <w:vAlign w:val="bottom"/>
          </w:tcPr>
          <w:p w:rsidR="00AE21D4" w:rsidRPr="00FE31A2" w:rsidRDefault="00AE21D4" w:rsidP="008A7CF6">
            <w:pPr>
              <w:jc w:val="center"/>
              <w:rPr>
                <w:b/>
                <w:bCs/>
              </w:rPr>
            </w:pPr>
            <w:r w:rsidRPr="00FE31A2">
              <w:rPr>
                <w:b/>
                <w:bCs/>
              </w:rPr>
              <w:t>17490</w:t>
            </w:r>
          </w:p>
        </w:tc>
        <w:tc>
          <w:tcPr>
            <w:tcW w:w="708" w:type="dxa"/>
            <w:shd w:val="clear" w:color="auto" w:fill="auto"/>
            <w:tcMar>
              <w:right w:w="85" w:type="dxa"/>
            </w:tcMar>
            <w:vAlign w:val="bottom"/>
          </w:tcPr>
          <w:p w:rsidR="00AE21D4" w:rsidRPr="00FE31A2" w:rsidRDefault="00AE21D4" w:rsidP="008A7CF6">
            <w:pPr>
              <w:jc w:val="center"/>
              <w:rPr>
                <w:b/>
                <w:bCs/>
              </w:rPr>
            </w:pPr>
            <w:r w:rsidRPr="00FE31A2">
              <w:rPr>
                <w:b/>
                <w:bCs/>
              </w:rPr>
              <w:t>17371</w:t>
            </w:r>
          </w:p>
        </w:tc>
        <w:tc>
          <w:tcPr>
            <w:tcW w:w="707" w:type="dxa"/>
            <w:shd w:val="clear" w:color="auto" w:fill="auto"/>
            <w:tcMar>
              <w:right w:w="85" w:type="dxa"/>
            </w:tcMar>
            <w:vAlign w:val="bottom"/>
          </w:tcPr>
          <w:p w:rsidR="00AE21D4" w:rsidRPr="00FE31A2" w:rsidRDefault="00AE21D4" w:rsidP="008A7CF6">
            <w:pPr>
              <w:jc w:val="center"/>
              <w:rPr>
                <w:b/>
                <w:bCs/>
              </w:rPr>
            </w:pPr>
            <w:r w:rsidRPr="00FE31A2">
              <w:rPr>
                <w:b/>
                <w:bCs/>
              </w:rPr>
              <w:t>17106</w:t>
            </w:r>
          </w:p>
        </w:tc>
        <w:tc>
          <w:tcPr>
            <w:tcW w:w="708" w:type="dxa"/>
            <w:shd w:val="clear" w:color="auto" w:fill="auto"/>
            <w:tcMar>
              <w:right w:w="85" w:type="dxa"/>
            </w:tcMar>
            <w:vAlign w:val="bottom"/>
          </w:tcPr>
          <w:p w:rsidR="00AE21D4" w:rsidRPr="00FE31A2" w:rsidRDefault="00AE21D4" w:rsidP="008A7CF6">
            <w:pPr>
              <w:jc w:val="center"/>
              <w:rPr>
                <w:b/>
                <w:bCs/>
              </w:rPr>
            </w:pPr>
            <w:r w:rsidRPr="00FE31A2">
              <w:rPr>
                <w:b/>
                <w:bCs/>
              </w:rPr>
              <w:t>16175</w:t>
            </w:r>
          </w:p>
        </w:tc>
        <w:tc>
          <w:tcPr>
            <w:tcW w:w="708" w:type="dxa"/>
            <w:shd w:val="clear" w:color="auto" w:fill="auto"/>
            <w:tcMar>
              <w:right w:w="85" w:type="dxa"/>
            </w:tcMar>
            <w:vAlign w:val="bottom"/>
          </w:tcPr>
          <w:p w:rsidR="00AE21D4" w:rsidRPr="00FE31A2" w:rsidRDefault="00AE21D4" w:rsidP="008A7CF6">
            <w:pPr>
              <w:jc w:val="center"/>
              <w:rPr>
                <w:b/>
                <w:bCs/>
              </w:rPr>
            </w:pPr>
            <w:r w:rsidRPr="00FE31A2">
              <w:rPr>
                <w:b/>
                <w:bCs/>
              </w:rPr>
              <w:t>15776</w:t>
            </w:r>
          </w:p>
        </w:tc>
        <w:tc>
          <w:tcPr>
            <w:tcW w:w="708" w:type="dxa"/>
            <w:shd w:val="clear" w:color="auto" w:fill="auto"/>
            <w:tcMar>
              <w:right w:w="85" w:type="dxa"/>
            </w:tcMar>
            <w:vAlign w:val="bottom"/>
          </w:tcPr>
          <w:p w:rsidR="00AE21D4" w:rsidRPr="00FE31A2" w:rsidRDefault="00AE21D4" w:rsidP="008A7CF6">
            <w:pPr>
              <w:jc w:val="center"/>
              <w:rPr>
                <w:b/>
                <w:bCs/>
              </w:rPr>
            </w:pPr>
            <w:r w:rsidRPr="00FE31A2">
              <w:rPr>
                <w:b/>
                <w:bCs/>
              </w:rPr>
              <w:t>15710</w:t>
            </w:r>
          </w:p>
        </w:tc>
      </w:tr>
      <w:tr w:rsidR="00AE21D4" w:rsidRPr="00FE31A2" w:rsidTr="00FE31A2">
        <w:trPr>
          <w:trHeight w:val="228"/>
        </w:trPr>
        <w:tc>
          <w:tcPr>
            <w:tcW w:w="2061" w:type="dxa"/>
            <w:tcMar>
              <w:left w:w="113" w:type="dxa"/>
            </w:tcMar>
            <w:vAlign w:val="center"/>
          </w:tcPr>
          <w:p w:rsidR="00AE21D4" w:rsidRPr="00FE31A2" w:rsidRDefault="00AE21D4" w:rsidP="00A77970">
            <w:pPr>
              <w:rPr>
                <w:kern w:val="28"/>
                <w:lang w:eastAsia="en-US"/>
              </w:rPr>
            </w:pPr>
            <w:r w:rsidRPr="00FE31A2">
              <w:rPr>
                <w:kern w:val="28"/>
                <w:lang w:eastAsia="en-US"/>
              </w:rPr>
              <w:t>Bărbaţi</w:t>
            </w:r>
          </w:p>
        </w:tc>
        <w:tc>
          <w:tcPr>
            <w:tcW w:w="707" w:type="dxa"/>
            <w:shd w:val="clear" w:color="auto" w:fill="auto"/>
            <w:tcMar>
              <w:right w:w="85" w:type="dxa"/>
            </w:tcMar>
            <w:vAlign w:val="center"/>
          </w:tcPr>
          <w:p w:rsidR="00AE21D4" w:rsidRPr="00FE31A2" w:rsidRDefault="00AE21D4" w:rsidP="008A7CF6">
            <w:pPr>
              <w:jc w:val="center"/>
            </w:pPr>
            <w:r w:rsidRPr="00FE31A2">
              <w:t>8864</w:t>
            </w:r>
          </w:p>
        </w:tc>
        <w:tc>
          <w:tcPr>
            <w:tcW w:w="708" w:type="dxa"/>
            <w:shd w:val="clear" w:color="auto" w:fill="auto"/>
            <w:tcMar>
              <w:right w:w="85" w:type="dxa"/>
            </w:tcMar>
            <w:vAlign w:val="center"/>
          </w:tcPr>
          <w:p w:rsidR="00AE21D4" w:rsidRPr="00FE31A2" w:rsidRDefault="00AE21D4" w:rsidP="008A7CF6">
            <w:pPr>
              <w:jc w:val="center"/>
            </w:pPr>
            <w:r w:rsidRPr="00FE31A2">
              <w:t>8789</w:t>
            </w:r>
          </w:p>
        </w:tc>
        <w:tc>
          <w:tcPr>
            <w:tcW w:w="708" w:type="dxa"/>
            <w:shd w:val="clear" w:color="auto" w:fill="auto"/>
            <w:tcMar>
              <w:right w:w="85" w:type="dxa"/>
            </w:tcMar>
            <w:vAlign w:val="center"/>
          </w:tcPr>
          <w:p w:rsidR="00AE21D4" w:rsidRPr="00FE31A2" w:rsidRDefault="00AE21D4" w:rsidP="008A7CF6">
            <w:pPr>
              <w:jc w:val="center"/>
            </w:pPr>
            <w:r w:rsidRPr="00FE31A2">
              <w:t>8738</w:t>
            </w:r>
          </w:p>
        </w:tc>
        <w:tc>
          <w:tcPr>
            <w:tcW w:w="708" w:type="dxa"/>
            <w:shd w:val="clear" w:color="auto" w:fill="auto"/>
            <w:tcMar>
              <w:right w:w="85" w:type="dxa"/>
            </w:tcMar>
            <w:vAlign w:val="center"/>
          </w:tcPr>
          <w:p w:rsidR="00AE21D4" w:rsidRPr="00FE31A2" w:rsidRDefault="00AE21D4" w:rsidP="008A7CF6">
            <w:pPr>
              <w:jc w:val="center"/>
            </w:pPr>
            <w:r w:rsidRPr="00FE31A2">
              <w:t>8706</w:t>
            </w:r>
          </w:p>
        </w:tc>
        <w:tc>
          <w:tcPr>
            <w:tcW w:w="707" w:type="dxa"/>
            <w:shd w:val="clear" w:color="auto" w:fill="auto"/>
            <w:tcMar>
              <w:right w:w="85" w:type="dxa"/>
            </w:tcMar>
            <w:vAlign w:val="center"/>
          </w:tcPr>
          <w:p w:rsidR="00AE21D4" w:rsidRPr="00FE31A2" w:rsidRDefault="00AE21D4" w:rsidP="008A7CF6">
            <w:pPr>
              <w:jc w:val="center"/>
            </w:pPr>
            <w:r w:rsidRPr="00FE31A2">
              <w:t>8559</w:t>
            </w:r>
          </w:p>
        </w:tc>
        <w:tc>
          <w:tcPr>
            <w:tcW w:w="708" w:type="dxa"/>
            <w:shd w:val="clear" w:color="auto" w:fill="auto"/>
            <w:tcMar>
              <w:right w:w="85" w:type="dxa"/>
            </w:tcMar>
            <w:vAlign w:val="center"/>
          </w:tcPr>
          <w:p w:rsidR="00AE21D4" w:rsidRPr="00FE31A2" w:rsidRDefault="00AE21D4" w:rsidP="008A7CF6">
            <w:pPr>
              <w:jc w:val="center"/>
            </w:pPr>
            <w:r w:rsidRPr="00FE31A2">
              <w:t>8430</w:t>
            </w:r>
          </w:p>
        </w:tc>
        <w:tc>
          <w:tcPr>
            <w:tcW w:w="708" w:type="dxa"/>
            <w:shd w:val="clear" w:color="auto" w:fill="auto"/>
            <w:tcMar>
              <w:right w:w="85" w:type="dxa"/>
            </w:tcMar>
            <w:vAlign w:val="center"/>
          </w:tcPr>
          <w:p w:rsidR="00AE21D4" w:rsidRPr="00FE31A2" w:rsidRDefault="00AE21D4" w:rsidP="008A7CF6">
            <w:pPr>
              <w:jc w:val="center"/>
            </w:pPr>
            <w:r w:rsidRPr="00FE31A2">
              <w:t>8364</w:t>
            </w:r>
          </w:p>
        </w:tc>
        <w:tc>
          <w:tcPr>
            <w:tcW w:w="708" w:type="dxa"/>
            <w:shd w:val="clear" w:color="auto" w:fill="auto"/>
            <w:tcMar>
              <w:right w:w="85" w:type="dxa"/>
            </w:tcMar>
            <w:vAlign w:val="center"/>
          </w:tcPr>
          <w:p w:rsidR="00AE21D4" w:rsidRPr="00FE31A2" w:rsidRDefault="00AE21D4" w:rsidP="008A7CF6">
            <w:pPr>
              <w:jc w:val="center"/>
            </w:pPr>
            <w:r w:rsidRPr="00FE31A2">
              <w:t xml:space="preserve">8277 </w:t>
            </w:r>
          </w:p>
        </w:tc>
        <w:tc>
          <w:tcPr>
            <w:tcW w:w="707" w:type="dxa"/>
            <w:shd w:val="clear" w:color="auto" w:fill="auto"/>
            <w:tcMar>
              <w:right w:w="85" w:type="dxa"/>
            </w:tcMar>
            <w:vAlign w:val="center"/>
          </w:tcPr>
          <w:p w:rsidR="00AE21D4" w:rsidRPr="00FE31A2" w:rsidRDefault="00AE21D4" w:rsidP="008A7CF6">
            <w:pPr>
              <w:jc w:val="center"/>
            </w:pPr>
            <w:r w:rsidRPr="00FE31A2">
              <w:t>8193</w:t>
            </w:r>
          </w:p>
        </w:tc>
        <w:tc>
          <w:tcPr>
            <w:tcW w:w="708" w:type="dxa"/>
            <w:shd w:val="clear" w:color="auto" w:fill="auto"/>
            <w:tcMar>
              <w:right w:w="85" w:type="dxa"/>
            </w:tcMar>
            <w:vAlign w:val="center"/>
          </w:tcPr>
          <w:p w:rsidR="00AE21D4" w:rsidRPr="00FE31A2" w:rsidRDefault="00AE21D4" w:rsidP="008A7CF6">
            <w:pPr>
              <w:jc w:val="center"/>
            </w:pPr>
            <w:r w:rsidRPr="00FE31A2">
              <w:t>7553</w:t>
            </w:r>
          </w:p>
        </w:tc>
        <w:tc>
          <w:tcPr>
            <w:tcW w:w="708" w:type="dxa"/>
            <w:shd w:val="clear" w:color="auto" w:fill="auto"/>
            <w:tcMar>
              <w:right w:w="85" w:type="dxa"/>
            </w:tcMar>
            <w:vAlign w:val="center"/>
          </w:tcPr>
          <w:p w:rsidR="00AE21D4" w:rsidRPr="00FE31A2" w:rsidRDefault="00AE21D4" w:rsidP="008A7CF6">
            <w:pPr>
              <w:jc w:val="center"/>
            </w:pPr>
            <w:r w:rsidRPr="00FE31A2">
              <w:t>7247</w:t>
            </w:r>
          </w:p>
        </w:tc>
        <w:tc>
          <w:tcPr>
            <w:tcW w:w="708" w:type="dxa"/>
            <w:shd w:val="clear" w:color="auto" w:fill="auto"/>
            <w:tcMar>
              <w:right w:w="85" w:type="dxa"/>
            </w:tcMar>
            <w:vAlign w:val="center"/>
          </w:tcPr>
          <w:p w:rsidR="00AE21D4" w:rsidRPr="00FE31A2" w:rsidRDefault="00AE21D4" w:rsidP="008A7CF6">
            <w:pPr>
              <w:jc w:val="center"/>
            </w:pPr>
            <w:r w:rsidRPr="00FE31A2">
              <w:t>7233</w:t>
            </w:r>
          </w:p>
        </w:tc>
      </w:tr>
      <w:tr w:rsidR="00AE21D4" w:rsidRPr="00FE31A2" w:rsidTr="00FE31A2">
        <w:trPr>
          <w:trHeight w:val="228"/>
        </w:trPr>
        <w:tc>
          <w:tcPr>
            <w:tcW w:w="2061" w:type="dxa"/>
            <w:tcMar>
              <w:left w:w="113" w:type="dxa"/>
            </w:tcMar>
            <w:vAlign w:val="center"/>
          </w:tcPr>
          <w:p w:rsidR="00AE21D4" w:rsidRPr="00FE31A2" w:rsidRDefault="00AE21D4" w:rsidP="00A77970">
            <w:pPr>
              <w:rPr>
                <w:rFonts w:eastAsia="Arial Unicode MS"/>
                <w:kern w:val="28"/>
                <w:lang w:eastAsia="en-US"/>
              </w:rPr>
            </w:pPr>
            <w:r w:rsidRPr="00FE31A2">
              <w:rPr>
                <w:kern w:val="28"/>
                <w:lang w:eastAsia="en-US"/>
              </w:rPr>
              <w:t>Femei</w:t>
            </w:r>
          </w:p>
        </w:tc>
        <w:tc>
          <w:tcPr>
            <w:tcW w:w="707" w:type="dxa"/>
            <w:shd w:val="clear" w:color="auto" w:fill="auto"/>
            <w:tcMar>
              <w:right w:w="85" w:type="dxa"/>
            </w:tcMar>
            <w:vAlign w:val="center"/>
          </w:tcPr>
          <w:p w:rsidR="00AE21D4" w:rsidRPr="00FE31A2" w:rsidRDefault="00AE21D4" w:rsidP="008A7CF6">
            <w:pPr>
              <w:jc w:val="center"/>
            </w:pPr>
            <w:r w:rsidRPr="00FE31A2">
              <w:t>9386</w:t>
            </w:r>
          </w:p>
        </w:tc>
        <w:tc>
          <w:tcPr>
            <w:tcW w:w="708" w:type="dxa"/>
            <w:shd w:val="clear" w:color="auto" w:fill="auto"/>
            <w:tcMar>
              <w:right w:w="85" w:type="dxa"/>
            </w:tcMar>
            <w:vAlign w:val="center"/>
          </w:tcPr>
          <w:p w:rsidR="00AE21D4" w:rsidRPr="00FE31A2" w:rsidRDefault="00AE21D4" w:rsidP="008A7CF6">
            <w:pPr>
              <w:jc w:val="center"/>
            </w:pPr>
            <w:r w:rsidRPr="00FE31A2">
              <w:t>9327</w:t>
            </w:r>
          </w:p>
        </w:tc>
        <w:tc>
          <w:tcPr>
            <w:tcW w:w="708" w:type="dxa"/>
            <w:shd w:val="clear" w:color="auto" w:fill="auto"/>
            <w:tcMar>
              <w:right w:w="85" w:type="dxa"/>
            </w:tcMar>
            <w:vAlign w:val="center"/>
          </w:tcPr>
          <w:p w:rsidR="00AE21D4" w:rsidRPr="00FE31A2" w:rsidRDefault="00AE21D4" w:rsidP="008A7CF6">
            <w:pPr>
              <w:jc w:val="center"/>
            </w:pPr>
            <w:r w:rsidRPr="00FE31A2">
              <w:t>9285</w:t>
            </w:r>
          </w:p>
        </w:tc>
        <w:tc>
          <w:tcPr>
            <w:tcW w:w="708" w:type="dxa"/>
            <w:shd w:val="clear" w:color="auto" w:fill="auto"/>
            <w:tcMar>
              <w:right w:w="85" w:type="dxa"/>
            </w:tcMar>
            <w:vAlign w:val="center"/>
          </w:tcPr>
          <w:p w:rsidR="00AE21D4" w:rsidRPr="00FE31A2" w:rsidRDefault="00AE21D4" w:rsidP="008A7CF6">
            <w:pPr>
              <w:jc w:val="center"/>
            </w:pPr>
            <w:r w:rsidRPr="00FE31A2">
              <w:t>9233</w:t>
            </w:r>
          </w:p>
        </w:tc>
        <w:tc>
          <w:tcPr>
            <w:tcW w:w="707" w:type="dxa"/>
            <w:shd w:val="clear" w:color="auto" w:fill="auto"/>
            <w:tcMar>
              <w:right w:w="85" w:type="dxa"/>
            </w:tcMar>
            <w:vAlign w:val="center"/>
          </w:tcPr>
          <w:p w:rsidR="00AE21D4" w:rsidRPr="00FE31A2" w:rsidRDefault="00AE21D4" w:rsidP="008A7CF6">
            <w:pPr>
              <w:jc w:val="center"/>
            </w:pPr>
            <w:r w:rsidRPr="00FE31A2">
              <w:t>9166</w:t>
            </w:r>
          </w:p>
        </w:tc>
        <w:tc>
          <w:tcPr>
            <w:tcW w:w="708" w:type="dxa"/>
            <w:shd w:val="clear" w:color="auto" w:fill="auto"/>
            <w:tcMar>
              <w:right w:w="85" w:type="dxa"/>
            </w:tcMar>
            <w:vAlign w:val="center"/>
          </w:tcPr>
          <w:p w:rsidR="00AE21D4" w:rsidRPr="00FE31A2" w:rsidRDefault="00AE21D4" w:rsidP="008A7CF6">
            <w:pPr>
              <w:jc w:val="center"/>
            </w:pPr>
            <w:r w:rsidRPr="00FE31A2">
              <w:t>9200</w:t>
            </w:r>
          </w:p>
        </w:tc>
        <w:tc>
          <w:tcPr>
            <w:tcW w:w="708" w:type="dxa"/>
            <w:shd w:val="clear" w:color="auto" w:fill="auto"/>
            <w:tcMar>
              <w:right w:w="85" w:type="dxa"/>
            </w:tcMar>
            <w:vAlign w:val="center"/>
          </w:tcPr>
          <w:p w:rsidR="00AE21D4" w:rsidRPr="00FE31A2" w:rsidRDefault="00AE21D4" w:rsidP="008A7CF6">
            <w:pPr>
              <w:jc w:val="center"/>
            </w:pPr>
            <w:r w:rsidRPr="00FE31A2">
              <w:t>9126</w:t>
            </w:r>
          </w:p>
        </w:tc>
        <w:tc>
          <w:tcPr>
            <w:tcW w:w="708" w:type="dxa"/>
            <w:shd w:val="clear" w:color="auto" w:fill="auto"/>
            <w:tcMar>
              <w:right w:w="85" w:type="dxa"/>
            </w:tcMar>
            <w:vAlign w:val="center"/>
          </w:tcPr>
          <w:p w:rsidR="00AE21D4" w:rsidRPr="00FE31A2" w:rsidRDefault="00AE21D4" w:rsidP="008A7CF6">
            <w:pPr>
              <w:jc w:val="center"/>
            </w:pPr>
            <w:r w:rsidRPr="00FE31A2">
              <w:t xml:space="preserve">9094 </w:t>
            </w:r>
          </w:p>
        </w:tc>
        <w:tc>
          <w:tcPr>
            <w:tcW w:w="707" w:type="dxa"/>
            <w:shd w:val="clear" w:color="auto" w:fill="auto"/>
            <w:tcMar>
              <w:right w:w="85" w:type="dxa"/>
            </w:tcMar>
            <w:vAlign w:val="center"/>
          </w:tcPr>
          <w:p w:rsidR="00AE21D4" w:rsidRPr="00FE31A2" w:rsidRDefault="00AE21D4" w:rsidP="008A7CF6">
            <w:pPr>
              <w:jc w:val="center"/>
            </w:pPr>
            <w:r w:rsidRPr="00FE31A2">
              <w:t>8913</w:t>
            </w:r>
          </w:p>
        </w:tc>
        <w:tc>
          <w:tcPr>
            <w:tcW w:w="708" w:type="dxa"/>
            <w:shd w:val="clear" w:color="auto" w:fill="auto"/>
            <w:tcMar>
              <w:right w:w="85" w:type="dxa"/>
            </w:tcMar>
            <w:vAlign w:val="center"/>
          </w:tcPr>
          <w:p w:rsidR="00AE21D4" w:rsidRPr="00FE31A2" w:rsidRDefault="00AE21D4" w:rsidP="008A7CF6">
            <w:pPr>
              <w:jc w:val="center"/>
            </w:pPr>
            <w:r w:rsidRPr="00FE31A2">
              <w:t>8622</w:t>
            </w:r>
          </w:p>
        </w:tc>
        <w:tc>
          <w:tcPr>
            <w:tcW w:w="708" w:type="dxa"/>
            <w:shd w:val="clear" w:color="auto" w:fill="auto"/>
            <w:tcMar>
              <w:right w:w="85" w:type="dxa"/>
            </w:tcMar>
            <w:vAlign w:val="center"/>
          </w:tcPr>
          <w:p w:rsidR="00AE21D4" w:rsidRPr="00FE31A2" w:rsidRDefault="00AE21D4" w:rsidP="008A7CF6">
            <w:pPr>
              <w:jc w:val="center"/>
            </w:pPr>
            <w:r w:rsidRPr="00FE31A2">
              <w:t>8529</w:t>
            </w:r>
          </w:p>
        </w:tc>
        <w:tc>
          <w:tcPr>
            <w:tcW w:w="708" w:type="dxa"/>
            <w:shd w:val="clear" w:color="auto" w:fill="auto"/>
            <w:tcMar>
              <w:right w:w="85" w:type="dxa"/>
            </w:tcMar>
            <w:vAlign w:val="center"/>
          </w:tcPr>
          <w:p w:rsidR="00AE21D4" w:rsidRPr="00FE31A2" w:rsidRDefault="00AE21D4" w:rsidP="008A7CF6">
            <w:pPr>
              <w:jc w:val="center"/>
            </w:pPr>
            <w:r w:rsidRPr="00FE31A2">
              <w:t>8477</w:t>
            </w:r>
          </w:p>
        </w:tc>
      </w:tr>
    </w:tbl>
    <w:p w:rsidR="00826CAD" w:rsidRDefault="00826CAD" w:rsidP="00A77970">
      <w:pPr>
        <w:rPr>
          <w:b/>
          <w:noProof/>
          <w:kern w:val="28"/>
          <w:lang w:eastAsia="en-US"/>
        </w:rPr>
      </w:pPr>
      <w:bookmarkStart w:id="37" w:name="someriinreg"/>
      <w:bookmarkStart w:id="38" w:name="_Hlk240099071"/>
    </w:p>
    <w:p w:rsidR="00997334" w:rsidRPr="00826CAD" w:rsidRDefault="00997334" w:rsidP="00A77970">
      <w:pPr>
        <w:rPr>
          <w:b/>
          <w:kern w:val="28"/>
          <w:lang w:eastAsia="en-US"/>
        </w:rPr>
      </w:pPr>
      <w:r w:rsidRPr="00826CAD">
        <w:rPr>
          <w:b/>
          <w:noProof/>
          <w:kern w:val="28"/>
          <w:lang w:eastAsia="en-US"/>
        </w:rPr>
        <w:t xml:space="preserve">Numărul şomerilor înregistraţi </w:t>
      </w:r>
      <w:r w:rsidRPr="00826CAD">
        <w:rPr>
          <w:b/>
          <w:kern w:val="28"/>
          <w:lang w:eastAsia="en-US"/>
        </w:rPr>
        <w:t>- la sfârşitul perioadei</w:t>
      </w:r>
    </w:p>
    <w:bookmarkEnd w:id="37"/>
    <w:p w:rsidR="00997334" w:rsidRPr="00997334" w:rsidRDefault="00997334" w:rsidP="00A77970">
      <w:pPr>
        <w:jc w:val="right"/>
        <w:rPr>
          <w:kern w:val="28"/>
          <w:sz w:val="18"/>
          <w:szCs w:val="18"/>
          <w:lang w:eastAsia="en-US"/>
        </w:rPr>
      </w:pPr>
      <w:r w:rsidRPr="00997334">
        <w:rPr>
          <w:kern w:val="28"/>
          <w:sz w:val="18"/>
          <w:szCs w:val="18"/>
          <w:lang w:eastAsia="en-US"/>
        </w:rPr>
        <w:t>- persoane -</w:t>
      </w:r>
    </w:p>
    <w:tbl>
      <w:tblPr>
        <w:tblW w:w="10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149"/>
        <w:gridCol w:w="10"/>
        <w:gridCol w:w="505"/>
        <w:gridCol w:w="10"/>
        <w:gridCol w:w="510"/>
        <w:gridCol w:w="10"/>
        <w:gridCol w:w="512"/>
        <w:gridCol w:w="8"/>
        <w:gridCol w:w="513"/>
        <w:gridCol w:w="7"/>
        <w:gridCol w:w="520"/>
        <w:gridCol w:w="523"/>
        <w:gridCol w:w="521"/>
        <w:gridCol w:w="523"/>
        <w:gridCol w:w="522"/>
        <w:gridCol w:w="521"/>
        <w:gridCol w:w="522"/>
        <w:gridCol w:w="522"/>
        <w:gridCol w:w="521"/>
        <w:gridCol w:w="526"/>
        <w:gridCol w:w="522"/>
        <w:gridCol w:w="529"/>
      </w:tblGrid>
      <w:tr w:rsidR="00997334" w:rsidRPr="00FE31A2" w:rsidTr="00FE31A2">
        <w:trPr>
          <w:cantSplit/>
          <w:trHeight w:val="269"/>
        </w:trPr>
        <w:tc>
          <w:tcPr>
            <w:tcW w:w="2149" w:type="dxa"/>
            <w:vMerge w:val="restart"/>
            <w:shd w:val="clear" w:color="auto" w:fill="E0E0E0"/>
            <w:vAlign w:val="bottom"/>
          </w:tcPr>
          <w:p w:rsidR="00997334" w:rsidRPr="00FE31A2" w:rsidRDefault="00997334" w:rsidP="00A77970">
            <w:pPr>
              <w:keepNext/>
              <w:ind w:left="720" w:firstLine="720"/>
              <w:jc w:val="center"/>
              <w:outlineLvl w:val="3"/>
              <w:rPr>
                <w:noProof/>
                <w:sz w:val="18"/>
                <w:szCs w:val="18"/>
                <w:lang w:eastAsia="en-US"/>
              </w:rPr>
            </w:pPr>
          </w:p>
        </w:tc>
        <w:tc>
          <w:tcPr>
            <w:tcW w:w="4172" w:type="dxa"/>
            <w:gridSpan w:val="13"/>
            <w:shd w:val="clear" w:color="auto" w:fill="E0E0E0"/>
            <w:vAlign w:val="bottom"/>
          </w:tcPr>
          <w:p w:rsidR="00997334" w:rsidRPr="00FE31A2" w:rsidRDefault="00997334" w:rsidP="00A77970">
            <w:pPr>
              <w:jc w:val="center"/>
              <w:rPr>
                <w:b/>
                <w:noProof/>
                <w:kern w:val="28"/>
                <w:sz w:val="18"/>
                <w:szCs w:val="18"/>
                <w:lang w:val="en-US" w:eastAsia="en-US"/>
              </w:rPr>
            </w:pPr>
            <w:r w:rsidRPr="00FE31A2">
              <w:rPr>
                <w:b/>
                <w:noProof/>
                <w:kern w:val="28"/>
                <w:sz w:val="18"/>
                <w:szCs w:val="18"/>
                <w:lang w:val="en-US" w:eastAsia="en-US"/>
              </w:rPr>
              <w:t xml:space="preserve">Anul </w:t>
            </w:r>
            <w:r w:rsidR="00AE21D4" w:rsidRPr="00FE31A2">
              <w:rPr>
                <w:b/>
                <w:noProof/>
                <w:kern w:val="28"/>
                <w:sz w:val="18"/>
                <w:szCs w:val="18"/>
                <w:lang w:val="en-US" w:eastAsia="en-US"/>
              </w:rPr>
              <w:t>2017</w:t>
            </w:r>
          </w:p>
        </w:tc>
        <w:tc>
          <w:tcPr>
            <w:tcW w:w="4185" w:type="dxa"/>
            <w:gridSpan w:val="8"/>
            <w:shd w:val="clear" w:color="auto" w:fill="E0E0E0"/>
            <w:vAlign w:val="bottom"/>
          </w:tcPr>
          <w:p w:rsidR="00997334" w:rsidRPr="00FE31A2" w:rsidRDefault="00AE21D4" w:rsidP="00A77970">
            <w:pPr>
              <w:jc w:val="center"/>
              <w:rPr>
                <w:b/>
                <w:noProof/>
                <w:kern w:val="28"/>
                <w:sz w:val="18"/>
                <w:szCs w:val="18"/>
                <w:lang w:val="en-US" w:eastAsia="en-US"/>
              </w:rPr>
            </w:pPr>
            <w:r w:rsidRPr="00FE31A2">
              <w:rPr>
                <w:b/>
                <w:noProof/>
                <w:kern w:val="28"/>
                <w:sz w:val="18"/>
                <w:szCs w:val="18"/>
                <w:lang w:val="en-US" w:eastAsia="en-US"/>
              </w:rPr>
              <w:t>Anul 2018</w:t>
            </w:r>
          </w:p>
        </w:tc>
      </w:tr>
      <w:tr w:rsidR="00FE31A2" w:rsidRPr="00FE31A2" w:rsidTr="00FE31A2">
        <w:trPr>
          <w:cantSplit/>
          <w:trHeight w:val="269"/>
        </w:trPr>
        <w:tc>
          <w:tcPr>
            <w:tcW w:w="2149" w:type="dxa"/>
            <w:vMerge/>
            <w:shd w:val="clear" w:color="auto" w:fill="E0E0E0"/>
            <w:vAlign w:val="bottom"/>
          </w:tcPr>
          <w:p w:rsidR="00997334" w:rsidRPr="00FE31A2" w:rsidRDefault="00997334" w:rsidP="00A77970">
            <w:pPr>
              <w:keepNext/>
              <w:ind w:left="720" w:firstLine="720"/>
              <w:jc w:val="center"/>
              <w:outlineLvl w:val="3"/>
              <w:rPr>
                <w:noProof/>
                <w:sz w:val="18"/>
                <w:szCs w:val="18"/>
                <w:lang w:val="en-GB" w:eastAsia="en-US"/>
              </w:rPr>
            </w:pPr>
          </w:p>
        </w:tc>
        <w:tc>
          <w:tcPr>
            <w:tcW w:w="1035" w:type="dxa"/>
            <w:gridSpan w:val="4"/>
            <w:shd w:val="clear" w:color="auto" w:fill="E0E0E0"/>
            <w:vAlign w:val="bottom"/>
          </w:tcPr>
          <w:p w:rsidR="00997334" w:rsidRPr="00FE31A2" w:rsidRDefault="00997334" w:rsidP="00A77970">
            <w:pPr>
              <w:jc w:val="center"/>
              <w:rPr>
                <w:b/>
                <w:noProof/>
                <w:kern w:val="28"/>
                <w:sz w:val="18"/>
                <w:szCs w:val="18"/>
                <w:lang w:val="en-US" w:eastAsia="en-US"/>
              </w:rPr>
            </w:pPr>
            <w:r w:rsidRPr="00FE31A2">
              <w:rPr>
                <w:b/>
                <w:noProof/>
                <w:kern w:val="28"/>
                <w:sz w:val="18"/>
                <w:szCs w:val="18"/>
                <w:lang w:val="en-US" w:eastAsia="en-US"/>
              </w:rPr>
              <w:t>trim.I</w:t>
            </w:r>
          </w:p>
        </w:tc>
        <w:tc>
          <w:tcPr>
            <w:tcW w:w="1043" w:type="dxa"/>
            <w:gridSpan w:val="4"/>
            <w:shd w:val="clear" w:color="auto" w:fill="E0E0E0"/>
            <w:vAlign w:val="bottom"/>
          </w:tcPr>
          <w:p w:rsidR="00997334" w:rsidRPr="00FE31A2" w:rsidRDefault="00997334" w:rsidP="00A77970">
            <w:pPr>
              <w:jc w:val="center"/>
              <w:rPr>
                <w:b/>
                <w:noProof/>
                <w:kern w:val="28"/>
                <w:sz w:val="18"/>
                <w:szCs w:val="18"/>
                <w:lang w:val="en-US" w:eastAsia="en-US"/>
              </w:rPr>
            </w:pPr>
            <w:r w:rsidRPr="00FE31A2">
              <w:rPr>
                <w:b/>
                <w:noProof/>
                <w:kern w:val="28"/>
                <w:sz w:val="18"/>
                <w:szCs w:val="18"/>
                <w:lang w:val="en-US" w:eastAsia="en-US"/>
              </w:rPr>
              <w:t>trim.II</w:t>
            </w:r>
          </w:p>
        </w:tc>
        <w:tc>
          <w:tcPr>
            <w:tcW w:w="1050" w:type="dxa"/>
            <w:gridSpan w:val="3"/>
            <w:shd w:val="clear" w:color="auto" w:fill="E0E0E0"/>
            <w:vAlign w:val="bottom"/>
          </w:tcPr>
          <w:p w:rsidR="00997334" w:rsidRPr="00FE31A2" w:rsidRDefault="00997334" w:rsidP="00A77970">
            <w:pPr>
              <w:jc w:val="center"/>
              <w:rPr>
                <w:b/>
                <w:noProof/>
                <w:kern w:val="28"/>
                <w:sz w:val="18"/>
                <w:szCs w:val="18"/>
                <w:lang w:val="en-US" w:eastAsia="en-US"/>
              </w:rPr>
            </w:pPr>
            <w:r w:rsidRPr="00FE31A2">
              <w:rPr>
                <w:b/>
                <w:noProof/>
                <w:kern w:val="28"/>
                <w:sz w:val="18"/>
                <w:szCs w:val="18"/>
                <w:lang w:val="en-US" w:eastAsia="en-US"/>
              </w:rPr>
              <w:t>trim.III</w:t>
            </w:r>
          </w:p>
        </w:tc>
        <w:tc>
          <w:tcPr>
            <w:tcW w:w="1043" w:type="dxa"/>
            <w:gridSpan w:val="2"/>
            <w:shd w:val="clear" w:color="auto" w:fill="E0E0E0"/>
            <w:vAlign w:val="bottom"/>
          </w:tcPr>
          <w:p w:rsidR="00997334" w:rsidRPr="00FE31A2" w:rsidRDefault="00997334" w:rsidP="00A77970">
            <w:pPr>
              <w:jc w:val="center"/>
              <w:rPr>
                <w:b/>
                <w:noProof/>
                <w:kern w:val="28"/>
                <w:sz w:val="18"/>
                <w:szCs w:val="18"/>
                <w:lang w:val="en-US" w:eastAsia="en-US"/>
              </w:rPr>
            </w:pPr>
            <w:r w:rsidRPr="00FE31A2">
              <w:rPr>
                <w:b/>
                <w:noProof/>
                <w:kern w:val="28"/>
                <w:sz w:val="18"/>
                <w:szCs w:val="18"/>
                <w:lang w:val="en-US" w:eastAsia="en-US"/>
              </w:rPr>
              <w:t>trim.IV</w:t>
            </w:r>
          </w:p>
        </w:tc>
        <w:tc>
          <w:tcPr>
            <w:tcW w:w="1043" w:type="dxa"/>
            <w:gridSpan w:val="2"/>
            <w:shd w:val="clear" w:color="auto" w:fill="E0E0E0"/>
            <w:vAlign w:val="bottom"/>
          </w:tcPr>
          <w:p w:rsidR="00997334" w:rsidRPr="00FE31A2" w:rsidRDefault="00997334" w:rsidP="00A77970">
            <w:pPr>
              <w:jc w:val="center"/>
              <w:rPr>
                <w:b/>
                <w:noProof/>
                <w:kern w:val="28"/>
                <w:sz w:val="18"/>
                <w:szCs w:val="18"/>
                <w:lang w:val="en-US" w:eastAsia="en-US"/>
              </w:rPr>
            </w:pPr>
            <w:r w:rsidRPr="00FE31A2">
              <w:rPr>
                <w:b/>
                <w:noProof/>
                <w:kern w:val="28"/>
                <w:sz w:val="18"/>
                <w:szCs w:val="18"/>
                <w:lang w:val="en-US" w:eastAsia="en-US"/>
              </w:rPr>
              <w:t>trim.I</w:t>
            </w:r>
          </w:p>
        </w:tc>
        <w:tc>
          <w:tcPr>
            <w:tcW w:w="1044" w:type="dxa"/>
            <w:gridSpan w:val="2"/>
            <w:shd w:val="clear" w:color="auto" w:fill="E0E0E0"/>
            <w:vAlign w:val="bottom"/>
          </w:tcPr>
          <w:p w:rsidR="00997334" w:rsidRPr="00FE31A2" w:rsidRDefault="00997334" w:rsidP="00A77970">
            <w:pPr>
              <w:jc w:val="center"/>
              <w:rPr>
                <w:b/>
                <w:noProof/>
                <w:kern w:val="28"/>
                <w:sz w:val="18"/>
                <w:szCs w:val="18"/>
                <w:lang w:val="en-US" w:eastAsia="en-US"/>
              </w:rPr>
            </w:pPr>
            <w:r w:rsidRPr="00FE31A2">
              <w:rPr>
                <w:b/>
                <w:noProof/>
                <w:kern w:val="28"/>
                <w:sz w:val="18"/>
                <w:szCs w:val="18"/>
                <w:lang w:val="en-US" w:eastAsia="en-US"/>
              </w:rPr>
              <w:t>trim.II</w:t>
            </w:r>
          </w:p>
        </w:tc>
        <w:tc>
          <w:tcPr>
            <w:tcW w:w="1047" w:type="dxa"/>
            <w:gridSpan w:val="2"/>
            <w:shd w:val="clear" w:color="auto" w:fill="E0E0E0"/>
            <w:vAlign w:val="bottom"/>
          </w:tcPr>
          <w:p w:rsidR="00997334" w:rsidRPr="00FE31A2" w:rsidRDefault="00997334" w:rsidP="00A77970">
            <w:pPr>
              <w:jc w:val="center"/>
              <w:rPr>
                <w:b/>
                <w:noProof/>
                <w:kern w:val="28"/>
                <w:sz w:val="18"/>
                <w:szCs w:val="18"/>
                <w:lang w:val="en-US" w:eastAsia="en-US"/>
              </w:rPr>
            </w:pPr>
            <w:r w:rsidRPr="00FE31A2">
              <w:rPr>
                <w:b/>
                <w:noProof/>
                <w:kern w:val="28"/>
                <w:sz w:val="18"/>
                <w:szCs w:val="18"/>
                <w:lang w:val="en-US" w:eastAsia="en-US"/>
              </w:rPr>
              <w:t>trim.III</w:t>
            </w:r>
          </w:p>
        </w:tc>
        <w:tc>
          <w:tcPr>
            <w:tcW w:w="1050" w:type="dxa"/>
            <w:gridSpan w:val="2"/>
            <w:shd w:val="clear" w:color="auto" w:fill="E0E0E0"/>
            <w:vAlign w:val="bottom"/>
          </w:tcPr>
          <w:p w:rsidR="00997334" w:rsidRPr="00FE31A2" w:rsidRDefault="00997334" w:rsidP="00A77970">
            <w:pPr>
              <w:jc w:val="center"/>
              <w:rPr>
                <w:b/>
                <w:noProof/>
                <w:kern w:val="28"/>
                <w:sz w:val="18"/>
                <w:szCs w:val="18"/>
                <w:lang w:val="en-US" w:eastAsia="en-US"/>
              </w:rPr>
            </w:pPr>
            <w:r w:rsidRPr="00FE31A2">
              <w:rPr>
                <w:b/>
                <w:noProof/>
                <w:kern w:val="28"/>
                <w:sz w:val="18"/>
                <w:szCs w:val="18"/>
                <w:lang w:val="en-US" w:eastAsia="en-US"/>
              </w:rPr>
              <w:t>trim.IV</w:t>
            </w:r>
          </w:p>
        </w:tc>
      </w:tr>
      <w:tr w:rsidR="00FE31A2" w:rsidRPr="00FE31A2" w:rsidTr="00FE31A2">
        <w:trPr>
          <w:cantSplit/>
          <w:trHeight w:val="269"/>
        </w:trPr>
        <w:tc>
          <w:tcPr>
            <w:tcW w:w="2149" w:type="dxa"/>
            <w:vMerge/>
            <w:shd w:val="clear" w:color="auto" w:fill="E0E0E0"/>
            <w:vAlign w:val="bottom"/>
          </w:tcPr>
          <w:p w:rsidR="00997334" w:rsidRPr="00FE31A2" w:rsidRDefault="00997334" w:rsidP="00A77970">
            <w:pPr>
              <w:keepNext/>
              <w:ind w:left="720" w:firstLine="720"/>
              <w:jc w:val="center"/>
              <w:outlineLvl w:val="3"/>
              <w:rPr>
                <w:noProof/>
                <w:sz w:val="18"/>
                <w:szCs w:val="18"/>
                <w:lang w:val="en-GB" w:eastAsia="en-US"/>
              </w:rPr>
            </w:pPr>
          </w:p>
        </w:tc>
        <w:tc>
          <w:tcPr>
            <w:tcW w:w="515" w:type="dxa"/>
            <w:gridSpan w:val="2"/>
            <w:shd w:val="clear" w:color="auto" w:fill="E0E0E0"/>
            <w:vAlign w:val="bottom"/>
          </w:tcPr>
          <w:p w:rsidR="00997334" w:rsidRPr="00FE31A2" w:rsidRDefault="00997334" w:rsidP="00A77970">
            <w:pPr>
              <w:jc w:val="center"/>
              <w:rPr>
                <w:b/>
                <w:noProof/>
                <w:kern w:val="28"/>
                <w:sz w:val="18"/>
                <w:szCs w:val="18"/>
                <w:lang w:val="en-US" w:eastAsia="en-US"/>
              </w:rPr>
            </w:pPr>
            <w:r w:rsidRPr="00FE31A2">
              <w:rPr>
                <w:b/>
                <w:noProof/>
                <w:kern w:val="28"/>
                <w:sz w:val="18"/>
                <w:szCs w:val="18"/>
                <w:lang w:val="en-US" w:eastAsia="en-US"/>
              </w:rPr>
              <w:t>Total</w:t>
            </w:r>
          </w:p>
        </w:tc>
        <w:tc>
          <w:tcPr>
            <w:tcW w:w="520" w:type="dxa"/>
            <w:gridSpan w:val="2"/>
            <w:shd w:val="clear" w:color="auto" w:fill="E0E0E0"/>
            <w:vAlign w:val="bottom"/>
          </w:tcPr>
          <w:p w:rsidR="00997334" w:rsidRPr="00FE31A2" w:rsidRDefault="00997334" w:rsidP="00A77970">
            <w:pPr>
              <w:jc w:val="center"/>
              <w:rPr>
                <w:b/>
                <w:noProof/>
                <w:kern w:val="28"/>
                <w:sz w:val="18"/>
                <w:szCs w:val="18"/>
                <w:lang w:val="en-US" w:eastAsia="en-US"/>
              </w:rPr>
            </w:pPr>
            <w:r w:rsidRPr="00FE31A2">
              <w:rPr>
                <w:b/>
                <w:noProof/>
                <w:kern w:val="28"/>
                <w:sz w:val="18"/>
                <w:szCs w:val="18"/>
                <w:lang w:val="en-US" w:eastAsia="en-US"/>
              </w:rPr>
              <w:t>femei</w:t>
            </w:r>
          </w:p>
        </w:tc>
        <w:tc>
          <w:tcPr>
            <w:tcW w:w="522" w:type="dxa"/>
            <w:gridSpan w:val="2"/>
            <w:shd w:val="clear" w:color="auto" w:fill="E0E0E0"/>
            <w:vAlign w:val="bottom"/>
          </w:tcPr>
          <w:p w:rsidR="00997334" w:rsidRPr="00FE31A2" w:rsidRDefault="00997334" w:rsidP="00A77970">
            <w:pPr>
              <w:jc w:val="center"/>
              <w:rPr>
                <w:b/>
                <w:noProof/>
                <w:kern w:val="28"/>
                <w:sz w:val="18"/>
                <w:szCs w:val="18"/>
                <w:lang w:val="en-US" w:eastAsia="en-US"/>
              </w:rPr>
            </w:pPr>
            <w:r w:rsidRPr="00FE31A2">
              <w:rPr>
                <w:b/>
                <w:noProof/>
                <w:kern w:val="28"/>
                <w:sz w:val="18"/>
                <w:szCs w:val="18"/>
                <w:lang w:val="en-US" w:eastAsia="en-US"/>
              </w:rPr>
              <w:t>Total</w:t>
            </w:r>
          </w:p>
        </w:tc>
        <w:tc>
          <w:tcPr>
            <w:tcW w:w="521" w:type="dxa"/>
            <w:gridSpan w:val="2"/>
            <w:shd w:val="clear" w:color="auto" w:fill="E0E0E0"/>
            <w:vAlign w:val="bottom"/>
          </w:tcPr>
          <w:p w:rsidR="00997334" w:rsidRPr="00FE31A2" w:rsidRDefault="00997334" w:rsidP="00A77970">
            <w:pPr>
              <w:jc w:val="center"/>
              <w:rPr>
                <w:b/>
                <w:noProof/>
                <w:kern w:val="28"/>
                <w:sz w:val="18"/>
                <w:szCs w:val="18"/>
                <w:lang w:val="en-US" w:eastAsia="en-US"/>
              </w:rPr>
            </w:pPr>
            <w:r w:rsidRPr="00FE31A2">
              <w:rPr>
                <w:b/>
                <w:noProof/>
                <w:kern w:val="28"/>
                <w:sz w:val="18"/>
                <w:szCs w:val="18"/>
                <w:lang w:val="en-US" w:eastAsia="en-US"/>
              </w:rPr>
              <w:t>femei</w:t>
            </w:r>
          </w:p>
        </w:tc>
        <w:tc>
          <w:tcPr>
            <w:tcW w:w="527" w:type="dxa"/>
            <w:gridSpan w:val="2"/>
            <w:shd w:val="clear" w:color="auto" w:fill="E0E0E0"/>
            <w:vAlign w:val="bottom"/>
          </w:tcPr>
          <w:p w:rsidR="00997334" w:rsidRPr="00FE31A2" w:rsidRDefault="00997334" w:rsidP="00A77970">
            <w:pPr>
              <w:jc w:val="center"/>
              <w:rPr>
                <w:b/>
                <w:noProof/>
                <w:kern w:val="28"/>
                <w:sz w:val="18"/>
                <w:szCs w:val="18"/>
                <w:lang w:val="en-US" w:eastAsia="en-US"/>
              </w:rPr>
            </w:pPr>
            <w:r w:rsidRPr="00FE31A2">
              <w:rPr>
                <w:b/>
                <w:noProof/>
                <w:kern w:val="28"/>
                <w:sz w:val="18"/>
                <w:szCs w:val="18"/>
                <w:lang w:val="en-US" w:eastAsia="en-US"/>
              </w:rPr>
              <w:t>Total</w:t>
            </w:r>
          </w:p>
        </w:tc>
        <w:tc>
          <w:tcPr>
            <w:tcW w:w="522" w:type="dxa"/>
            <w:shd w:val="clear" w:color="auto" w:fill="E0E0E0"/>
            <w:vAlign w:val="bottom"/>
          </w:tcPr>
          <w:p w:rsidR="00997334" w:rsidRPr="00FE31A2" w:rsidRDefault="00997334" w:rsidP="00A77970">
            <w:pPr>
              <w:jc w:val="center"/>
              <w:rPr>
                <w:b/>
                <w:noProof/>
                <w:kern w:val="28"/>
                <w:sz w:val="18"/>
                <w:szCs w:val="18"/>
                <w:lang w:val="en-US" w:eastAsia="en-US"/>
              </w:rPr>
            </w:pPr>
            <w:r w:rsidRPr="00FE31A2">
              <w:rPr>
                <w:b/>
                <w:noProof/>
                <w:kern w:val="28"/>
                <w:sz w:val="18"/>
                <w:szCs w:val="18"/>
                <w:lang w:val="en-US" w:eastAsia="en-US"/>
              </w:rPr>
              <w:t>femei</w:t>
            </w:r>
          </w:p>
        </w:tc>
        <w:tc>
          <w:tcPr>
            <w:tcW w:w="521" w:type="dxa"/>
            <w:shd w:val="clear" w:color="auto" w:fill="E0E0E0"/>
            <w:vAlign w:val="bottom"/>
          </w:tcPr>
          <w:p w:rsidR="00997334" w:rsidRPr="00FE31A2" w:rsidRDefault="00997334" w:rsidP="00A77970">
            <w:pPr>
              <w:jc w:val="center"/>
              <w:rPr>
                <w:b/>
                <w:noProof/>
                <w:kern w:val="28"/>
                <w:sz w:val="18"/>
                <w:szCs w:val="18"/>
                <w:lang w:val="en-US" w:eastAsia="en-US"/>
              </w:rPr>
            </w:pPr>
            <w:r w:rsidRPr="00FE31A2">
              <w:rPr>
                <w:b/>
                <w:noProof/>
                <w:kern w:val="28"/>
                <w:sz w:val="18"/>
                <w:szCs w:val="18"/>
                <w:lang w:val="en-US" w:eastAsia="en-US"/>
              </w:rPr>
              <w:t>Total</w:t>
            </w:r>
          </w:p>
        </w:tc>
        <w:tc>
          <w:tcPr>
            <w:tcW w:w="522" w:type="dxa"/>
            <w:shd w:val="clear" w:color="auto" w:fill="E0E0E0"/>
            <w:vAlign w:val="bottom"/>
          </w:tcPr>
          <w:p w:rsidR="00997334" w:rsidRPr="00FE31A2" w:rsidRDefault="00997334" w:rsidP="00A77970">
            <w:pPr>
              <w:jc w:val="center"/>
              <w:rPr>
                <w:b/>
                <w:noProof/>
                <w:kern w:val="28"/>
                <w:sz w:val="18"/>
                <w:szCs w:val="18"/>
                <w:lang w:val="en-US" w:eastAsia="en-US"/>
              </w:rPr>
            </w:pPr>
            <w:r w:rsidRPr="00FE31A2">
              <w:rPr>
                <w:b/>
                <w:noProof/>
                <w:kern w:val="28"/>
                <w:sz w:val="18"/>
                <w:szCs w:val="18"/>
                <w:lang w:val="en-US" w:eastAsia="en-US"/>
              </w:rPr>
              <w:t>femei</w:t>
            </w:r>
          </w:p>
        </w:tc>
        <w:tc>
          <w:tcPr>
            <w:tcW w:w="522" w:type="dxa"/>
            <w:shd w:val="clear" w:color="auto" w:fill="E0E0E0"/>
            <w:vAlign w:val="bottom"/>
          </w:tcPr>
          <w:p w:rsidR="00997334" w:rsidRPr="00FE31A2" w:rsidRDefault="00997334" w:rsidP="00A77970">
            <w:pPr>
              <w:jc w:val="center"/>
              <w:rPr>
                <w:b/>
                <w:noProof/>
                <w:kern w:val="28"/>
                <w:sz w:val="18"/>
                <w:szCs w:val="18"/>
                <w:lang w:val="en-US" w:eastAsia="en-US"/>
              </w:rPr>
            </w:pPr>
            <w:r w:rsidRPr="00FE31A2">
              <w:rPr>
                <w:b/>
                <w:noProof/>
                <w:kern w:val="28"/>
                <w:sz w:val="18"/>
                <w:szCs w:val="18"/>
                <w:lang w:val="en-US" w:eastAsia="en-US"/>
              </w:rPr>
              <w:t>Total</w:t>
            </w:r>
          </w:p>
        </w:tc>
        <w:tc>
          <w:tcPr>
            <w:tcW w:w="521" w:type="dxa"/>
            <w:shd w:val="clear" w:color="auto" w:fill="E0E0E0"/>
            <w:vAlign w:val="bottom"/>
          </w:tcPr>
          <w:p w:rsidR="00997334" w:rsidRPr="00FE31A2" w:rsidRDefault="00997334" w:rsidP="00A77970">
            <w:pPr>
              <w:jc w:val="center"/>
              <w:rPr>
                <w:b/>
                <w:noProof/>
                <w:kern w:val="28"/>
                <w:sz w:val="18"/>
                <w:szCs w:val="18"/>
                <w:lang w:val="en-US" w:eastAsia="en-US"/>
              </w:rPr>
            </w:pPr>
            <w:r w:rsidRPr="00FE31A2">
              <w:rPr>
                <w:b/>
                <w:noProof/>
                <w:kern w:val="28"/>
                <w:sz w:val="18"/>
                <w:szCs w:val="18"/>
                <w:lang w:val="en-US" w:eastAsia="en-US"/>
              </w:rPr>
              <w:t>femei</w:t>
            </w:r>
          </w:p>
        </w:tc>
        <w:tc>
          <w:tcPr>
            <w:tcW w:w="522" w:type="dxa"/>
            <w:shd w:val="clear" w:color="auto" w:fill="E0E0E0"/>
            <w:vAlign w:val="bottom"/>
          </w:tcPr>
          <w:p w:rsidR="00997334" w:rsidRPr="00FE31A2" w:rsidRDefault="00997334" w:rsidP="00A77970">
            <w:pPr>
              <w:jc w:val="center"/>
              <w:rPr>
                <w:b/>
                <w:noProof/>
                <w:kern w:val="28"/>
                <w:sz w:val="18"/>
                <w:szCs w:val="18"/>
                <w:lang w:val="en-US" w:eastAsia="en-US"/>
              </w:rPr>
            </w:pPr>
            <w:r w:rsidRPr="00FE31A2">
              <w:rPr>
                <w:b/>
                <w:noProof/>
                <w:kern w:val="28"/>
                <w:sz w:val="18"/>
                <w:szCs w:val="18"/>
                <w:lang w:val="en-US" w:eastAsia="en-US"/>
              </w:rPr>
              <w:t>Total</w:t>
            </w:r>
          </w:p>
        </w:tc>
        <w:tc>
          <w:tcPr>
            <w:tcW w:w="522" w:type="dxa"/>
            <w:shd w:val="clear" w:color="auto" w:fill="E0E0E0"/>
            <w:vAlign w:val="bottom"/>
          </w:tcPr>
          <w:p w:rsidR="00997334" w:rsidRPr="00FE31A2" w:rsidRDefault="00997334" w:rsidP="00A77970">
            <w:pPr>
              <w:jc w:val="center"/>
              <w:rPr>
                <w:b/>
                <w:noProof/>
                <w:kern w:val="28"/>
                <w:sz w:val="18"/>
                <w:szCs w:val="18"/>
                <w:lang w:val="en-US" w:eastAsia="en-US"/>
              </w:rPr>
            </w:pPr>
            <w:r w:rsidRPr="00FE31A2">
              <w:rPr>
                <w:b/>
                <w:noProof/>
                <w:kern w:val="28"/>
                <w:sz w:val="18"/>
                <w:szCs w:val="18"/>
                <w:lang w:val="en-US" w:eastAsia="en-US"/>
              </w:rPr>
              <w:t>femei</w:t>
            </w:r>
          </w:p>
        </w:tc>
        <w:tc>
          <w:tcPr>
            <w:tcW w:w="521" w:type="dxa"/>
            <w:shd w:val="clear" w:color="auto" w:fill="E0E0E0"/>
            <w:vAlign w:val="bottom"/>
          </w:tcPr>
          <w:p w:rsidR="00997334" w:rsidRPr="00FE31A2" w:rsidRDefault="00997334" w:rsidP="00A77970">
            <w:pPr>
              <w:jc w:val="center"/>
              <w:rPr>
                <w:b/>
                <w:noProof/>
                <w:kern w:val="28"/>
                <w:sz w:val="18"/>
                <w:szCs w:val="18"/>
                <w:lang w:val="en-US" w:eastAsia="en-US"/>
              </w:rPr>
            </w:pPr>
            <w:r w:rsidRPr="00FE31A2">
              <w:rPr>
                <w:b/>
                <w:noProof/>
                <w:kern w:val="28"/>
                <w:sz w:val="18"/>
                <w:szCs w:val="18"/>
                <w:lang w:val="en-US" w:eastAsia="en-US"/>
              </w:rPr>
              <w:t>Total</w:t>
            </w:r>
          </w:p>
        </w:tc>
        <w:tc>
          <w:tcPr>
            <w:tcW w:w="526" w:type="dxa"/>
            <w:shd w:val="clear" w:color="auto" w:fill="E0E0E0"/>
            <w:vAlign w:val="bottom"/>
          </w:tcPr>
          <w:p w:rsidR="00997334" w:rsidRPr="00FE31A2" w:rsidRDefault="00997334" w:rsidP="00A77970">
            <w:pPr>
              <w:jc w:val="center"/>
              <w:rPr>
                <w:b/>
                <w:noProof/>
                <w:kern w:val="28"/>
                <w:sz w:val="18"/>
                <w:szCs w:val="18"/>
                <w:lang w:val="en-US" w:eastAsia="en-US"/>
              </w:rPr>
            </w:pPr>
            <w:r w:rsidRPr="00FE31A2">
              <w:rPr>
                <w:b/>
                <w:noProof/>
                <w:kern w:val="28"/>
                <w:sz w:val="18"/>
                <w:szCs w:val="18"/>
                <w:lang w:val="en-US" w:eastAsia="en-US"/>
              </w:rPr>
              <w:t>femei</w:t>
            </w:r>
          </w:p>
        </w:tc>
        <w:tc>
          <w:tcPr>
            <w:tcW w:w="522" w:type="dxa"/>
            <w:shd w:val="clear" w:color="auto" w:fill="E0E0E0"/>
            <w:vAlign w:val="bottom"/>
          </w:tcPr>
          <w:p w:rsidR="00997334" w:rsidRPr="00FE31A2" w:rsidRDefault="00997334" w:rsidP="00A77970">
            <w:pPr>
              <w:jc w:val="center"/>
              <w:rPr>
                <w:b/>
                <w:noProof/>
                <w:kern w:val="28"/>
                <w:sz w:val="18"/>
                <w:szCs w:val="18"/>
                <w:lang w:val="en-US" w:eastAsia="en-US"/>
              </w:rPr>
            </w:pPr>
            <w:r w:rsidRPr="00FE31A2">
              <w:rPr>
                <w:b/>
                <w:noProof/>
                <w:kern w:val="28"/>
                <w:sz w:val="18"/>
                <w:szCs w:val="18"/>
                <w:lang w:val="en-US" w:eastAsia="en-US"/>
              </w:rPr>
              <w:t>Total</w:t>
            </w:r>
          </w:p>
        </w:tc>
        <w:tc>
          <w:tcPr>
            <w:tcW w:w="527" w:type="dxa"/>
            <w:shd w:val="clear" w:color="auto" w:fill="E0E0E0"/>
            <w:vAlign w:val="bottom"/>
          </w:tcPr>
          <w:p w:rsidR="00997334" w:rsidRPr="00FE31A2" w:rsidRDefault="00997334" w:rsidP="00A77970">
            <w:pPr>
              <w:jc w:val="center"/>
              <w:rPr>
                <w:b/>
                <w:noProof/>
                <w:kern w:val="28"/>
                <w:sz w:val="18"/>
                <w:szCs w:val="18"/>
                <w:lang w:val="en-US" w:eastAsia="en-US"/>
              </w:rPr>
            </w:pPr>
            <w:r w:rsidRPr="00FE31A2">
              <w:rPr>
                <w:b/>
                <w:noProof/>
                <w:kern w:val="28"/>
                <w:sz w:val="18"/>
                <w:szCs w:val="18"/>
                <w:lang w:val="en-US" w:eastAsia="en-US"/>
              </w:rPr>
              <w:t>femei</w:t>
            </w:r>
          </w:p>
        </w:tc>
      </w:tr>
      <w:tr w:rsidR="00997334" w:rsidRPr="00FE31A2" w:rsidTr="00FE31A2">
        <w:trPr>
          <w:cantSplit/>
          <w:trHeight w:val="258"/>
        </w:trPr>
        <w:tc>
          <w:tcPr>
            <w:tcW w:w="10506" w:type="dxa"/>
            <w:gridSpan w:val="22"/>
            <w:vAlign w:val="center"/>
          </w:tcPr>
          <w:p w:rsidR="00997334" w:rsidRPr="00FE31A2" w:rsidRDefault="00997334" w:rsidP="00A77970">
            <w:pPr>
              <w:jc w:val="center"/>
              <w:rPr>
                <w:b/>
                <w:noProof/>
                <w:kern w:val="28"/>
                <w:sz w:val="18"/>
                <w:szCs w:val="18"/>
                <w:lang w:val="en-US" w:eastAsia="en-US"/>
              </w:rPr>
            </w:pPr>
            <w:r w:rsidRPr="00FE31A2">
              <w:rPr>
                <w:rFonts w:eastAsia="Arial Unicode MS"/>
                <w:b/>
                <w:noProof/>
                <w:kern w:val="28"/>
                <w:sz w:val="18"/>
                <w:szCs w:val="18"/>
                <w:lang w:val="en-US" w:eastAsia="en-US"/>
              </w:rPr>
              <w:t>MUNICIPIUL BUCUREŞTI</w:t>
            </w:r>
          </w:p>
        </w:tc>
      </w:tr>
      <w:tr w:rsidR="00FE31A2" w:rsidRPr="00FE31A2" w:rsidTr="00FE31A2">
        <w:trPr>
          <w:cantSplit/>
          <w:trHeight w:val="269"/>
        </w:trPr>
        <w:tc>
          <w:tcPr>
            <w:tcW w:w="2159" w:type="dxa"/>
            <w:gridSpan w:val="2"/>
            <w:vAlign w:val="bottom"/>
          </w:tcPr>
          <w:p w:rsidR="00AE21D4" w:rsidRPr="00FE31A2" w:rsidRDefault="00AE21D4" w:rsidP="00A77970">
            <w:pPr>
              <w:rPr>
                <w:kern w:val="28"/>
                <w:sz w:val="18"/>
                <w:szCs w:val="18"/>
                <w:lang w:val="en-US" w:eastAsia="en-US"/>
              </w:rPr>
            </w:pPr>
            <w:r w:rsidRPr="00FE31A2">
              <w:rPr>
                <w:b/>
                <w:noProof/>
                <w:kern w:val="28"/>
                <w:sz w:val="18"/>
                <w:szCs w:val="18"/>
                <w:lang w:val="en-US" w:eastAsia="en-US"/>
              </w:rPr>
              <w:t>Nr.total şomeri înregistraţi</w:t>
            </w:r>
          </w:p>
        </w:tc>
        <w:tc>
          <w:tcPr>
            <w:tcW w:w="515" w:type="dxa"/>
            <w:gridSpan w:val="2"/>
            <w:tcMar>
              <w:right w:w="57" w:type="dxa"/>
            </w:tcMar>
            <w:vAlign w:val="bottom"/>
          </w:tcPr>
          <w:p w:rsidR="00AE21D4" w:rsidRPr="00FE31A2" w:rsidRDefault="00AE21D4" w:rsidP="008A7CF6">
            <w:pPr>
              <w:jc w:val="center"/>
              <w:rPr>
                <w:b/>
                <w:bCs/>
                <w:sz w:val="18"/>
                <w:szCs w:val="18"/>
              </w:rPr>
            </w:pPr>
            <w:r w:rsidRPr="00FE31A2">
              <w:rPr>
                <w:b/>
                <w:bCs/>
                <w:sz w:val="18"/>
                <w:szCs w:val="18"/>
              </w:rPr>
              <w:t>18527</w:t>
            </w:r>
          </w:p>
        </w:tc>
        <w:tc>
          <w:tcPr>
            <w:tcW w:w="520" w:type="dxa"/>
            <w:gridSpan w:val="2"/>
            <w:tcMar>
              <w:right w:w="57" w:type="dxa"/>
            </w:tcMar>
            <w:vAlign w:val="bottom"/>
          </w:tcPr>
          <w:p w:rsidR="00AE21D4" w:rsidRPr="00FE31A2" w:rsidRDefault="00AE21D4" w:rsidP="008A7CF6">
            <w:pPr>
              <w:jc w:val="center"/>
              <w:rPr>
                <w:b/>
                <w:bCs/>
                <w:sz w:val="18"/>
                <w:szCs w:val="18"/>
              </w:rPr>
            </w:pPr>
            <w:r w:rsidRPr="00FE31A2">
              <w:rPr>
                <w:b/>
                <w:bCs/>
                <w:sz w:val="18"/>
                <w:szCs w:val="18"/>
              </w:rPr>
              <w:t>9906</w:t>
            </w:r>
          </w:p>
        </w:tc>
        <w:tc>
          <w:tcPr>
            <w:tcW w:w="520" w:type="dxa"/>
            <w:gridSpan w:val="2"/>
            <w:tcMar>
              <w:right w:w="57" w:type="dxa"/>
            </w:tcMar>
            <w:vAlign w:val="bottom"/>
          </w:tcPr>
          <w:p w:rsidR="00AE21D4" w:rsidRPr="00FE31A2" w:rsidRDefault="00AE21D4" w:rsidP="008A7CF6">
            <w:pPr>
              <w:jc w:val="right"/>
              <w:rPr>
                <w:b/>
                <w:noProof/>
                <w:sz w:val="18"/>
                <w:szCs w:val="18"/>
              </w:rPr>
            </w:pPr>
            <w:r w:rsidRPr="00FE31A2">
              <w:rPr>
                <w:b/>
                <w:noProof/>
                <w:sz w:val="18"/>
                <w:szCs w:val="18"/>
              </w:rPr>
              <w:t>18422</w:t>
            </w:r>
          </w:p>
        </w:tc>
        <w:tc>
          <w:tcPr>
            <w:tcW w:w="520" w:type="dxa"/>
            <w:gridSpan w:val="2"/>
            <w:tcMar>
              <w:right w:w="57" w:type="dxa"/>
            </w:tcMar>
            <w:vAlign w:val="bottom"/>
          </w:tcPr>
          <w:p w:rsidR="00AE21D4" w:rsidRPr="00FE31A2" w:rsidRDefault="00AE21D4" w:rsidP="008A7CF6">
            <w:pPr>
              <w:jc w:val="right"/>
              <w:rPr>
                <w:b/>
                <w:noProof/>
                <w:sz w:val="18"/>
                <w:szCs w:val="18"/>
              </w:rPr>
            </w:pPr>
            <w:r w:rsidRPr="00FE31A2">
              <w:rPr>
                <w:b/>
                <w:noProof/>
                <w:sz w:val="18"/>
                <w:szCs w:val="18"/>
              </w:rPr>
              <w:t>9743</w:t>
            </w:r>
          </w:p>
        </w:tc>
        <w:tc>
          <w:tcPr>
            <w:tcW w:w="520" w:type="dxa"/>
            <w:tcMar>
              <w:right w:w="57" w:type="dxa"/>
            </w:tcMar>
            <w:vAlign w:val="bottom"/>
          </w:tcPr>
          <w:p w:rsidR="00AE21D4" w:rsidRPr="00FE31A2" w:rsidRDefault="00AE21D4" w:rsidP="008A7CF6">
            <w:pPr>
              <w:jc w:val="right"/>
              <w:rPr>
                <w:b/>
                <w:noProof/>
                <w:sz w:val="18"/>
                <w:szCs w:val="18"/>
              </w:rPr>
            </w:pPr>
            <w:r w:rsidRPr="00FE31A2">
              <w:rPr>
                <w:b/>
                <w:noProof/>
                <w:sz w:val="18"/>
                <w:szCs w:val="18"/>
              </w:rPr>
              <w:t>18410</w:t>
            </w:r>
          </w:p>
        </w:tc>
        <w:tc>
          <w:tcPr>
            <w:tcW w:w="522" w:type="dxa"/>
            <w:tcMar>
              <w:right w:w="57" w:type="dxa"/>
            </w:tcMar>
            <w:vAlign w:val="bottom"/>
          </w:tcPr>
          <w:p w:rsidR="00AE21D4" w:rsidRPr="00FE31A2" w:rsidRDefault="00AE21D4" w:rsidP="008A7CF6">
            <w:pPr>
              <w:jc w:val="right"/>
              <w:rPr>
                <w:b/>
                <w:noProof/>
                <w:sz w:val="18"/>
                <w:szCs w:val="18"/>
              </w:rPr>
            </w:pPr>
            <w:r w:rsidRPr="00FE31A2">
              <w:rPr>
                <w:b/>
                <w:noProof/>
                <w:sz w:val="18"/>
                <w:szCs w:val="18"/>
              </w:rPr>
              <w:t>9555</w:t>
            </w:r>
          </w:p>
        </w:tc>
        <w:tc>
          <w:tcPr>
            <w:tcW w:w="521" w:type="dxa"/>
            <w:tcMar>
              <w:right w:w="57" w:type="dxa"/>
            </w:tcMar>
            <w:vAlign w:val="bottom"/>
          </w:tcPr>
          <w:p w:rsidR="00AE21D4" w:rsidRPr="00FE31A2" w:rsidRDefault="00AE21D4" w:rsidP="008A7CF6">
            <w:pPr>
              <w:jc w:val="right"/>
              <w:rPr>
                <w:b/>
                <w:noProof/>
                <w:sz w:val="18"/>
                <w:szCs w:val="18"/>
              </w:rPr>
            </w:pPr>
            <w:r w:rsidRPr="00FE31A2">
              <w:rPr>
                <w:b/>
                <w:noProof/>
                <w:sz w:val="18"/>
                <w:szCs w:val="18"/>
              </w:rPr>
              <w:t>18275</w:t>
            </w:r>
          </w:p>
        </w:tc>
        <w:tc>
          <w:tcPr>
            <w:tcW w:w="522" w:type="dxa"/>
            <w:tcMar>
              <w:right w:w="57" w:type="dxa"/>
            </w:tcMar>
            <w:vAlign w:val="bottom"/>
          </w:tcPr>
          <w:p w:rsidR="00AE21D4" w:rsidRPr="00FE31A2" w:rsidRDefault="00AE21D4" w:rsidP="008A7CF6">
            <w:pPr>
              <w:jc w:val="right"/>
              <w:rPr>
                <w:b/>
                <w:noProof/>
                <w:sz w:val="18"/>
                <w:szCs w:val="18"/>
              </w:rPr>
            </w:pPr>
            <w:r w:rsidRPr="00FE31A2">
              <w:rPr>
                <w:b/>
                <w:noProof/>
                <w:sz w:val="18"/>
                <w:szCs w:val="18"/>
              </w:rPr>
              <w:t>9432</w:t>
            </w:r>
          </w:p>
        </w:tc>
        <w:tc>
          <w:tcPr>
            <w:tcW w:w="522" w:type="dxa"/>
            <w:shd w:val="clear" w:color="auto" w:fill="auto"/>
            <w:tcMar>
              <w:right w:w="57" w:type="dxa"/>
            </w:tcMar>
            <w:vAlign w:val="bottom"/>
          </w:tcPr>
          <w:p w:rsidR="00AE21D4" w:rsidRPr="00FE31A2" w:rsidRDefault="00AE21D4" w:rsidP="008A7CF6">
            <w:pPr>
              <w:jc w:val="center"/>
              <w:rPr>
                <w:b/>
                <w:bCs/>
                <w:sz w:val="18"/>
                <w:szCs w:val="18"/>
              </w:rPr>
            </w:pPr>
            <w:r w:rsidRPr="00FE31A2">
              <w:rPr>
                <w:b/>
                <w:bCs/>
                <w:sz w:val="18"/>
                <w:szCs w:val="18"/>
              </w:rPr>
              <w:t>18023</w:t>
            </w:r>
          </w:p>
        </w:tc>
        <w:tc>
          <w:tcPr>
            <w:tcW w:w="521" w:type="dxa"/>
            <w:shd w:val="clear" w:color="auto" w:fill="auto"/>
            <w:tcMar>
              <w:right w:w="57" w:type="dxa"/>
            </w:tcMar>
            <w:vAlign w:val="bottom"/>
          </w:tcPr>
          <w:p w:rsidR="00AE21D4" w:rsidRPr="00FE31A2" w:rsidRDefault="00AE21D4" w:rsidP="008A7CF6">
            <w:pPr>
              <w:jc w:val="center"/>
              <w:rPr>
                <w:b/>
                <w:bCs/>
                <w:sz w:val="18"/>
                <w:szCs w:val="18"/>
              </w:rPr>
            </w:pPr>
            <w:r w:rsidRPr="00FE31A2">
              <w:rPr>
                <w:b/>
                <w:bCs/>
                <w:sz w:val="18"/>
                <w:szCs w:val="18"/>
              </w:rPr>
              <w:t>9285</w:t>
            </w:r>
          </w:p>
        </w:tc>
        <w:tc>
          <w:tcPr>
            <w:tcW w:w="522" w:type="dxa"/>
            <w:shd w:val="clear" w:color="auto" w:fill="auto"/>
            <w:tcMar>
              <w:right w:w="57" w:type="dxa"/>
            </w:tcMar>
            <w:vAlign w:val="bottom"/>
          </w:tcPr>
          <w:p w:rsidR="00AE21D4" w:rsidRPr="00FE31A2" w:rsidRDefault="00AE21D4" w:rsidP="008A7CF6">
            <w:pPr>
              <w:jc w:val="right"/>
              <w:rPr>
                <w:b/>
                <w:noProof/>
                <w:sz w:val="18"/>
                <w:szCs w:val="18"/>
              </w:rPr>
            </w:pPr>
            <w:r w:rsidRPr="00FE31A2">
              <w:rPr>
                <w:b/>
                <w:noProof/>
                <w:sz w:val="18"/>
                <w:szCs w:val="18"/>
              </w:rPr>
              <w:t>17630</w:t>
            </w:r>
          </w:p>
        </w:tc>
        <w:tc>
          <w:tcPr>
            <w:tcW w:w="522" w:type="dxa"/>
            <w:shd w:val="clear" w:color="auto" w:fill="auto"/>
            <w:tcMar>
              <w:right w:w="57" w:type="dxa"/>
            </w:tcMar>
            <w:vAlign w:val="bottom"/>
          </w:tcPr>
          <w:p w:rsidR="00AE21D4" w:rsidRPr="00FE31A2" w:rsidRDefault="00AE21D4" w:rsidP="008A7CF6">
            <w:pPr>
              <w:jc w:val="right"/>
              <w:rPr>
                <w:b/>
                <w:noProof/>
                <w:sz w:val="18"/>
                <w:szCs w:val="18"/>
              </w:rPr>
            </w:pPr>
            <w:r w:rsidRPr="00FE31A2">
              <w:rPr>
                <w:b/>
                <w:noProof/>
                <w:sz w:val="18"/>
                <w:szCs w:val="18"/>
              </w:rPr>
              <w:t>9200</w:t>
            </w:r>
          </w:p>
        </w:tc>
        <w:tc>
          <w:tcPr>
            <w:tcW w:w="521" w:type="dxa"/>
            <w:shd w:val="clear" w:color="auto" w:fill="auto"/>
            <w:tcMar>
              <w:right w:w="57" w:type="dxa"/>
            </w:tcMar>
            <w:vAlign w:val="bottom"/>
          </w:tcPr>
          <w:p w:rsidR="00AE21D4" w:rsidRPr="00FE31A2" w:rsidRDefault="00AE21D4" w:rsidP="008A7CF6">
            <w:pPr>
              <w:jc w:val="right"/>
              <w:rPr>
                <w:b/>
                <w:noProof/>
                <w:sz w:val="18"/>
                <w:szCs w:val="18"/>
              </w:rPr>
            </w:pPr>
            <w:r w:rsidRPr="00FE31A2">
              <w:rPr>
                <w:b/>
                <w:noProof/>
                <w:sz w:val="18"/>
                <w:szCs w:val="18"/>
              </w:rPr>
              <w:t>17106</w:t>
            </w:r>
          </w:p>
        </w:tc>
        <w:tc>
          <w:tcPr>
            <w:tcW w:w="526" w:type="dxa"/>
            <w:shd w:val="clear" w:color="auto" w:fill="auto"/>
            <w:tcMar>
              <w:right w:w="57" w:type="dxa"/>
            </w:tcMar>
            <w:vAlign w:val="bottom"/>
          </w:tcPr>
          <w:p w:rsidR="00AE21D4" w:rsidRPr="00FE31A2" w:rsidRDefault="00AE21D4" w:rsidP="008A7CF6">
            <w:pPr>
              <w:jc w:val="right"/>
              <w:rPr>
                <w:b/>
                <w:noProof/>
                <w:sz w:val="18"/>
                <w:szCs w:val="18"/>
              </w:rPr>
            </w:pPr>
            <w:r w:rsidRPr="00FE31A2">
              <w:rPr>
                <w:b/>
                <w:noProof/>
                <w:sz w:val="18"/>
                <w:szCs w:val="18"/>
              </w:rPr>
              <w:t>8913</w:t>
            </w:r>
          </w:p>
        </w:tc>
        <w:tc>
          <w:tcPr>
            <w:tcW w:w="522" w:type="dxa"/>
            <w:shd w:val="clear" w:color="auto" w:fill="auto"/>
            <w:tcMar>
              <w:right w:w="57" w:type="dxa"/>
            </w:tcMar>
            <w:vAlign w:val="bottom"/>
          </w:tcPr>
          <w:p w:rsidR="00AE21D4" w:rsidRPr="00FE31A2" w:rsidRDefault="00AE21D4" w:rsidP="008A7CF6">
            <w:pPr>
              <w:jc w:val="right"/>
              <w:rPr>
                <w:b/>
                <w:noProof/>
                <w:sz w:val="18"/>
                <w:szCs w:val="18"/>
              </w:rPr>
            </w:pPr>
            <w:r w:rsidRPr="00FE31A2">
              <w:rPr>
                <w:b/>
                <w:noProof/>
                <w:sz w:val="18"/>
                <w:szCs w:val="18"/>
              </w:rPr>
              <w:t>15710</w:t>
            </w:r>
          </w:p>
        </w:tc>
        <w:tc>
          <w:tcPr>
            <w:tcW w:w="527" w:type="dxa"/>
            <w:shd w:val="clear" w:color="auto" w:fill="auto"/>
            <w:tcMar>
              <w:right w:w="57" w:type="dxa"/>
            </w:tcMar>
            <w:vAlign w:val="bottom"/>
          </w:tcPr>
          <w:p w:rsidR="00AE21D4" w:rsidRPr="00FE31A2" w:rsidRDefault="00AE21D4" w:rsidP="008A7CF6">
            <w:pPr>
              <w:jc w:val="right"/>
              <w:rPr>
                <w:b/>
                <w:noProof/>
                <w:sz w:val="18"/>
                <w:szCs w:val="18"/>
              </w:rPr>
            </w:pPr>
            <w:r w:rsidRPr="00FE31A2">
              <w:rPr>
                <w:b/>
                <w:noProof/>
                <w:sz w:val="18"/>
                <w:szCs w:val="18"/>
              </w:rPr>
              <w:t>8477</w:t>
            </w:r>
          </w:p>
        </w:tc>
      </w:tr>
      <w:tr w:rsidR="00FE31A2" w:rsidRPr="00FE31A2" w:rsidTr="00FE31A2">
        <w:trPr>
          <w:cantSplit/>
          <w:trHeight w:val="255"/>
        </w:trPr>
        <w:tc>
          <w:tcPr>
            <w:tcW w:w="2159" w:type="dxa"/>
            <w:gridSpan w:val="2"/>
            <w:vAlign w:val="bottom"/>
          </w:tcPr>
          <w:p w:rsidR="00AE21D4" w:rsidRPr="00FE31A2" w:rsidRDefault="00AE21D4" w:rsidP="00A77970">
            <w:pPr>
              <w:rPr>
                <w:b/>
                <w:noProof/>
                <w:kern w:val="28"/>
                <w:sz w:val="18"/>
                <w:szCs w:val="18"/>
                <w:lang w:val="en-US" w:eastAsia="en-US"/>
              </w:rPr>
            </w:pPr>
            <w:r w:rsidRPr="00FE31A2">
              <w:rPr>
                <w:b/>
                <w:noProof/>
                <w:kern w:val="28"/>
                <w:sz w:val="18"/>
                <w:szCs w:val="18"/>
                <w:lang w:val="en-US" w:eastAsia="en-US"/>
              </w:rPr>
              <w:t>- Şomeri în platã</w:t>
            </w:r>
          </w:p>
        </w:tc>
        <w:tc>
          <w:tcPr>
            <w:tcW w:w="515" w:type="dxa"/>
            <w:gridSpan w:val="2"/>
            <w:tcMar>
              <w:right w:w="57" w:type="dxa"/>
            </w:tcMar>
            <w:vAlign w:val="bottom"/>
          </w:tcPr>
          <w:p w:rsidR="00AE21D4" w:rsidRPr="00FE31A2" w:rsidRDefault="00AE21D4" w:rsidP="008A7CF6">
            <w:pPr>
              <w:jc w:val="right"/>
              <w:rPr>
                <w:b/>
                <w:noProof/>
                <w:sz w:val="18"/>
                <w:szCs w:val="18"/>
              </w:rPr>
            </w:pPr>
            <w:r w:rsidRPr="00FE31A2">
              <w:rPr>
                <w:b/>
                <w:noProof/>
                <w:sz w:val="18"/>
                <w:szCs w:val="18"/>
              </w:rPr>
              <w:t>3101</w:t>
            </w:r>
          </w:p>
        </w:tc>
        <w:tc>
          <w:tcPr>
            <w:tcW w:w="520" w:type="dxa"/>
            <w:gridSpan w:val="2"/>
            <w:tcMar>
              <w:right w:w="57" w:type="dxa"/>
            </w:tcMar>
            <w:vAlign w:val="bottom"/>
          </w:tcPr>
          <w:p w:rsidR="00AE21D4" w:rsidRPr="00FE31A2" w:rsidRDefault="00AE21D4" w:rsidP="008A7CF6">
            <w:pPr>
              <w:jc w:val="right"/>
              <w:rPr>
                <w:b/>
                <w:noProof/>
                <w:sz w:val="18"/>
                <w:szCs w:val="18"/>
              </w:rPr>
            </w:pPr>
            <w:r w:rsidRPr="00FE31A2">
              <w:rPr>
                <w:b/>
                <w:noProof/>
                <w:sz w:val="18"/>
                <w:szCs w:val="18"/>
              </w:rPr>
              <w:t>1835</w:t>
            </w:r>
          </w:p>
        </w:tc>
        <w:tc>
          <w:tcPr>
            <w:tcW w:w="520" w:type="dxa"/>
            <w:gridSpan w:val="2"/>
            <w:tcMar>
              <w:right w:w="57" w:type="dxa"/>
            </w:tcMar>
            <w:vAlign w:val="bottom"/>
          </w:tcPr>
          <w:p w:rsidR="00AE21D4" w:rsidRPr="00FE31A2" w:rsidRDefault="00AE21D4" w:rsidP="008A7CF6">
            <w:pPr>
              <w:jc w:val="right"/>
              <w:rPr>
                <w:b/>
                <w:noProof/>
                <w:sz w:val="18"/>
                <w:szCs w:val="18"/>
              </w:rPr>
            </w:pPr>
            <w:r w:rsidRPr="00FE31A2">
              <w:rPr>
                <w:b/>
                <w:noProof/>
                <w:sz w:val="18"/>
                <w:szCs w:val="18"/>
              </w:rPr>
              <w:t>2816</w:t>
            </w:r>
          </w:p>
        </w:tc>
        <w:tc>
          <w:tcPr>
            <w:tcW w:w="520" w:type="dxa"/>
            <w:gridSpan w:val="2"/>
            <w:tcMar>
              <w:right w:w="57" w:type="dxa"/>
            </w:tcMar>
            <w:vAlign w:val="bottom"/>
          </w:tcPr>
          <w:p w:rsidR="00AE21D4" w:rsidRPr="00FE31A2" w:rsidRDefault="00AE21D4" w:rsidP="008A7CF6">
            <w:pPr>
              <w:jc w:val="right"/>
              <w:rPr>
                <w:b/>
                <w:noProof/>
                <w:sz w:val="18"/>
                <w:szCs w:val="18"/>
              </w:rPr>
            </w:pPr>
            <w:r w:rsidRPr="00FE31A2">
              <w:rPr>
                <w:b/>
                <w:noProof/>
                <w:sz w:val="18"/>
                <w:szCs w:val="18"/>
              </w:rPr>
              <w:t>1745</w:t>
            </w:r>
          </w:p>
        </w:tc>
        <w:tc>
          <w:tcPr>
            <w:tcW w:w="520" w:type="dxa"/>
            <w:tcMar>
              <w:right w:w="57" w:type="dxa"/>
            </w:tcMar>
            <w:vAlign w:val="bottom"/>
          </w:tcPr>
          <w:p w:rsidR="00AE21D4" w:rsidRPr="00FE31A2" w:rsidRDefault="00AE21D4" w:rsidP="008A7CF6">
            <w:pPr>
              <w:jc w:val="right"/>
              <w:rPr>
                <w:b/>
                <w:noProof/>
                <w:sz w:val="18"/>
                <w:szCs w:val="18"/>
              </w:rPr>
            </w:pPr>
            <w:r w:rsidRPr="00FE31A2">
              <w:rPr>
                <w:b/>
                <w:noProof/>
                <w:sz w:val="18"/>
                <w:szCs w:val="18"/>
              </w:rPr>
              <w:t>2658</w:t>
            </w:r>
          </w:p>
        </w:tc>
        <w:tc>
          <w:tcPr>
            <w:tcW w:w="522" w:type="dxa"/>
            <w:tcMar>
              <w:right w:w="57" w:type="dxa"/>
            </w:tcMar>
            <w:vAlign w:val="bottom"/>
          </w:tcPr>
          <w:p w:rsidR="00AE21D4" w:rsidRPr="00FE31A2" w:rsidRDefault="00AE21D4" w:rsidP="008A7CF6">
            <w:pPr>
              <w:jc w:val="right"/>
              <w:rPr>
                <w:b/>
                <w:noProof/>
                <w:sz w:val="18"/>
                <w:szCs w:val="18"/>
              </w:rPr>
            </w:pPr>
            <w:r w:rsidRPr="00FE31A2">
              <w:rPr>
                <w:b/>
                <w:noProof/>
                <w:sz w:val="18"/>
                <w:szCs w:val="18"/>
              </w:rPr>
              <w:t>1701</w:t>
            </w:r>
          </w:p>
        </w:tc>
        <w:tc>
          <w:tcPr>
            <w:tcW w:w="521" w:type="dxa"/>
            <w:tcMar>
              <w:right w:w="57" w:type="dxa"/>
            </w:tcMar>
            <w:vAlign w:val="bottom"/>
          </w:tcPr>
          <w:p w:rsidR="00AE21D4" w:rsidRPr="00FE31A2" w:rsidRDefault="00AE21D4" w:rsidP="008A7CF6">
            <w:pPr>
              <w:jc w:val="right"/>
              <w:rPr>
                <w:b/>
                <w:noProof/>
                <w:sz w:val="18"/>
                <w:szCs w:val="18"/>
              </w:rPr>
            </w:pPr>
            <w:r w:rsidRPr="00FE31A2">
              <w:rPr>
                <w:b/>
                <w:noProof/>
                <w:sz w:val="18"/>
                <w:szCs w:val="18"/>
              </w:rPr>
              <w:t>2503</w:t>
            </w:r>
          </w:p>
        </w:tc>
        <w:tc>
          <w:tcPr>
            <w:tcW w:w="522" w:type="dxa"/>
            <w:tcMar>
              <w:right w:w="57" w:type="dxa"/>
            </w:tcMar>
            <w:vAlign w:val="bottom"/>
          </w:tcPr>
          <w:p w:rsidR="00AE21D4" w:rsidRPr="00FE31A2" w:rsidRDefault="00AE21D4" w:rsidP="008A7CF6">
            <w:pPr>
              <w:jc w:val="right"/>
              <w:rPr>
                <w:b/>
                <w:noProof/>
                <w:sz w:val="18"/>
                <w:szCs w:val="18"/>
              </w:rPr>
            </w:pPr>
            <w:r w:rsidRPr="00FE31A2">
              <w:rPr>
                <w:b/>
                <w:noProof/>
                <w:sz w:val="18"/>
                <w:szCs w:val="18"/>
              </w:rPr>
              <w:t>1714</w:t>
            </w:r>
          </w:p>
        </w:tc>
        <w:tc>
          <w:tcPr>
            <w:tcW w:w="522" w:type="dxa"/>
            <w:shd w:val="clear" w:color="auto" w:fill="auto"/>
            <w:tcMar>
              <w:right w:w="57" w:type="dxa"/>
            </w:tcMar>
            <w:vAlign w:val="bottom"/>
          </w:tcPr>
          <w:p w:rsidR="00AE21D4" w:rsidRPr="00FE31A2" w:rsidRDefault="00AE21D4" w:rsidP="008A7CF6">
            <w:pPr>
              <w:jc w:val="right"/>
              <w:rPr>
                <w:b/>
                <w:noProof/>
                <w:sz w:val="18"/>
                <w:szCs w:val="18"/>
              </w:rPr>
            </w:pPr>
            <w:r w:rsidRPr="00FE31A2">
              <w:rPr>
                <w:b/>
                <w:noProof/>
                <w:sz w:val="18"/>
                <w:szCs w:val="18"/>
              </w:rPr>
              <w:t>2393</w:t>
            </w:r>
          </w:p>
        </w:tc>
        <w:tc>
          <w:tcPr>
            <w:tcW w:w="521" w:type="dxa"/>
            <w:shd w:val="clear" w:color="auto" w:fill="auto"/>
            <w:tcMar>
              <w:right w:w="57" w:type="dxa"/>
            </w:tcMar>
            <w:vAlign w:val="bottom"/>
          </w:tcPr>
          <w:p w:rsidR="00AE21D4" w:rsidRPr="00FE31A2" w:rsidRDefault="00AE21D4" w:rsidP="008A7CF6">
            <w:pPr>
              <w:jc w:val="right"/>
              <w:rPr>
                <w:b/>
                <w:noProof/>
                <w:sz w:val="18"/>
                <w:szCs w:val="18"/>
              </w:rPr>
            </w:pPr>
            <w:r w:rsidRPr="00FE31A2">
              <w:rPr>
                <w:b/>
                <w:noProof/>
                <w:sz w:val="18"/>
                <w:szCs w:val="18"/>
              </w:rPr>
              <w:t>1452</w:t>
            </w:r>
          </w:p>
        </w:tc>
        <w:tc>
          <w:tcPr>
            <w:tcW w:w="522" w:type="dxa"/>
            <w:shd w:val="clear" w:color="auto" w:fill="auto"/>
            <w:tcMar>
              <w:right w:w="57" w:type="dxa"/>
            </w:tcMar>
            <w:vAlign w:val="bottom"/>
          </w:tcPr>
          <w:p w:rsidR="00AE21D4" w:rsidRPr="00FE31A2" w:rsidRDefault="00AE21D4" w:rsidP="008A7CF6">
            <w:pPr>
              <w:jc w:val="right"/>
              <w:rPr>
                <w:b/>
                <w:noProof/>
                <w:sz w:val="18"/>
                <w:szCs w:val="18"/>
              </w:rPr>
            </w:pPr>
            <w:r w:rsidRPr="00FE31A2">
              <w:rPr>
                <w:b/>
                <w:noProof/>
                <w:sz w:val="18"/>
                <w:szCs w:val="18"/>
              </w:rPr>
              <w:t>2175</w:t>
            </w:r>
          </w:p>
        </w:tc>
        <w:tc>
          <w:tcPr>
            <w:tcW w:w="522" w:type="dxa"/>
            <w:shd w:val="clear" w:color="auto" w:fill="auto"/>
            <w:tcMar>
              <w:right w:w="57" w:type="dxa"/>
            </w:tcMar>
            <w:vAlign w:val="bottom"/>
          </w:tcPr>
          <w:p w:rsidR="00AE21D4" w:rsidRPr="00FE31A2" w:rsidRDefault="00AE21D4" w:rsidP="008A7CF6">
            <w:pPr>
              <w:jc w:val="right"/>
              <w:rPr>
                <w:b/>
                <w:noProof/>
                <w:sz w:val="18"/>
                <w:szCs w:val="18"/>
              </w:rPr>
            </w:pPr>
            <w:r w:rsidRPr="00FE31A2">
              <w:rPr>
                <w:b/>
                <w:noProof/>
                <w:sz w:val="18"/>
                <w:szCs w:val="18"/>
              </w:rPr>
              <w:t>1375</w:t>
            </w:r>
          </w:p>
        </w:tc>
        <w:tc>
          <w:tcPr>
            <w:tcW w:w="521" w:type="dxa"/>
            <w:shd w:val="clear" w:color="auto" w:fill="auto"/>
            <w:tcMar>
              <w:right w:w="57" w:type="dxa"/>
            </w:tcMar>
            <w:vAlign w:val="bottom"/>
          </w:tcPr>
          <w:p w:rsidR="00AE21D4" w:rsidRPr="00FE31A2" w:rsidRDefault="00AE21D4" w:rsidP="008A7CF6">
            <w:pPr>
              <w:jc w:val="right"/>
              <w:rPr>
                <w:b/>
                <w:noProof/>
                <w:sz w:val="18"/>
                <w:szCs w:val="18"/>
              </w:rPr>
            </w:pPr>
            <w:r w:rsidRPr="00FE31A2">
              <w:rPr>
                <w:b/>
                <w:noProof/>
                <w:sz w:val="18"/>
                <w:szCs w:val="18"/>
              </w:rPr>
              <w:t>2215</w:t>
            </w:r>
          </w:p>
        </w:tc>
        <w:tc>
          <w:tcPr>
            <w:tcW w:w="526" w:type="dxa"/>
            <w:shd w:val="clear" w:color="auto" w:fill="auto"/>
            <w:tcMar>
              <w:right w:w="57" w:type="dxa"/>
            </w:tcMar>
            <w:vAlign w:val="bottom"/>
          </w:tcPr>
          <w:p w:rsidR="00AE21D4" w:rsidRPr="00FE31A2" w:rsidRDefault="00AE21D4" w:rsidP="008A7CF6">
            <w:pPr>
              <w:jc w:val="right"/>
              <w:rPr>
                <w:b/>
                <w:noProof/>
                <w:sz w:val="18"/>
                <w:szCs w:val="18"/>
              </w:rPr>
            </w:pPr>
            <w:r w:rsidRPr="00FE31A2">
              <w:rPr>
                <w:b/>
                <w:noProof/>
                <w:sz w:val="18"/>
                <w:szCs w:val="18"/>
              </w:rPr>
              <w:t>1405</w:t>
            </w:r>
          </w:p>
        </w:tc>
        <w:tc>
          <w:tcPr>
            <w:tcW w:w="522" w:type="dxa"/>
            <w:shd w:val="clear" w:color="auto" w:fill="auto"/>
            <w:tcMar>
              <w:right w:w="57" w:type="dxa"/>
            </w:tcMar>
            <w:vAlign w:val="bottom"/>
          </w:tcPr>
          <w:p w:rsidR="00AE21D4" w:rsidRPr="00FE31A2" w:rsidRDefault="00AE21D4" w:rsidP="008A7CF6">
            <w:pPr>
              <w:jc w:val="right"/>
              <w:rPr>
                <w:b/>
                <w:noProof/>
                <w:sz w:val="18"/>
                <w:szCs w:val="18"/>
              </w:rPr>
            </w:pPr>
            <w:r w:rsidRPr="00FE31A2">
              <w:rPr>
                <w:b/>
                <w:noProof/>
                <w:sz w:val="18"/>
                <w:szCs w:val="18"/>
              </w:rPr>
              <w:t>1998</w:t>
            </w:r>
          </w:p>
        </w:tc>
        <w:tc>
          <w:tcPr>
            <w:tcW w:w="527" w:type="dxa"/>
            <w:shd w:val="clear" w:color="auto" w:fill="auto"/>
            <w:tcMar>
              <w:right w:w="57" w:type="dxa"/>
            </w:tcMar>
            <w:vAlign w:val="bottom"/>
          </w:tcPr>
          <w:p w:rsidR="00AE21D4" w:rsidRPr="00FE31A2" w:rsidRDefault="00AE21D4" w:rsidP="008A7CF6">
            <w:pPr>
              <w:jc w:val="right"/>
              <w:rPr>
                <w:b/>
                <w:noProof/>
                <w:sz w:val="18"/>
                <w:szCs w:val="18"/>
              </w:rPr>
            </w:pPr>
            <w:r w:rsidRPr="00FE31A2">
              <w:rPr>
                <w:b/>
                <w:noProof/>
                <w:sz w:val="18"/>
                <w:szCs w:val="18"/>
              </w:rPr>
              <w:t>1286</w:t>
            </w:r>
          </w:p>
        </w:tc>
      </w:tr>
      <w:tr w:rsidR="00FE31A2" w:rsidRPr="00FE31A2" w:rsidTr="00FE31A2">
        <w:trPr>
          <w:cantSplit/>
          <w:trHeight w:val="255"/>
        </w:trPr>
        <w:tc>
          <w:tcPr>
            <w:tcW w:w="2159" w:type="dxa"/>
            <w:gridSpan w:val="2"/>
            <w:vAlign w:val="bottom"/>
          </w:tcPr>
          <w:p w:rsidR="00AE21D4" w:rsidRPr="00FE31A2" w:rsidRDefault="00AE21D4" w:rsidP="00A77970">
            <w:pPr>
              <w:rPr>
                <w:b/>
                <w:noProof/>
                <w:kern w:val="28"/>
                <w:sz w:val="18"/>
                <w:szCs w:val="18"/>
                <w:lang w:val="en-US" w:eastAsia="en-US"/>
              </w:rPr>
            </w:pPr>
            <w:r w:rsidRPr="00FE31A2">
              <w:rPr>
                <w:b/>
                <w:noProof/>
                <w:kern w:val="28"/>
                <w:sz w:val="18"/>
                <w:szCs w:val="18"/>
                <w:lang w:val="en-US" w:eastAsia="en-US"/>
              </w:rPr>
              <w:t xml:space="preserve">    din care : absolvenţi</w:t>
            </w:r>
          </w:p>
        </w:tc>
        <w:tc>
          <w:tcPr>
            <w:tcW w:w="515" w:type="dxa"/>
            <w:gridSpan w:val="2"/>
            <w:tcMar>
              <w:right w:w="57" w:type="dxa"/>
            </w:tcMar>
            <w:vAlign w:val="bottom"/>
          </w:tcPr>
          <w:p w:rsidR="00AE21D4" w:rsidRPr="00FE31A2" w:rsidRDefault="00AE21D4" w:rsidP="008A7CF6">
            <w:pPr>
              <w:jc w:val="right"/>
              <w:rPr>
                <w:noProof/>
                <w:sz w:val="18"/>
                <w:szCs w:val="18"/>
              </w:rPr>
            </w:pPr>
            <w:r w:rsidRPr="00FE31A2">
              <w:rPr>
                <w:noProof/>
                <w:sz w:val="18"/>
                <w:szCs w:val="18"/>
              </w:rPr>
              <w:t>77</w:t>
            </w:r>
          </w:p>
        </w:tc>
        <w:tc>
          <w:tcPr>
            <w:tcW w:w="520" w:type="dxa"/>
            <w:gridSpan w:val="2"/>
            <w:tcMar>
              <w:right w:w="57" w:type="dxa"/>
            </w:tcMar>
            <w:vAlign w:val="bottom"/>
          </w:tcPr>
          <w:p w:rsidR="00AE21D4" w:rsidRPr="00FE31A2" w:rsidRDefault="00AE21D4" w:rsidP="008A7CF6">
            <w:pPr>
              <w:jc w:val="right"/>
              <w:rPr>
                <w:noProof/>
                <w:sz w:val="18"/>
                <w:szCs w:val="18"/>
              </w:rPr>
            </w:pPr>
            <w:r w:rsidRPr="00FE31A2">
              <w:rPr>
                <w:noProof/>
                <w:sz w:val="18"/>
                <w:szCs w:val="18"/>
              </w:rPr>
              <w:t>33</w:t>
            </w:r>
          </w:p>
        </w:tc>
        <w:tc>
          <w:tcPr>
            <w:tcW w:w="520" w:type="dxa"/>
            <w:gridSpan w:val="2"/>
            <w:tcMar>
              <w:right w:w="57" w:type="dxa"/>
            </w:tcMar>
            <w:vAlign w:val="bottom"/>
          </w:tcPr>
          <w:p w:rsidR="00AE21D4" w:rsidRPr="00FE31A2" w:rsidRDefault="00AE21D4" w:rsidP="008A7CF6">
            <w:pPr>
              <w:jc w:val="right"/>
              <w:rPr>
                <w:noProof/>
                <w:sz w:val="18"/>
                <w:szCs w:val="18"/>
              </w:rPr>
            </w:pPr>
            <w:r w:rsidRPr="00FE31A2">
              <w:rPr>
                <w:noProof/>
                <w:sz w:val="18"/>
                <w:szCs w:val="18"/>
              </w:rPr>
              <w:t>12</w:t>
            </w:r>
          </w:p>
        </w:tc>
        <w:tc>
          <w:tcPr>
            <w:tcW w:w="520" w:type="dxa"/>
            <w:gridSpan w:val="2"/>
            <w:tcMar>
              <w:right w:w="57" w:type="dxa"/>
            </w:tcMar>
            <w:vAlign w:val="bottom"/>
          </w:tcPr>
          <w:p w:rsidR="00AE21D4" w:rsidRPr="00FE31A2" w:rsidRDefault="00AE21D4" w:rsidP="008A7CF6">
            <w:pPr>
              <w:jc w:val="right"/>
              <w:rPr>
                <w:noProof/>
                <w:sz w:val="18"/>
                <w:szCs w:val="18"/>
              </w:rPr>
            </w:pPr>
            <w:r w:rsidRPr="00FE31A2">
              <w:rPr>
                <w:noProof/>
                <w:sz w:val="18"/>
                <w:szCs w:val="18"/>
              </w:rPr>
              <w:t>5</w:t>
            </w:r>
          </w:p>
        </w:tc>
        <w:tc>
          <w:tcPr>
            <w:tcW w:w="520" w:type="dxa"/>
            <w:tcMar>
              <w:right w:w="57" w:type="dxa"/>
            </w:tcMar>
            <w:vAlign w:val="bottom"/>
          </w:tcPr>
          <w:p w:rsidR="00AE21D4" w:rsidRPr="00FE31A2" w:rsidRDefault="00AE21D4" w:rsidP="008A7CF6">
            <w:pPr>
              <w:jc w:val="right"/>
              <w:rPr>
                <w:noProof/>
                <w:sz w:val="18"/>
                <w:szCs w:val="18"/>
              </w:rPr>
            </w:pPr>
            <w:r w:rsidRPr="00FE31A2">
              <w:rPr>
                <w:noProof/>
                <w:sz w:val="18"/>
                <w:szCs w:val="18"/>
              </w:rPr>
              <w:t>103</w:t>
            </w:r>
          </w:p>
        </w:tc>
        <w:tc>
          <w:tcPr>
            <w:tcW w:w="522" w:type="dxa"/>
            <w:tcMar>
              <w:right w:w="57" w:type="dxa"/>
            </w:tcMar>
            <w:vAlign w:val="bottom"/>
          </w:tcPr>
          <w:p w:rsidR="00AE21D4" w:rsidRPr="00FE31A2" w:rsidRDefault="00AE21D4" w:rsidP="008A7CF6">
            <w:pPr>
              <w:jc w:val="right"/>
              <w:rPr>
                <w:noProof/>
                <w:sz w:val="18"/>
                <w:szCs w:val="18"/>
              </w:rPr>
            </w:pPr>
            <w:r w:rsidRPr="00FE31A2">
              <w:rPr>
                <w:noProof/>
                <w:sz w:val="18"/>
                <w:szCs w:val="18"/>
              </w:rPr>
              <w:t>47</w:t>
            </w:r>
          </w:p>
        </w:tc>
        <w:tc>
          <w:tcPr>
            <w:tcW w:w="521" w:type="dxa"/>
            <w:tcMar>
              <w:right w:w="57" w:type="dxa"/>
            </w:tcMar>
            <w:vAlign w:val="bottom"/>
          </w:tcPr>
          <w:p w:rsidR="00AE21D4" w:rsidRPr="00FE31A2" w:rsidRDefault="00AE21D4" w:rsidP="008A7CF6">
            <w:pPr>
              <w:jc w:val="right"/>
              <w:rPr>
                <w:noProof/>
                <w:sz w:val="18"/>
                <w:szCs w:val="18"/>
              </w:rPr>
            </w:pPr>
            <w:r w:rsidRPr="00FE31A2">
              <w:rPr>
                <w:noProof/>
                <w:sz w:val="18"/>
                <w:szCs w:val="18"/>
              </w:rPr>
              <w:t>169</w:t>
            </w:r>
          </w:p>
        </w:tc>
        <w:tc>
          <w:tcPr>
            <w:tcW w:w="522" w:type="dxa"/>
            <w:tcMar>
              <w:right w:w="57" w:type="dxa"/>
            </w:tcMar>
            <w:vAlign w:val="bottom"/>
          </w:tcPr>
          <w:p w:rsidR="00AE21D4" w:rsidRPr="00FE31A2" w:rsidRDefault="00AE21D4" w:rsidP="008A7CF6">
            <w:pPr>
              <w:jc w:val="right"/>
              <w:rPr>
                <w:noProof/>
                <w:sz w:val="18"/>
                <w:szCs w:val="18"/>
              </w:rPr>
            </w:pPr>
            <w:r w:rsidRPr="00FE31A2">
              <w:rPr>
                <w:noProof/>
                <w:sz w:val="18"/>
                <w:szCs w:val="18"/>
              </w:rPr>
              <w:t>84</w:t>
            </w:r>
          </w:p>
        </w:tc>
        <w:tc>
          <w:tcPr>
            <w:tcW w:w="522" w:type="dxa"/>
            <w:shd w:val="clear" w:color="auto" w:fill="auto"/>
            <w:tcMar>
              <w:right w:w="57" w:type="dxa"/>
            </w:tcMar>
            <w:vAlign w:val="bottom"/>
          </w:tcPr>
          <w:p w:rsidR="00AE21D4" w:rsidRPr="00FE31A2" w:rsidRDefault="00AE21D4" w:rsidP="008A7CF6">
            <w:pPr>
              <w:jc w:val="right"/>
              <w:rPr>
                <w:noProof/>
                <w:sz w:val="18"/>
                <w:szCs w:val="18"/>
              </w:rPr>
            </w:pPr>
            <w:r w:rsidRPr="00FE31A2">
              <w:rPr>
                <w:noProof/>
                <w:sz w:val="18"/>
                <w:szCs w:val="18"/>
              </w:rPr>
              <w:t>79</w:t>
            </w:r>
          </w:p>
        </w:tc>
        <w:tc>
          <w:tcPr>
            <w:tcW w:w="521" w:type="dxa"/>
            <w:shd w:val="clear" w:color="auto" w:fill="auto"/>
            <w:tcMar>
              <w:right w:w="57" w:type="dxa"/>
            </w:tcMar>
            <w:vAlign w:val="bottom"/>
          </w:tcPr>
          <w:p w:rsidR="00AE21D4" w:rsidRPr="00FE31A2" w:rsidRDefault="00AE21D4" w:rsidP="008A7CF6">
            <w:pPr>
              <w:jc w:val="right"/>
              <w:rPr>
                <w:noProof/>
                <w:sz w:val="18"/>
                <w:szCs w:val="18"/>
              </w:rPr>
            </w:pPr>
            <w:r w:rsidRPr="00FE31A2">
              <w:rPr>
                <w:noProof/>
                <w:sz w:val="18"/>
                <w:szCs w:val="18"/>
              </w:rPr>
              <w:t>46</w:t>
            </w:r>
          </w:p>
        </w:tc>
        <w:tc>
          <w:tcPr>
            <w:tcW w:w="522" w:type="dxa"/>
            <w:shd w:val="clear" w:color="auto" w:fill="auto"/>
            <w:tcMar>
              <w:right w:w="57" w:type="dxa"/>
            </w:tcMar>
            <w:vAlign w:val="bottom"/>
          </w:tcPr>
          <w:p w:rsidR="00AE21D4" w:rsidRPr="00FE31A2" w:rsidRDefault="00AE21D4" w:rsidP="008A7CF6">
            <w:pPr>
              <w:jc w:val="right"/>
              <w:rPr>
                <w:noProof/>
                <w:sz w:val="18"/>
                <w:szCs w:val="18"/>
              </w:rPr>
            </w:pPr>
            <w:r w:rsidRPr="00FE31A2">
              <w:rPr>
                <w:noProof/>
                <w:sz w:val="18"/>
                <w:szCs w:val="18"/>
              </w:rPr>
              <w:t>5</w:t>
            </w:r>
          </w:p>
        </w:tc>
        <w:tc>
          <w:tcPr>
            <w:tcW w:w="522" w:type="dxa"/>
            <w:shd w:val="clear" w:color="auto" w:fill="auto"/>
            <w:tcMar>
              <w:right w:w="57" w:type="dxa"/>
            </w:tcMar>
            <w:vAlign w:val="bottom"/>
          </w:tcPr>
          <w:p w:rsidR="00AE21D4" w:rsidRPr="00FE31A2" w:rsidRDefault="00AE21D4" w:rsidP="008A7CF6">
            <w:pPr>
              <w:jc w:val="right"/>
              <w:rPr>
                <w:noProof/>
                <w:sz w:val="18"/>
                <w:szCs w:val="18"/>
              </w:rPr>
            </w:pPr>
            <w:r w:rsidRPr="00FE31A2">
              <w:rPr>
                <w:noProof/>
                <w:sz w:val="18"/>
                <w:szCs w:val="18"/>
              </w:rPr>
              <w:t>4</w:t>
            </w:r>
          </w:p>
        </w:tc>
        <w:tc>
          <w:tcPr>
            <w:tcW w:w="521" w:type="dxa"/>
            <w:shd w:val="clear" w:color="auto" w:fill="auto"/>
            <w:tcMar>
              <w:right w:w="57" w:type="dxa"/>
            </w:tcMar>
            <w:vAlign w:val="bottom"/>
          </w:tcPr>
          <w:p w:rsidR="00AE21D4" w:rsidRPr="00FE31A2" w:rsidRDefault="00AE21D4" w:rsidP="008A7CF6">
            <w:pPr>
              <w:jc w:val="right"/>
              <w:rPr>
                <w:noProof/>
                <w:sz w:val="18"/>
                <w:szCs w:val="18"/>
              </w:rPr>
            </w:pPr>
            <w:r w:rsidRPr="00FE31A2">
              <w:rPr>
                <w:noProof/>
                <w:sz w:val="18"/>
                <w:szCs w:val="18"/>
              </w:rPr>
              <w:t>110</w:t>
            </w:r>
          </w:p>
        </w:tc>
        <w:tc>
          <w:tcPr>
            <w:tcW w:w="526" w:type="dxa"/>
            <w:shd w:val="clear" w:color="auto" w:fill="auto"/>
            <w:tcMar>
              <w:right w:w="57" w:type="dxa"/>
            </w:tcMar>
            <w:vAlign w:val="bottom"/>
          </w:tcPr>
          <w:p w:rsidR="00AE21D4" w:rsidRPr="00FE31A2" w:rsidRDefault="00AE21D4" w:rsidP="008A7CF6">
            <w:pPr>
              <w:jc w:val="right"/>
              <w:rPr>
                <w:noProof/>
                <w:sz w:val="18"/>
                <w:szCs w:val="18"/>
              </w:rPr>
            </w:pPr>
            <w:r w:rsidRPr="00FE31A2">
              <w:rPr>
                <w:noProof/>
                <w:sz w:val="18"/>
                <w:szCs w:val="18"/>
              </w:rPr>
              <w:t>56</w:t>
            </w:r>
          </w:p>
        </w:tc>
        <w:tc>
          <w:tcPr>
            <w:tcW w:w="522" w:type="dxa"/>
            <w:shd w:val="clear" w:color="auto" w:fill="auto"/>
            <w:tcMar>
              <w:right w:w="57" w:type="dxa"/>
            </w:tcMar>
            <w:vAlign w:val="bottom"/>
          </w:tcPr>
          <w:p w:rsidR="00AE21D4" w:rsidRPr="00FE31A2" w:rsidRDefault="00AE21D4" w:rsidP="008A7CF6">
            <w:pPr>
              <w:jc w:val="right"/>
              <w:rPr>
                <w:noProof/>
                <w:sz w:val="18"/>
                <w:szCs w:val="18"/>
              </w:rPr>
            </w:pPr>
            <w:r w:rsidRPr="00FE31A2">
              <w:rPr>
                <w:noProof/>
                <w:sz w:val="18"/>
                <w:szCs w:val="18"/>
              </w:rPr>
              <w:t>91</w:t>
            </w:r>
          </w:p>
        </w:tc>
        <w:tc>
          <w:tcPr>
            <w:tcW w:w="527" w:type="dxa"/>
            <w:shd w:val="clear" w:color="auto" w:fill="auto"/>
            <w:tcMar>
              <w:right w:w="57" w:type="dxa"/>
            </w:tcMar>
            <w:vAlign w:val="bottom"/>
          </w:tcPr>
          <w:p w:rsidR="00AE21D4" w:rsidRPr="00FE31A2" w:rsidRDefault="00AE21D4" w:rsidP="008A7CF6">
            <w:pPr>
              <w:jc w:val="right"/>
              <w:rPr>
                <w:noProof/>
                <w:sz w:val="18"/>
                <w:szCs w:val="18"/>
              </w:rPr>
            </w:pPr>
            <w:r w:rsidRPr="00FE31A2">
              <w:rPr>
                <w:noProof/>
                <w:sz w:val="18"/>
                <w:szCs w:val="18"/>
              </w:rPr>
              <w:t>52</w:t>
            </w:r>
          </w:p>
        </w:tc>
      </w:tr>
      <w:tr w:rsidR="00FE31A2" w:rsidRPr="00FE31A2" w:rsidTr="00FE31A2">
        <w:trPr>
          <w:cantSplit/>
          <w:trHeight w:val="255"/>
        </w:trPr>
        <w:tc>
          <w:tcPr>
            <w:tcW w:w="2159" w:type="dxa"/>
            <w:gridSpan w:val="2"/>
            <w:vAlign w:val="bottom"/>
          </w:tcPr>
          <w:p w:rsidR="00AE21D4" w:rsidRPr="00FE31A2" w:rsidRDefault="00AE21D4" w:rsidP="00A77970">
            <w:pPr>
              <w:rPr>
                <w:b/>
                <w:noProof/>
                <w:kern w:val="28"/>
                <w:sz w:val="18"/>
                <w:szCs w:val="18"/>
                <w:lang w:val="en-US" w:eastAsia="en-US"/>
              </w:rPr>
            </w:pPr>
            <w:r w:rsidRPr="00FE31A2">
              <w:rPr>
                <w:b/>
                <w:noProof/>
                <w:kern w:val="28"/>
                <w:sz w:val="18"/>
                <w:szCs w:val="18"/>
                <w:lang w:val="en-US" w:eastAsia="en-US"/>
              </w:rPr>
              <w:t>- Şomeri neindemnizaţi</w:t>
            </w:r>
          </w:p>
        </w:tc>
        <w:tc>
          <w:tcPr>
            <w:tcW w:w="515" w:type="dxa"/>
            <w:gridSpan w:val="2"/>
            <w:tcMar>
              <w:right w:w="57" w:type="dxa"/>
            </w:tcMar>
            <w:vAlign w:val="bottom"/>
          </w:tcPr>
          <w:p w:rsidR="00AE21D4" w:rsidRPr="00FE31A2" w:rsidRDefault="00AE21D4" w:rsidP="008A7CF6">
            <w:pPr>
              <w:jc w:val="right"/>
              <w:rPr>
                <w:b/>
                <w:noProof/>
                <w:sz w:val="18"/>
                <w:szCs w:val="18"/>
              </w:rPr>
            </w:pPr>
            <w:r w:rsidRPr="00FE31A2">
              <w:rPr>
                <w:b/>
                <w:noProof/>
                <w:sz w:val="18"/>
                <w:szCs w:val="18"/>
              </w:rPr>
              <w:t>15426</w:t>
            </w:r>
          </w:p>
        </w:tc>
        <w:tc>
          <w:tcPr>
            <w:tcW w:w="520" w:type="dxa"/>
            <w:gridSpan w:val="2"/>
            <w:tcMar>
              <w:right w:w="57" w:type="dxa"/>
            </w:tcMar>
            <w:vAlign w:val="bottom"/>
          </w:tcPr>
          <w:p w:rsidR="00AE21D4" w:rsidRPr="00FE31A2" w:rsidRDefault="00AE21D4" w:rsidP="008A7CF6">
            <w:pPr>
              <w:jc w:val="right"/>
              <w:rPr>
                <w:b/>
                <w:noProof/>
                <w:sz w:val="18"/>
                <w:szCs w:val="18"/>
              </w:rPr>
            </w:pPr>
            <w:r w:rsidRPr="00FE31A2">
              <w:rPr>
                <w:b/>
                <w:noProof/>
                <w:sz w:val="18"/>
                <w:szCs w:val="18"/>
              </w:rPr>
              <w:t>8071</w:t>
            </w:r>
          </w:p>
        </w:tc>
        <w:tc>
          <w:tcPr>
            <w:tcW w:w="520" w:type="dxa"/>
            <w:gridSpan w:val="2"/>
            <w:tcMar>
              <w:right w:w="57" w:type="dxa"/>
            </w:tcMar>
            <w:vAlign w:val="bottom"/>
          </w:tcPr>
          <w:p w:rsidR="00AE21D4" w:rsidRPr="00FE31A2" w:rsidRDefault="00AE21D4" w:rsidP="008A7CF6">
            <w:pPr>
              <w:jc w:val="right"/>
              <w:rPr>
                <w:b/>
                <w:noProof/>
                <w:sz w:val="18"/>
                <w:szCs w:val="18"/>
              </w:rPr>
            </w:pPr>
            <w:r w:rsidRPr="00FE31A2">
              <w:rPr>
                <w:b/>
                <w:noProof/>
                <w:sz w:val="18"/>
                <w:szCs w:val="18"/>
              </w:rPr>
              <w:t>15606</w:t>
            </w:r>
          </w:p>
        </w:tc>
        <w:tc>
          <w:tcPr>
            <w:tcW w:w="520" w:type="dxa"/>
            <w:gridSpan w:val="2"/>
            <w:tcMar>
              <w:right w:w="57" w:type="dxa"/>
            </w:tcMar>
            <w:vAlign w:val="bottom"/>
          </w:tcPr>
          <w:p w:rsidR="00AE21D4" w:rsidRPr="00FE31A2" w:rsidRDefault="00AE21D4" w:rsidP="008A7CF6">
            <w:pPr>
              <w:jc w:val="right"/>
              <w:rPr>
                <w:b/>
                <w:noProof/>
                <w:sz w:val="18"/>
                <w:szCs w:val="18"/>
              </w:rPr>
            </w:pPr>
            <w:r w:rsidRPr="00FE31A2">
              <w:rPr>
                <w:b/>
                <w:noProof/>
                <w:sz w:val="18"/>
                <w:szCs w:val="18"/>
              </w:rPr>
              <w:t>7998</w:t>
            </w:r>
          </w:p>
        </w:tc>
        <w:tc>
          <w:tcPr>
            <w:tcW w:w="520" w:type="dxa"/>
            <w:tcMar>
              <w:right w:w="57" w:type="dxa"/>
            </w:tcMar>
            <w:vAlign w:val="bottom"/>
          </w:tcPr>
          <w:p w:rsidR="00AE21D4" w:rsidRPr="00FE31A2" w:rsidRDefault="00AE21D4" w:rsidP="008A7CF6">
            <w:pPr>
              <w:jc w:val="right"/>
              <w:rPr>
                <w:b/>
                <w:noProof/>
                <w:sz w:val="18"/>
                <w:szCs w:val="18"/>
              </w:rPr>
            </w:pPr>
            <w:r w:rsidRPr="00FE31A2">
              <w:rPr>
                <w:b/>
                <w:noProof/>
                <w:sz w:val="18"/>
                <w:szCs w:val="18"/>
              </w:rPr>
              <w:t>15752</w:t>
            </w:r>
          </w:p>
        </w:tc>
        <w:tc>
          <w:tcPr>
            <w:tcW w:w="522" w:type="dxa"/>
            <w:tcMar>
              <w:right w:w="57" w:type="dxa"/>
            </w:tcMar>
            <w:vAlign w:val="bottom"/>
          </w:tcPr>
          <w:p w:rsidR="00AE21D4" w:rsidRPr="00FE31A2" w:rsidRDefault="00AE21D4" w:rsidP="008A7CF6">
            <w:pPr>
              <w:jc w:val="right"/>
              <w:rPr>
                <w:b/>
                <w:noProof/>
                <w:sz w:val="18"/>
                <w:szCs w:val="18"/>
              </w:rPr>
            </w:pPr>
            <w:r w:rsidRPr="00FE31A2">
              <w:rPr>
                <w:b/>
                <w:noProof/>
                <w:sz w:val="18"/>
                <w:szCs w:val="18"/>
              </w:rPr>
              <w:t>7854</w:t>
            </w:r>
          </w:p>
        </w:tc>
        <w:tc>
          <w:tcPr>
            <w:tcW w:w="521" w:type="dxa"/>
            <w:tcMar>
              <w:right w:w="57" w:type="dxa"/>
            </w:tcMar>
            <w:vAlign w:val="bottom"/>
          </w:tcPr>
          <w:p w:rsidR="00AE21D4" w:rsidRPr="00FE31A2" w:rsidRDefault="00AE21D4" w:rsidP="008A7CF6">
            <w:pPr>
              <w:jc w:val="right"/>
              <w:rPr>
                <w:b/>
                <w:noProof/>
                <w:sz w:val="18"/>
                <w:szCs w:val="18"/>
              </w:rPr>
            </w:pPr>
            <w:r w:rsidRPr="00FE31A2">
              <w:rPr>
                <w:b/>
                <w:noProof/>
                <w:sz w:val="18"/>
                <w:szCs w:val="18"/>
              </w:rPr>
              <w:t>15772</w:t>
            </w:r>
          </w:p>
        </w:tc>
        <w:tc>
          <w:tcPr>
            <w:tcW w:w="522" w:type="dxa"/>
            <w:tcMar>
              <w:right w:w="57" w:type="dxa"/>
            </w:tcMar>
            <w:vAlign w:val="bottom"/>
          </w:tcPr>
          <w:p w:rsidR="00AE21D4" w:rsidRPr="00FE31A2" w:rsidRDefault="00AE21D4" w:rsidP="008A7CF6">
            <w:pPr>
              <w:jc w:val="right"/>
              <w:rPr>
                <w:b/>
                <w:noProof/>
                <w:sz w:val="18"/>
                <w:szCs w:val="18"/>
              </w:rPr>
            </w:pPr>
            <w:r w:rsidRPr="00FE31A2">
              <w:rPr>
                <w:b/>
                <w:noProof/>
                <w:sz w:val="18"/>
                <w:szCs w:val="18"/>
              </w:rPr>
              <w:t>7718</w:t>
            </w:r>
          </w:p>
        </w:tc>
        <w:tc>
          <w:tcPr>
            <w:tcW w:w="522" w:type="dxa"/>
            <w:shd w:val="clear" w:color="auto" w:fill="auto"/>
            <w:tcMar>
              <w:right w:w="57" w:type="dxa"/>
            </w:tcMar>
            <w:vAlign w:val="bottom"/>
          </w:tcPr>
          <w:p w:rsidR="00AE21D4" w:rsidRPr="00FE31A2" w:rsidRDefault="00AE21D4" w:rsidP="008A7CF6">
            <w:pPr>
              <w:jc w:val="right"/>
              <w:rPr>
                <w:b/>
                <w:noProof/>
                <w:sz w:val="18"/>
                <w:szCs w:val="18"/>
              </w:rPr>
            </w:pPr>
            <w:r w:rsidRPr="00FE31A2">
              <w:rPr>
                <w:b/>
                <w:noProof/>
                <w:sz w:val="18"/>
                <w:szCs w:val="18"/>
              </w:rPr>
              <w:t>15630</w:t>
            </w:r>
          </w:p>
        </w:tc>
        <w:tc>
          <w:tcPr>
            <w:tcW w:w="521" w:type="dxa"/>
            <w:shd w:val="clear" w:color="auto" w:fill="auto"/>
            <w:tcMar>
              <w:right w:w="57" w:type="dxa"/>
            </w:tcMar>
            <w:vAlign w:val="bottom"/>
          </w:tcPr>
          <w:p w:rsidR="00AE21D4" w:rsidRPr="00FE31A2" w:rsidRDefault="00AE21D4" w:rsidP="008A7CF6">
            <w:pPr>
              <w:jc w:val="right"/>
              <w:rPr>
                <w:b/>
                <w:noProof/>
                <w:sz w:val="18"/>
                <w:szCs w:val="18"/>
              </w:rPr>
            </w:pPr>
            <w:r w:rsidRPr="00FE31A2">
              <w:rPr>
                <w:b/>
                <w:noProof/>
                <w:sz w:val="18"/>
                <w:szCs w:val="18"/>
              </w:rPr>
              <w:t>7833</w:t>
            </w:r>
          </w:p>
        </w:tc>
        <w:tc>
          <w:tcPr>
            <w:tcW w:w="522" w:type="dxa"/>
            <w:shd w:val="clear" w:color="auto" w:fill="auto"/>
            <w:tcMar>
              <w:right w:w="57" w:type="dxa"/>
            </w:tcMar>
            <w:vAlign w:val="bottom"/>
          </w:tcPr>
          <w:p w:rsidR="00AE21D4" w:rsidRPr="00FE31A2" w:rsidRDefault="00AE21D4" w:rsidP="008A7CF6">
            <w:pPr>
              <w:jc w:val="right"/>
              <w:rPr>
                <w:b/>
                <w:noProof/>
                <w:sz w:val="18"/>
                <w:szCs w:val="18"/>
              </w:rPr>
            </w:pPr>
            <w:r w:rsidRPr="00FE31A2">
              <w:rPr>
                <w:b/>
                <w:noProof/>
                <w:sz w:val="18"/>
                <w:szCs w:val="18"/>
              </w:rPr>
              <w:t>15455</w:t>
            </w:r>
          </w:p>
        </w:tc>
        <w:tc>
          <w:tcPr>
            <w:tcW w:w="522" w:type="dxa"/>
            <w:shd w:val="clear" w:color="auto" w:fill="auto"/>
            <w:tcMar>
              <w:right w:w="57" w:type="dxa"/>
            </w:tcMar>
            <w:vAlign w:val="bottom"/>
          </w:tcPr>
          <w:p w:rsidR="00AE21D4" w:rsidRPr="00FE31A2" w:rsidRDefault="00AE21D4" w:rsidP="008A7CF6">
            <w:pPr>
              <w:jc w:val="right"/>
              <w:rPr>
                <w:b/>
                <w:noProof/>
                <w:sz w:val="18"/>
                <w:szCs w:val="18"/>
              </w:rPr>
            </w:pPr>
            <w:r w:rsidRPr="00FE31A2">
              <w:rPr>
                <w:b/>
                <w:noProof/>
                <w:sz w:val="18"/>
                <w:szCs w:val="18"/>
              </w:rPr>
              <w:t>7825</w:t>
            </w:r>
          </w:p>
        </w:tc>
        <w:tc>
          <w:tcPr>
            <w:tcW w:w="521" w:type="dxa"/>
            <w:shd w:val="clear" w:color="auto" w:fill="auto"/>
            <w:tcMar>
              <w:right w:w="57" w:type="dxa"/>
            </w:tcMar>
            <w:vAlign w:val="bottom"/>
          </w:tcPr>
          <w:p w:rsidR="00AE21D4" w:rsidRPr="00FE31A2" w:rsidRDefault="00AE21D4" w:rsidP="008A7CF6">
            <w:pPr>
              <w:jc w:val="right"/>
              <w:rPr>
                <w:b/>
                <w:noProof/>
                <w:sz w:val="18"/>
                <w:szCs w:val="18"/>
              </w:rPr>
            </w:pPr>
            <w:r w:rsidRPr="00FE31A2">
              <w:rPr>
                <w:b/>
                <w:noProof/>
                <w:sz w:val="18"/>
                <w:szCs w:val="18"/>
              </w:rPr>
              <w:t>14891</w:t>
            </w:r>
          </w:p>
        </w:tc>
        <w:tc>
          <w:tcPr>
            <w:tcW w:w="526" w:type="dxa"/>
            <w:shd w:val="clear" w:color="auto" w:fill="auto"/>
            <w:tcMar>
              <w:right w:w="57" w:type="dxa"/>
            </w:tcMar>
            <w:vAlign w:val="bottom"/>
          </w:tcPr>
          <w:p w:rsidR="00AE21D4" w:rsidRPr="00FE31A2" w:rsidRDefault="00AE21D4" w:rsidP="008A7CF6">
            <w:pPr>
              <w:jc w:val="right"/>
              <w:rPr>
                <w:b/>
                <w:noProof/>
                <w:sz w:val="18"/>
                <w:szCs w:val="18"/>
              </w:rPr>
            </w:pPr>
            <w:r w:rsidRPr="00FE31A2">
              <w:rPr>
                <w:b/>
                <w:noProof/>
                <w:sz w:val="18"/>
                <w:szCs w:val="18"/>
              </w:rPr>
              <w:t>7508</w:t>
            </w:r>
          </w:p>
        </w:tc>
        <w:tc>
          <w:tcPr>
            <w:tcW w:w="522" w:type="dxa"/>
            <w:shd w:val="clear" w:color="auto" w:fill="auto"/>
            <w:tcMar>
              <w:right w:w="57" w:type="dxa"/>
            </w:tcMar>
            <w:vAlign w:val="bottom"/>
          </w:tcPr>
          <w:p w:rsidR="00AE21D4" w:rsidRPr="00FE31A2" w:rsidRDefault="00AE21D4" w:rsidP="008A7CF6">
            <w:pPr>
              <w:jc w:val="right"/>
              <w:rPr>
                <w:b/>
                <w:noProof/>
                <w:sz w:val="18"/>
                <w:szCs w:val="18"/>
              </w:rPr>
            </w:pPr>
            <w:r w:rsidRPr="00FE31A2">
              <w:rPr>
                <w:b/>
                <w:noProof/>
                <w:sz w:val="18"/>
                <w:szCs w:val="18"/>
              </w:rPr>
              <w:t>13712</w:t>
            </w:r>
          </w:p>
        </w:tc>
        <w:tc>
          <w:tcPr>
            <w:tcW w:w="527" w:type="dxa"/>
            <w:shd w:val="clear" w:color="auto" w:fill="auto"/>
            <w:tcMar>
              <w:right w:w="57" w:type="dxa"/>
            </w:tcMar>
            <w:vAlign w:val="bottom"/>
          </w:tcPr>
          <w:p w:rsidR="00AE21D4" w:rsidRPr="00FE31A2" w:rsidRDefault="00AE21D4" w:rsidP="008A7CF6">
            <w:pPr>
              <w:jc w:val="right"/>
              <w:rPr>
                <w:b/>
                <w:noProof/>
                <w:sz w:val="18"/>
                <w:szCs w:val="18"/>
              </w:rPr>
            </w:pPr>
            <w:r w:rsidRPr="00FE31A2">
              <w:rPr>
                <w:b/>
                <w:noProof/>
                <w:sz w:val="18"/>
                <w:szCs w:val="18"/>
              </w:rPr>
              <w:t>7191</w:t>
            </w:r>
          </w:p>
        </w:tc>
      </w:tr>
    </w:tbl>
    <w:p w:rsidR="0014428E" w:rsidRDefault="00AE21D4" w:rsidP="00A77970">
      <w:pPr>
        <w:jc w:val="center"/>
        <w:rPr>
          <w:kern w:val="28"/>
          <w:szCs w:val="20"/>
          <w:lang w:val="en-US" w:eastAsia="en-US"/>
        </w:rPr>
      </w:pPr>
      <w:r w:rsidRPr="00AE21D4">
        <w:rPr>
          <w:noProof/>
          <w:kern w:val="28"/>
          <w:szCs w:val="20"/>
        </w:rPr>
        <w:lastRenderedPageBreak/>
        <w:drawing>
          <wp:inline distT="0" distB="0" distL="0" distR="0">
            <wp:extent cx="3848100" cy="20955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9232" cy="2096116"/>
                    </a:xfrm>
                    <a:prstGeom prst="rect">
                      <a:avLst/>
                    </a:prstGeom>
                    <a:noFill/>
                    <a:ln>
                      <a:noFill/>
                    </a:ln>
                  </pic:spPr>
                </pic:pic>
              </a:graphicData>
            </a:graphic>
          </wp:inline>
        </w:drawing>
      </w:r>
    </w:p>
    <w:p w:rsidR="00997334" w:rsidRPr="0014428E" w:rsidRDefault="00562DDF" w:rsidP="00A77970">
      <w:pPr>
        <w:jc w:val="both"/>
        <w:rPr>
          <w:kern w:val="28"/>
          <w:szCs w:val="20"/>
          <w:lang w:val="en-US" w:eastAsia="en-US"/>
        </w:rPr>
      </w:pPr>
      <w:r>
        <w:rPr>
          <w:b/>
          <w:szCs w:val="20"/>
          <w:lang w:eastAsia="en-US"/>
        </w:rPr>
        <w:t xml:space="preserve">Potrivit Agenției Naționale pentru Ocuparea Forței de Muncă, situația </w:t>
      </w:r>
      <w:r w:rsidR="00997334" w:rsidRPr="00997334">
        <w:rPr>
          <w:b/>
          <w:noProof/>
          <w:kern w:val="28"/>
          <w:lang w:eastAsia="en-US"/>
        </w:rPr>
        <w:t>şomerilor înregistraţi, pe sectoare</w:t>
      </w:r>
      <w:r>
        <w:rPr>
          <w:b/>
          <w:kern w:val="28"/>
          <w:lang w:eastAsia="en-US"/>
        </w:rPr>
        <w:t xml:space="preserve"> (</w:t>
      </w:r>
      <w:r w:rsidR="00997334" w:rsidRPr="00997334">
        <w:rPr>
          <w:b/>
          <w:kern w:val="28"/>
          <w:lang w:eastAsia="en-US"/>
        </w:rPr>
        <w:t>la sfârşitul perioadei</w:t>
      </w:r>
      <w:r>
        <w:rPr>
          <w:b/>
          <w:kern w:val="28"/>
          <w:lang w:eastAsia="en-US"/>
        </w:rPr>
        <w:t>), se prezintă astfel:</w:t>
      </w:r>
    </w:p>
    <w:p w:rsidR="00997334" w:rsidRPr="00997334" w:rsidRDefault="00997334" w:rsidP="00A77970">
      <w:pPr>
        <w:jc w:val="right"/>
        <w:rPr>
          <w:kern w:val="28"/>
          <w:sz w:val="18"/>
          <w:szCs w:val="18"/>
          <w:lang w:val="en-US" w:eastAsia="en-US"/>
        </w:rPr>
      </w:pPr>
      <w:r w:rsidRPr="00997334">
        <w:rPr>
          <w:kern w:val="28"/>
          <w:sz w:val="18"/>
          <w:szCs w:val="18"/>
          <w:lang w:val="en-US" w:eastAsia="en-US"/>
        </w:rPr>
        <w:t>- persoane -</w:t>
      </w:r>
    </w:p>
    <w:tbl>
      <w:tblPr>
        <w:tblW w:w="10421" w:type="dxa"/>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232"/>
        <w:gridCol w:w="37"/>
        <w:gridCol w:w="474"/>
        <w:gridCol w:w="512"/>
        <w:gridCol w:w="512"/>
        <w:gridCol w:w="512"/>
        <w:gridCol w:w="512"/>
        <w:gridCol w:w="511"/>
        <w:gridCol w:w="512"/>
        <w:gridCol w:w="512"/>
        <w:gridCol w:w="512"/>
        <w:gridCol w:w="512"/>
        <w:gridCol w:w="511"/>
        <w:gridCol w:w="512"/>
        <w:gridCol w:w="512"/>
        <w:gridCol w:w="512"/>
        <w:gridCol w:w="512"/>
        <w:gridCol w:w="512"/>
      </w:tblGrid>
      <w:tr w:rsidR="00997334" w:rsidRPr="00997334" w:rsidTr="0053067B">
        <w:trPr>
          <w:cantSplit/>
          <w:trHeight w:val="299"/>
          <w:jc w:val="center"/>
        </w:trPr>
        <w:tc>
          <w:tcPr>
            <w:tcW w:w="2269" w:type="dxa"/>
            <w:gridSpan w:val="2"/>
            <w:vMerge w:val="restart"/>
            <w:shd w:val="clear" w:color="auto" w:fill="CCCCCC"/>
            <w:tcMar>
              <w:left w:w="57" w:type="dxa"/>
              <w:right w:w="57" w:type="dxa"/>
            </w:tcMar>
            <w:vAlign w:val="bottom"/>
          </w:tcPr>
          <w:p w:rsidR="00997334" w:rsidRPr="00997334" w:rsidRDefault="00997334" w:rsidP="00A77970">
            <w:pPr>
              <w:keepNext/>
              <w:ind w:left="720" w:firstLine="720"/>
              <w:jc w:val="center"/>
              <w:outlineLvl w:val="3"/>
              <w:rPr>
                <w:noProof/>
                <w:sz w:val="18"/>
                <w:szCs w:val="18"/>
                <w:lang w:eastAsia="en-US"/>
              </w:rPr>
            </w:pPr>
          </w:p>
        </w:tc>
        <w:tc>
          <w:tcPr>
            <w:tcW w:w="4057" w:type="dxa"/>
            <w:gridSpan w:val="8"/>
            <w:shd w:val="clear" w:color="auto" w:fill="CCCCCC"/>
            <w:tcMar>
              <w:right w:w="57" w:type="dxa"/>
            </w:tcMar>
            <w:vAlign w:val="center"/>
          </w:tcPr>
          <w:p w:rsidR="00997334" w:rsidRPr="00997334" w:rsidRDefault="00997334" w:rsidP="00AE21D4">
            <w:pPr>
              <w:jc w:val="center"/>
              <w:rPr>
                <w:b/>
                <w:noProof/>
                <w:kern w:val="28"/>
                <w:sz w:val="18"/>
                <w:szCs w:val="18"/>
                <w:lang w:val="en-US" w:eastAsia="en-US"/>
              </w:rPr>
            </w:pPr>
            <w:r w:rsidRPr="00997334">
              <w:rPr>
                <w:b/>
                <w:noProof/>
                <w:kern w:val="28"/>
                <w:sz w:val="18"/>
                <w:szCs w:val="18"/>
                <w:lang w:val="en-US" w:eastAsia="en-US"/>
              </w:rPr>
              <w:t>201</w:t>
            </w:r>
            <w:r w:rsidR="00AE21D4">
              <w:rPr>
                <w:b/>
                <w:noProof/>
                <w:kern w:val="28"/>
                <w:sz w:val="18"/>
                <w:szCs w:val="18"/>
                <w:lang w:val="en-US" w:eastAsia="en-US"/>
              </w:rPr>
              <w:t>7</w:t>
            </w:r>
          </w:p>
        </w:tc>
        <w:tc>
          <w:tcPr>
            <w:tcW w:w="4095" w:type="dxa"/>
            <w:gridSpan w:val="8"/>
            <w:shd w:val="clear" w:color="auto" w:fill="CCCCCC"/>
            <w:tcMar>
              <w:right w:w="57" w:type="dxa"/>
            </w:tcMar>
            <w:vAlign w:val="center"/>
          </w:tcPr>
          <w:p w:rsidR="00997334" w:rsidRPr="00997334" w:rsidRDefault="00997334" w:rsidP="00AE21D4">
            <w:pPr>
              <w:jc w:val="center"/>
              <w:rPr>
                <w:b/>
                <w:noProof/>
                <w:kern w:val="28"/>
                <w:sz w:val="18"/>
                <w:szCs w:val="18"/>
                <w:lang w:val="en-US" w:eastAsia="en-US"/>
              </w:rPr>
            </w:pPr>
            <w:r w:rsidRPr="00997334">
              <w:rPr>
                <w:b/>
                <w:noProof/>
                <w:kern w:val="28"/>
                <w:sz w:val="18"/>
                <w:szCs w:val="18"/>
                <w:lang w:val="en-US" w:eastAsia="en-US"/>
              </w:rPr>
              <w:t>201</w:t>
            </w:r>
            <w:r w:rsidR="00AE21D4">
              <w:rPr>
                <w:b/>
                <w:noProof/>
                <w:kern w:val="28"/>
                <w:sz w:val="18"/>
                <w:szCs w:val="18"/>
                <w:lang w:val="en-US" w:eastAsia="en-US"/>
              </w:rPr>
              <w:t>8</w:t>
            </w:r>
          </w:p>
        </w:tc>
      </w:tr>
      <w:tr w:rsidR="00997334" w:rsidRPr="00997334" w:rsidTr="0053067B">
        <w:trPr>
          <w:cantSplit/>
          <w:trHeight w:val="299"/>
          <w:jc w:val="center"/>
        </w:trPr>
        <w:tc>
          <w:tcPr>
            <w:tcW w:w="2269" w:type="dxa"/>
            <w:gridSpan w:val="2"/>
            <w:vMerge/>
            <w:shd w:val="clear" w:color="auto" w:fill="CCCCCC"/>
            <w:tcMar>
              <w:left w:w="57" w:type="dxa"/>
              <w:right w:w="57" w:type="dxa"/>
            </w:tcMar>
            <w:vAlign w:val="bottom"/>
          </w:tcPr>
          <w:p w:rsidR="00997334" w:rsidRPr="00997334" w:rsidRDefault="00997334" w:rsidP="00A77970">
            <w:pPr>
              <w:keepNext/>
              <w:ind w:left="720" w:firstLine="720"/>
              <w:jc w:val="center"/>
              <w:outlineLvl w:val="3"/>
              <w:rPr>
                <w:noProof/>
                <w:sz w:val="18"/>
                <w:szCs w:val="18"/>
                <w:lang w:val="en-GB" w:eastAsia="en-US"/>
              </w:rPr>
            </w:pPr>
          </w:p>
        </w:tc>
        <w:tc>
          <w:tcPr>
            <w:tcW w:w="986" w:type="dxa"/>
            <w:gridSpan w:val="2"/>
            <w:shd w:val="clear" w:color="auto" w:fill="CCCCCC"/>
            <w:tcMar>
              <w:right w:w="57" w:type="dxa"/>
            </w:tcMar>
            <w:vAlign w:val="bottom"/>
          </w:tcPr>
          <w:p w:rsidR="00997334" w:rsidRPr="00997334" w:rsidRDefault="00997334" w:rsidP="00A77970">
            <w:pPr>
              <w:jc w:val="center"/>
              <w:rPr>
                <w:b/>
                <w:noProof/>
                <w:kern w:val="28"/>
                <w:sz w:val="18"/>
                <w:szCs w:val="18"/>
                <w:lang w:val="en-US" w:eastAsia="en-US"/>
              </w:rPr>
            </w:pPr>
            <w:r w:rsidRPr="00997334">
              <w:rPr>
                <w:b/>
                <w:noProof/>
                <w:kern w:val="28"/>
                <w:sz w:val="18"/>
                <w:szCs w:val="18"/>
                <w:lang w:val="en-US" w:eastAsia="en-US"/>
              </w:rPr>
              <w:t>trim.I</w:t>
            </w:r>
          </w:p>
        </w:tc>
        <w:tc>
          <w:tcPr>
            <w:tcW w:w="1024" w:type="dxa"/>
            <w:gridSpan w:val="2"/>
            <w:shd w:val="clear" w:color="auto" w:fill="CCCCCC"/>
            <w:tcMar>
              <w:right w:w="57" w:type="dxa"/>
            </w:tcMar>
            <w:vAlign w:val="bottom"/>
          </w:tcPr>
          <w:p w:rsidR="00997334" w:rsidRPr="00997334" w:rsidRDefault="00997334" w:rsidP="00A77970">
            <w:pPr>
              <w:jc w:val="center"/>
              <w:rPr>
                <w:b/>
                <w:noProof/>
                <w:kern w:val="28"/>
                <w:sz w:val="18"/>
                <w:szCs w:val="18"/>
                <w:lang w:val="en-US" w:eastAsia="en-US"/>
              </w:rPr>
            </w:pPr>
            <w:r w:rsidRPr="00997334">
              <w:rPr>
                <w:b/>
                <w:noProof/>
                <w:kern w:val="28"/>
                <w:sz w:val="18"/>
                <w:szCs w:val="18"/>
                <w:lang w:val="en-US" w:eastAsia="en-US"/>
              </w:rPr>
              <w:t>trim.II</w:t>
            </w:r>
          </w:p>
        </w:tc>
        <w:tc>
          <w:tcPr>
            <w:tcW w:w="1023" w:type="dxa"/>
            <w:gridSpan w:val="2"/>
            <w:shd w:val="clear" w:color="auto" w:fill="CCCCCC"/>
            <w:tcMar>
              <w:right w:w="57" w:type="dxa"/>
            </w:tcMar>
            <w:vAlign w:val="bottom"/>
          </w:tcPr>
          <w:p w:rsidR="00997334" w:rsidRPr="00997334" w:rsidRDefault="00997334" w:rsidP="00A77970">
            <w:pPr>
              <w:jc w:val="center"/>
              <w:rPr>
                <w:b/>
                <w:noProof/>
                <w:kern w:val="28"/>
                <w:sz w:val="18"/>
                <w:szCs w:val="18"/>
                <w:lang w:val="en-US" w:eastAsia="en-US"/>
              </w:rPr>
            </w:pPr>
            <w:r w:rsidRPr="00997334">
              <w:rPr>
                <w:b/>
                <w:noProof/>
                <w:kern w:val="28"/>
                <w:sz w:val="18"/>
                <w:szCs w:val="18"/>
                <w:lang w:val="en-US" w:eastAsia="en-US"/>
              </w:rPr>
              <w:t>trim.III</w:t>
            </w:r>
          </w:p>
        </w:tc>
        <w:tc>
          <w:tcPr>
            <w:tcW w:w="1024" w:type="dxa"/>
            <w:gridSpan w:val="2"/>
            <w:shd w:val="clear" w:color="auto" w:fill="CCCCCC"/>
            <w:tcMar>
              <w:right w:w="57" w:type="dxa"/>
            </w:tcMar>
            <w:vAlign w:val="bottom"/>
          </w:tcPr>
          <w:p w:rsidR="00997334" w:rsidRPr="00997334" w:rsidRDefault="00997334" w:rsidP="00A77970">
            <w:pPr>
              <w:jc w:val="center"/>
              <w:rPr>
                <w:b/>
                <w:noProof/>
                <w:kern w:val="28"/>
                <w:sz w:val="18"/>
                <w:szCs w:val="18"/>
                <w:lang w:val="en-US" w:eastAsia="en-US"/>
              </w:rPr>
            </w:pPr>
            <w:r w:rsidRPr="00997334">
              <w:rPr>
                <w:b/>
                <w:noProof/>
                <w:kern w:val="28"/>
                <w:sz w:val="18"/>
                <w:szCs w:val="18"/>
                <w:lang w:val="en-US" w:eastAsia="en-US"/>
              </w:rPr>
              <w:t>trim.IV</w:t>
            </w:r>
          </w:p>
        </w:tc>
        <w:tc>
          <w:tcPr>
            <w:tcW w:w="1024" w:type="dxa"/>
            <w:gridSpan w:val="2"/>
            <w:shd w:val="clear" w:color="auto" w:fill="CCCCCC"/>
            <w:tcMar>
              <w:right w:w="57" w:type="dxa"/>
            </w:tcMar>
            <w:vAlign w:val="bottom"/>
          </w:tcPr>
          <w:p w:rsidR="00997334" w:rsidRPr="00997334" w:rsidRDefault="00997334" w:rsidP="00A77970">
            <w:pPr>
              <w:jc w:val="center"/>
              <w:rPr>
                <w:b/>
                <w:noProof/>
                <w:kern w:val="28"/>
                <w:sz w:val="18"/>
                <w:szCs w:val="18"/>
                <w:lang w:val="en-US" w:eastAsia="en-US"/>
              </w:rPr>
            </w:pPr>
            <w:r w:rsidRPr="00997334">
              <w:rPr>
                <w:b/>
                <w:noProof/>
                <w:kern w:val="28"/>
                <w:sz w:val="18"/>
                <w:szCs w:val="18"/>
                <w:lang w:val="en-US" w:eastAsia="en-US"/>
              </w:rPr>
              <w:t>trim.I</w:t>
            </w:r>
          </w:p>
        </w:tc>
        <w:tc>
          <w:tcPr>
            <w:tcW w:w="1023" w:type="dxa"/>
            <w:gridSpan w:val="2"/>
            <w:shd w:val="clear" w:color="auto" w:fill="CCCCCC"/>
            <w:tcMar>
              <w:right w:w="57" w:type="dxa"/>
            </w:tcMar>
            <w:vAlign w:val="bottom"/>
          </w:tcPr>
          <w:p w:rsidR="00997334" w:rsidRPr="00997334" w:rsidRDefault="00997334" w:rsidP="00A77970">
            <w:pPr>
              <w:jc w:val="center"/>
              <w:rPr>
                <w:b/>
                <w:noProof/>
                <w:kern w:val="28"/>
                <w:sz w:val="18"/>
                <w:szCs w:val="18"/>
                <w:lang w:val="en-US" w:eastAsia="en-US"/>
              </w:rPr>
            </w:pPr>
            <w:r w:rsidRPr="00997334">
              <w:rPr>
                <w:b/>
                <w:noProof/>
                <w:kern w:val="28"/>
                <w:sz w:val="18"/>
                <w:szCs w:val="18"/>
                <w:lang w:val="en-US" w:eastAsia="en-US"/>
              </w:rPr>
              <w:t>trim.II</w:t>
            </w:r>
          </w:p>
        </w:tc>
        <w:tc>
          <w:tcPr>
            <w:tcW w:w="1024" w:type="dxa"/>
            <w:gridSpan w:val="2"/>
            <w:shd w:val="clear" w:color="auto" w:fill="CCCCCC"/>
            <w:tcMar>
              <w:right w:w="57" w:type="dxa"/>
            </w:tcMar>
            <w:vAlign w:val="bottom"/>
          </w:tcPr>
          <w:p w:rsidR="00997334" w:rsidRPr="00997334" w:rsidRDefault="00997334" w:rsidP="00A77970">
            <w:pPr>
              <w:jc w:val="center"/>
              <w:rPr>
                <w:b/>
                <w:noProof/>
                <w:kern w:val="28"/>
                <w:sz w:val="18"/>
                <w:szCs w:val="18"/>
                <w:lang w:val="en-US" w:eastAsia="en-US"/>
              </w:rPr>
            </w:pPr>
            <w:r w:rsidRPr="00997334">
              <w:rPr>
                <w:b/>
                <w:noProof/>
                <w:kern w:val="28"/>
                <w:sz w:val="18"/>
                <w:szCs w:val="18"/>
                <w:lang w:val="en-US" w:eastAsia="en-US"/>
              </w:rPr>
              <w:t>trim.III</w:t>
            </w:r>
          </w:p>
        </w:tc>
        <w:tc>
          <w:tcPr>
            <w:tcW w:w="1024" w:type="dxa"/>
            <w:gridSpan w:val="2"/>
            <w:shd w:val="clear" w:color="auto" w:fill="CCCCCC"/>
            <w:tcMar>
              <w:right w:w="57" w:type="dxa"/>
            </w:tcMar>
            <w:vAlign w:val="bottom"/>
          </w:tcPr>
          <w:p w:rsidR="00997334" w:rsidRPr="00997334" w:rsidRDefault="00997334" w:rsidP="00A77970">
            <w:pPr>
              <w:jc w:val="center"/>
              <w:rPr>
                <w:b/>
                <w:noProof/>
                <w:kern w:val="28"/>
                <w:sz w:val="18"/>
                <w:szCs w:val="18"/>
                <w:lang w:val="en-US" w:eastAsia="en-US"/>
              </w:rPr>
            </w:pPr>
            <w:r w:rsidRPr="00997334">
              <w:rPr>
                <w:b/>
                <w:noProof/>
                <w:kern w:val="28"/>
                <w:sz w:val="18"/>
                <w:szCs w:val="18"/>
                <w:lang w:val="en-US" w:eastAsia="en-US"/>
              </w:rPr>
              <w:t>trim.IV</w:t>
            </w:r>
          </w:p>
        </w:tc>
      </w:tr>
      <w:tr w:rsidR="00997334" w:rsidRPr="00997334" w:rsidTr="0053067B">
        <w:trPr>
          <w:cantSplit/>
          <w:trHeight w:val="299"/>
          <w:jc w:val="center"/>
        </w:trPr>
        <w:tc>
          <w:tcPr>
            <w:tcW w:w="2269" w:type="dxa"/>
            <w:gridSpan w:val="2"/>
            <w:vMerge/>
            <w:tcBorders>
              <w:bottom w:val="single" w:sz="4" w:space="0" w:color="auto"/>
            </w:tcBorders>
            <w:shd w:val="clear" w:color="auto" w:fill="CCCCCC"/>
            <w:tcMar>
              <w:left w:w="57" w:type="dxa"/>
              <w:right w:w="57" w:type="dxa"/>
            </w:tcMar>
            <w:vAlign w:val="bottom"/>
          </w:tcPr>
          <w:p w:rsidR="00997334" w:rsidRPr="00997334" w:rsidRDefault="00997334" w:rsidP="00A77970">
            <w:pPr>
              <w:keepNext/>
              <w:ind w:left="720" w:firstLine="720"/>
              <w:jc w:val="center"/>
              <w:outlineLvl w:val="3"/>
              <w:rPr>
                <w:noProof/>
                <w:sz w:val="18"/>
                <w:szCs w:val="18"/>
                <w:lang w:val="en-GB" w:eastAsia="en-US"/>
              </w:rPr>
            </w:pPr>
          </w:p>
        </w:tc>
        <w:tc>
          <w:tcPr>
            <w:tcW w:w="474" w:type="dxa"/>
            <w:tcBorders>
              <w:bottom w:val="single" w:sz="4" w:space="0" w:color="auto"/>
            </w:tcBorders>
            <w:shd w:val="clear" w:color="auto" w:fill="CCCCCC"/>
            <w:tcMar>
              <w:right w:w="57" w:type="dxa"/>
            </w:tcMar>
            <w:vAlign w:val="bottom"/>
          </w:tcPr>
          <w:p w:rsidR="00997334" w:rsidRPr="00997334" w:rsidRDefault="00997334" w:rsidP="00A77970">
            <w:pPr>
              <w:jc w:val="center"/>
              <w:rPr>
                <w:b/>
                <w:noProof/>
                <w:kern w:val="28"/>
                <w:sz w:val="16"/>
                <w:szCs w:val="16"/>
                <w:lang w:val="en-US" w:eastAsia="en-US"/>
              </w:rPr>
            </w:pPr>
            <w:r w:rsidRPr="00997334">
              <w:rPr>
                <w:b/>
                <w:noProof/>
                <w:kern w:val="28"/>
                <w:sz w:val="16"/>
                <w:szCs w:val="16"/>
                <w:lang w:val="en-US" w:eastAsia="en-US"/>
              </w:rPr>
              <w:t>Total</w:t>
            </w:r>
          </w:p>
        </w:tc>
        <w:tc>
          <w:tcPr>
            <w:tcW w:w="512" w:type="dxa"/>
            <w:tcBorders>
              <w:bottom w:val="single" w:sz="4" w:space="0" w:color="auto"/>
            </w:tcBorders>
            <w:shd w:val="clear" w:color="auto" w:fill="CCCCCC"/>
            <w:tcMar>
              <w:right w:w="57" w:type="dxa"/>
            </w:tcMar>
            <w:vAlign w:val="bottom"/>
          </w:tcPr>
          <w:p w:rsidR="00997334" w:rsidRPr="00997334" w:rsidRDefault="00997334" w:rsidP="00A77970">
            <w:pPr>
              <w:jc w:val="center"/>
              <w:rPr>
                <w:b/>
                <w:noProof/>
                <w:kern w:val="28"/>
                <w:sz w:val="16"/>
                <w:szCs w:val="16"/>
                <w:lang w:val="en-US" w:eastAsia="en-US"/>
              </w:rPr>
            </w:pPr>
            <w:r w:rsidRPr="00997334">
              <w:rPr>
                <w:b/>
                <w:noProof/>
                <w:kern w:val="28"/>
                <w:sz w:val="16"/>
                <w:szCs w:val="16"/>
                <w:lang w:val="en-US" w:eastAsia="en-US"/>
              </w:rPr>
              <w:t>femei</w:t>
            </w:r>
          </w:p>
        </w:tc>
        <w:tc>
          <w:tcPr>
            <w:tcW w:w="512" w:type="dxa"/>
            <w:tcBorders>
              <w:bottom w:val="single" w:sz="4" w:space="0" w:color="auto"/>
            </w:tcBorders>
            <w:shd w:val="clear" w:color="auto" w:fill="CCCCCC"/>
            <w:tcMar>
              <w:right w:w="57" w:type="dxa"/>
            </w:tcMar>
            <w:vAlign w:val="bottom"/>
          </w:tcPr>
          <w:p w:rsidR="00997334" w:rsidRPr="00997334" w:rsidRDefault="00997334" w:rsidP="00A77970">
            <w:pPr>
              <w:jc w:val="center"/>
              <w:rPr>
                <w:b/>
                <w:noProof/>
                <w:kern w:val="28"/>
                <w:sz w:val="16"/>
                <w:szCs w:val="16"/>
                <w:lang w:val="en-US" w:eastAsia="en-US"/>
              </w:rPr>
            </w:pPr>
            <w:r w:rsidRPr="00997334">
              <w:rPr>
                <w:b/>
                <w:noProof/>
                <w:kern w:val="28"/>
                <w:sz w:val="16"/>
                <w:szCs w:val="16"/>
                <w:lang w:val="en-US" w:eastAsia="en-US"/>
              </w:rPr>
              <w:t>Total</w:t>
            </w:r>
          </w:p>
        </w:tc>
        <w:tc>
          <w:tcPr>
            <w:tcW w:w="512" w:type="dxa"/>
            <w:tcBorders>
              <w:bottom w:val="single" w:sz="4" w:space="0" w:color="auto"/>
            </w:tcBorders>
            <w:shd w:val="clear" w:color="auto" w:fill="CCCCCC"/>
            <w:tcMar>
              <w:right w:w="57" w:type="dxa"/>
            </w:tcMar>
            <w:vAlign w:val="bottom"/>
          </w:tcPr>
          <w:p w:rsidR="00997334" w:rsidRPr="00997334" w:rsidRDefault="00997334" w:rsidP="00A77970">
            <w:pPr>
              <w:jc w:val="center"/>
              <w:rPr>
                <w:b/>
                <w:noProof/>
                <w:kern w:val="28"/>
                <w:sz w:val="16"/>
                <w:szCs w:val="16"/>
                <w:lang w:val="en-US" w:eastAsia="en-US"/>
              </w:rPr>
            </w:pPr>
            <w:r w:rsidRPr="00997334">
              <w:rPr>
                <w:b/>
                <w:noProof/>
                <w:kern w:val="28"/>
                <w:sz w:val="16"/>
                <w:szCs w:val="16"/>
                <w:lang w:val="en-US" w:eastAsia="en-US"/>
              </w:rPr>
              <w:t>femei</w:t>
            </w:r>
          </w:p>
        </w:tc>
        <w:tc>
          <w:tcPr>
            <w:tcW w:w="512" w:type="dxa"/>
            <w:tcBorders>
              <w:bottom w:val="single" w:sz="4" w:space="0" w:color="auto"/>
            </w:tcBorders>
            <w:shd w:val="clear" w:color="auto" w:fill="CCCCCC"/>
            <w:tcMar>
              <w:right w:w="57" w:type="dxa"/>
            </w:tcMar>
            <w:vAlign w:val="bottom"/>
          </w:tcPr>
          <w:p w:rsidR="00997334" w:rsidRPr="00997334" w:rsidRDefault="00997334" w:rsidP="00A77970">
            <w:pPr>
              <w:jc w:val="center"/>
              <w:rPr>
                <w:b/>
                <w:noProof/>
                <w:kern w:val="28"/>
                <w:sz w:val="16"/>
                <w:szCs w:val="16"/>
                <w:lang w:val="en-US" w:eastAsia="en-US"/>
              </w:rPr>
            </w:pPr>
            <w:r w:rsidRPr="00997334">
              <w:rPr>
                <w:b/>
                <w:noProof/>
                <w:kern w:val="28"/>
                <w:sz w:val="16"/>
                <w:szCs w:val="16"/>
                <w:lang w:val="en-US" w:eastAsia="en-US"/>
              </w:rPr>
              <w:t>Total</w:t>
            </w:r>
          </w:p>
        </w:tc>
        <w:tc>
          <w:tcPr>
            <w:tcW w:w="511" w:type="dxa"/>
            <w:tcBorders>
              <w:bottom w:val="single" w:sz="4" w:space="0" w:color="auto"/>
            </w:tcBorders>
            <w:shd w:val="clear" w:color="auto" w:fill="CCCCCC"/>
            <w:tcMar>
              <w:right w:w="57" w:type="dxa"/>
            </w:tcMar>
            <w:vAlign w:val="bottom"/>
          </w:tcPr>
          <w:p w:rsidR="00997334" w:rsidRPr="00997334" w:rsidRDefault="00997334" w:rsidP="00A77970">
            <w:pPr>
              <w:jc w:val="center"/>
              <w:rPr>
                <w:b/>
                <w:noProof/>
                <w:kern w:val="28"/>
                <w:sz w:val="16"/>
                <w:szCs w:val="16"/>
                <w:lang w:val="en-US" w:eastAsia="en-US"/>
              </w:rPr>
            </w:pPr>
            <w:r w:rsidRPr="00997334">
              <w:rPr>
                <w:b/>
                <w:noProof/>
                <w:kern w:val="28"/>
                <w:sz w:val="16"/>
                <w:szCs w:val="16"/>
                <w:lang w:val="en-US" w:eastAsia="en-US"/>
              </w:rPr>
              <w:t>femei</w:t>
            </w:r>
          </w:p>
        </w:tc>
        <w:tc>
          <w:tcPr>
            <w:tcW w:w="512" w:type="dxa"/>
            <w:tcBorders>
              <w:bottom w:val="single" w:sz="4" w:space="0" w:color="auto"/>
            </w:tcBorders>
            <w:shd w:val="clear" w:color="auto" w:fill="CCCCCC"/>
            <w:tcMar>
              <w:right w:w="57" w:type="dxa"/>
            </w:tcMar>
            <w:vAlign w:val="bottom"/>
          </w:tcPr>
          <w:p w:rsidR="00997334" w:rsidRPr="00997334" w:rsidRDefault="00997334" w:rsidP="00A77970">
            <w:pPr>
              <w:jc w:val="center"/>
              <w:rPr>
                <w:b/>
                <w:noProof/>
                <w:kern w:val="28"/>
                <w:sz w:val="16"/>
                <w:szCs w:val="16"/>
                <w:lang w:val="en-US" w:eastAsia="en-US"/>
              </w:rPr>
            </w:pPr>
            <w:r w:rsidRPr="00997334">
              <w:rPr>
                <w:b/>
                <w:noProof/>
                <w:kern w:val="28"/>
                <w:sz w:val="16"/>
                <w:szCs w:val="16"/>
                <w:lang w:val="en-US" w:eastAsia="en-US"/>
              </w:rPr>
              <w:t>Total</w:t>
            </w:r>
          </w:p>
        </w:tc>
        <w:tc>
          <w:tcPr>
            <w:tcW w:w="512" w:type="dxa"/>
            <w:tcBorders>
              <w:bottom w:val="single" w:sz="4" w:space="0" w:color="auto"/>
            </w:tcBorders>
            <w:shd w:val="clear" w:color="auto" w:fill="CCCCCC"/>
            <w:tcMar>
              <w:right w:w="57" w:type="dxa"/>
            </w:tcMar>
            <w:vAlign w:val="bottom"/>
          </w:tcPr>
          <w:p w:rsidR="00997334" w:rsidRPr="00997334" w:rsidRDefault="00997334" w:rsidP="00A77970">
            <w:pPr>
              <w:jc w:val="center"/>
              <w:rPr>
                <w:b/>
                <w:noProof/>
                <w:kern w:val="28"/>
                <w:sz w:val="16"/>
                <w:szCs w:val="16"/>
                <w:lang w:val="en-US" w:eastAsia="en-US"/>
              </w:rPr>
            </w:pPr>
            <w:r w:rsidRPr="00997334">
              <w:rPr>
                <w:b/>
                <w:noProof/>
                <w:kern w:val="28"/>
                <w:sz w:val="16"/>
                <w:szCs w:val="16"/>
                <w:lang w:val="en-US" w:eastAsia="en-US"/>
              </w:rPr>
              <w:t>femei</w:t>
            </w:r>
          </w:p>
        </w:tc>
        <w:tc>
          <w:tcPr>
            <w:tcW w:w="512" w:type="dxa"/>
            <w:tcBorders>
              <w:bottom w:val="single" w:sz="4" w:space="0" w:color="auto"/>
            </w:tcBorders>
            <w:shd w:val="clear" w:color="auto" w:fill="CCCCCC"/>
            <w:tcMar>
              <w:right w:w="57" w:type="dxa"/>
            </w:tcMar>
            <w:vAlign w:val="bottom"/>
          </w:tcPr>
          <w:p w:rsidR="00997334" w:rsidRPr="00997334" w:rsidRDefault="00997334" w:rsidP="00A77970">
            <w:pPr>
              <w:jc w:val="center"/>
              <w:rPr>
                <w:b/>
                <w:noProof/>
                <w:kern w:val="28"/>
                <w:sz w:val="16"/>
                <w:szCs w:val="16"/>
                <w:lang w:val="en-US" w:eastAsia="en-US"/>
              </w:rPr>
            </w:pPr>
            <w:r w:rsidRPr="00997334">
              <w:rPr>
                <w:b/>
                <w:noProof/>
                <w:kern w:val="28"/>
                <w:sz w:val="16"/>
                <w:szCs w:val="16"/>
                <w:lang w:val="en-US" w:eastAsia="en-US"/>
              </w:rPr>
              <w:t>Total</w:t>
            </w:r>
          </w:p>
        </w:tc>
        <w:tc>
          <w:tcPr>
            <w:tcW w:w="512" w:type="dxa"/>
            <w:tcBorders>
              <w:bottom w:val="single" w:sz="4" w:space="0" w:color="auto"/>
            </w:tcBorders>
            <w:shd w:val="clear" w:color="auto" w:fill="CCCCCC"/>
            <w:tcMar>
              <w:right w:w="57" w:type="dxa"/>
            </w:tcMar>
            <w:vAlign w:val="bottom"/>
          </w:tcPr>
          <w:p w:rsidR="00997334" w:rsidRPr="00997334" w:rsidRDefault="00997334" w:rsidP="00A77970">
            <w:pPr>
              <w:jc w:val="center"/>
              <w:rPr>
                <w:b/>
                <w:noProof/>
                <w:kern w:val="28"/>
                <w:sz w:val="16"/>
                <w:szCs w:val="16"/>
                <w:lang w:val="en-US" w:eastAsia="en-US"/>
              </w:rPr>
            </w:pPr>
            <w:r w:rsidRPr="00997334">
              <w:rPr>
                <w:b/>
                <w:noProof/>
                <w:kern w:val="28"/>
                <w:sz w:val="16"/>
                <w:szCs w:val="16"/>
                <w:lang w:val="en-US" w:eastAsia="en-US"/>
              </w:rPr>
              <w:t>femei</w:t>
            </w:r>
          </w:p>
        </w:tc>
        <w:tc>
          <w:tcPr>
            <w:tcW w:w="511" w:type="dxa"/>
            <w:tcBorders>
              <w:bottom w:val="single" w:sz="4" w:space="0" w:color="auto"/>
            </w:tcBorders>
            <w:shd w:val="clear" w:color="auto" w:fill="CCCCCC"/>
            <w:tcMar>
              <w:right w:w="57" w:type="dxa"/>
            </w:tcMar>
            <w:vAlign w:val="bottom"/>
          </w:tcPr>
          <w:p w:rsidR="00997334" w:rsidRPr="00997334" w:rsidRDefault="00997334" w:rsidP="00A77970">
            <w:pPr>
              <w:jc w:val="center"/>
              <w:rPr>
                <w:b/>
                <w:noProof/>
                <w:kern w:val="28"/>
                <w:sz w:val="16"/>
                <w:szCs w:val="16"/>
                <w:lang w:val="en-US" w:eastAsia="en-US"/>
              </w:rPr>
            </w:pPr>
            <w:r w:rsidRPr="00997334">
              <w:rPr>
                <w:b/>
                <w:noProof/>
                <w:kern w:val="28"/>
                <w:sz w:val="16"/>
                <w:szCs w:val="16"/>
                <w:lang w:val="en-US" w:eastAsia="en-US"/>
              </w:rPr>
              <w:t>Total</w:t>
            </w:r>
          </w:p>
        </w:tc>
        <w:tc>
          <w:tcPr>
            <w:tcW w:w="512" w:type="dxa"/>
            <w:tcBorders>
              <w:bottom w:val="single" w:sz="4" w:space="0" w:color="auto"/>
            </w:tcBorders>
            <w:shd w:val="clear" w:color="auto" w:fill="CCCCCC"/>
            <w:tcMar>
              <w:right w:w="57" w:type="dxa"/>
            </w:tcMar>
            <w:vAlign w:val="bottom"/>
          </w:tcPr>
          <w:p w:rsidR="00997334" w:rsidRPr="00997334" w:rsidRDefault="00997334" w:rsidP="00A77970">
            <w:pPr>
              <w:jc w:val="center"/>
              <w:rPr>
                <w:b/>
                <w:noProof/>
                <w:kern w:val="28"/>
                <w:sz w:val="16"/>
                <w:szCs w:val="16"/>
                <w:lang w:val="en-US" w:eastAsia="en-US"/>
              </w:rPr>
            </w:pPr>
            <w:r w:rsidRPr="00997334">
              <w:rPr>
                <w:b/>
                <w:noProof/>
                <w:kern w:val="28"/>
                <w:sz w:val="16"/>
                <w:szCs w:val="16"/>
                <w:lang w:val="en-US" w:eastAsia="en-US"/>
              </w:rPr>
              <w:t>femei</w:t>
            </w:r>
          </w:p>
        </w:tc>
        <w:tc>
          <w:tcPr>
            <w:tcW w:w="512" w:type="dxa"/>
            <w:tcBorders>
              <w:bottom w:val="single" w:sz="4" w:space="0" w:color="auto"/>
            </w:tcBorders>
            <w:shd w:val="clear" w:color="auto" w:fill="CCCCCC"/>
            <w:tcMar>
              <w:right w:w="57" w:type="dxa"/>
            </w:tcMar>
            <w:vAlign w:val="bottom"/>
          </w:tcPr>
          <w:p w:rsidR="00997334" w:rsidRPr="00997334" w:rsidRDefault="00997334" w:rsidP="00A77970">
            <w:pPr>
              <w:jc w:val="center"/>
              <w:rPr>
                <w:b/>
                <w:noProof/>
                <w:kern w:val="28"/>
                <w:sz w:val="16"/>
                <w:szCs w:val="16"/>
                <w:lang w:val="en-US" w:eastAsia="en-US"/>
              </w:rPr>
            </w:pPr>
            <w:r w:rsidRPr="00997334">
              <w:rPr>
                <w:b/>
                <w:noProof/>
                <w:kern w:val="28"/>
                <w:sz w:val="16"/>
                <w:szCs w:val="16"/>
                <w:lang w:val="en-US" w:eastAsia="en-US"/>
              </w:rPr>
              <w:t>Total</w:t>
            </w:r>
          </w:p>
        </w:tc>
        <w:tc>
          <w:tcPr>
            <w:tcW w:w="512" w:type="dxa"/>
            <w:tcBorders>
              <w:bottom w:val="single" w:sz="4" w:space="0" w:color="auto"/>
            </w:tcBorders>
            <w:shd w:val="clear" w:color="auto" w:fill="CCCCCC"/>
            <w:tcMar>
              <w:right w:w="57" w:type="dxa"/>
            </w:tcMar>
            <w:vAlign w:val="bottom"/>
          </w:tcPr>
          <w:p w:rsidR="00997334" w:rsidRPr="00997334" w:rsidRDefault="00997334" w:rsidP="00A77970">
            <w:pPr>
              <w:jc w:val="center"/>
              <w:rPr>
                <w:b/>
                <w:noProof/>
                <w:kern w:val="28"/>
                <w:sz w:val="16"/>
                <w:szCs w:val="16"/>
                <w:lang w:val="en-US" w:eastAsia="en-US"/>
              </w:rPr>
            </w:pPr>
            <w:r w:rsidRPr="00997334">
              <w:rPr>
                <w:b/>
                <w:noProof/>
                <w:kern w:val="28"/>
                <w:sz w:val="16"/>
                <w:szCs w:val="16"/>
                <w:lang w:val="en-US" w:eastAsia="en-US"/>
              </w:rPr>
              <w:t>femei</w:t>
            </w:r>
          </w:p>
        </w:tc>
        <w:tc>
          <w:tcPr>
            <w:tcW w:w="512" w:type="dxa"/>
            <w:tcBorders>
              <w:bottom w:val="single" w:sz="4" w:space="0" w:color="auto"/>
            </w:tcBorders>
            <w:shd w:val="clear" w:color="auto" w:fill="CCCCCC"/>
            <w:tcMar>
              <w:right w:w="57" w:type="dxa"/>
            </w:tcMar>
            <w:vAlign w:val="bottom"/>
          </w:tcPr>
          <w:p w:rsidR="00997334" w:rsidRPr="00997334" w:rsidRDefault="00997334" w:rsidP="00A77970">
            <w:pPr>
              <w:jc w:val="center"/>
              <w:rPr>
                <w:b/>
                <w:noProof/>
                <w:kern w:val="28"/>
                <w:sz w:val="16"/>
                <w:szCs w:val="16"/>
                <w:lang w:val="en-US" w:eastAsia="en-US"/>
              </w:rPr>
            </w:pPr>
            <w:r w:rsidRPr="00997334">
              <w:rPr>
                <w:b/>
                <w:noProof/>
                <w:kern w:val="28"/>
                <w:sz w:val="16"/>
                <w:szCs w:val="16"/>
                <w:lang w:val="en-US" w:eastAsia="en-US"/>
              </w:rPr>
              <w:t>Total</w:t>
            </w:r>
          </w:p>
        </w:tc>
        <w:tc>
          <w:tcPr>
            <w:tcW w:w="512" w:type="dxa"/>
            <w:tcBorders>
              <w:bottom w:val="single" w:sz="4" w:space="0" w:color="auto"/>
            </w:tcBorders>
            <w:shd w:val="clear" w:color="auto" w:fill="CCCCCC"/>
            <w:tcMar>
              <w:right w:w="57" w:type="dxa"/>
            </w:tcMar>
            <w:vAlign w:val="bottom"/>
          </w:tcPr>
          <w:p w:rsidR="00997334" w:rsidRPr="00997334" w:rsidRDefault="00997334" w:rsidP="00A77970">
            <w:pPr>
              <w:jc w:val="center"/>
              <w:rPr>
                <w:b/>
                <w:noProof/>
                <w:kern w:val="28"/>
                <w:sz w:val="16"/>
                <w:szCs w:val="16"/>
                <w:lang w:val="en-US" w:eastAsia="en-US"/>
              </w:rPr>
            </w:pPr>
            <w:r w:rsidRPr="00997334">
              <w:rPr>
                <w:b/>
                <w:noProof/>
                <w:kern w:val="28"/>
                <w:sz w:val="16"/>
                <w:szCs w:val="16"/>
                <w:lang w:val="en-US" w:eastAsia="en-US"/>
              </w:rPr>
              <w:t>femei</w:t>
            </w:r>
          </w:p>
        </w:tc>
      </w:tr>
      <w:tr w:rsidR="00997334" w:rsidRPr="00997334" w:rsidTr="0053067B">
        <w:trPr>
          <w:cantSplit/>
          <w:trHeight w:val="284"/>
          <w:jc w:val="center"/>
        </w:trPr>
        <w:tc>
          <w:tcPr>
            <w:tcW w:w="10421" w:type="dxa"/>
            <w:gridSpan w:val="18"/>
            <w:shd w:val="clear" w:color="auto" w:fill="E0E0E0"/>
            <w:tcMar>
              <w:left w:w="57" w:type="dxa"/>
              <w:right w:w="57" w:type="dxa"/>
            </w:tcMar>
            <w:vAlign w:val="center"/>
          </w:tcPr>
          <w:p w:rsidR="00997334" w:rsidRPr="00997334" w:rsidRDefault="00997334" w:rsidP="00A77970">
            <w:pPr>
              <w:jc w:val="center"/>
              <w:rPr>
                <w:b/>
                <w:noProof/>
                <w:kern w:val="28"/>
                <w:sz w:val="18"/>
                <w:szCs w:val="18"/>
                <w:lang w:val="en-US" w:eastAsia="en-US"/>
              </w:rPr>
            </w:pPr>
            <w:r w:rsidRPr="00997334">
              <w:rPr>
                <w:b/>
                <w:noProof/>
                <w:kern w:val="28"/>
                <w:sz w:val="18"/>
                <w:szCs w:val="18"/>
                <w:lang w:val="en-US" w:eastAsia="en-US"/>
              </w:rPr>
              <w:t>SECTORUL 1</w:t>
            </w:r>
          </w:p>
        </w:tc>
      </w:tr>
      <w:tr w:rsidR="00AE21D4" w:rsidRPr="00997334" w:rsidTr="0053067B">
        <w:trPr>
          <w:cantSplit/>
          <w:trHeight w:val="284"/>
          <w:jc w:val="center"/>
        </w:trPr>
        <w:tc>
          <w:tcPr>
            <w:tcW w:w="2269" w:type="dxa"/>
            <w:gridSpan w:val="2"/>
            <w:tcMar>
              <w:left w:w="57" w:type="dxa"/>
              <w:right w:w="57" w:type="dxa"/>
            </w:tcMar>
            <w:vAlign w:val="bottom"/>
          </w:tcPr>
          <w:p w:rsidR="00AE21D4" w:rsidRPr="00997334" w:rsidRDefault="00AE21D4" w:rsidP="00A77970">
            <w:pPr>
              <w:keepNext/>
              <w:outlineLvl w:val="3"/>
              <w:rPr>
                <w:b/>
                <w:noProof/>
                <w:sz w:val="18"/>
                <w:szCs w:val="18"/>
                <w:lang w:val="es-ES" w:eastAsia="en-US"/>
              </w:rPr>
            </w:pPr>
            <w:r w:rsidRPr="00997334">
              <w:rPr>
                <w:b/>
                <w:noProof/>
                <w:kern w:val="28"/>
                <w:sz w:val="18"/>
                <w:szCs w:val="18"/>
                <w:lang w:val="en-US" w:eastAsia="en-US"/>
              </w:rPr>
              <w:t>N</w:t>
            </w:r>
            <w:r>
              <w:rPr>
                <w:b/>
                <w:noProof/>
                <w:kern w:val="28"/>
                <w:sz w:val="18"/>
                <w:szCs w:val="18"/>
                <w:lang w:val="en-US" w:eastAsia="en-US"/>
              </w:rPr>
              <w:t xml:space="preserve">r.total şomeri </w:t>
            </w:r>
            <w:r w:rsidRPr="00997334">
              <w:rPr>
                <w:b/>
                <w:noProof/>
                <w:kern w:val="28"/>
                <w:sz w:val="18"/>
                <w:szCs w:val="18"/>
                <w:lang w:val="en-US" w:eastAsia="en-US"/>
              </w:rPr>
              <w:t>înregistraţi</w:t>
            </w:r>
          </w:p>
        </w:tc>
        <w:tc>
          <w:tcPr>
            <w:tcW w:w="474" w:type="dxa"/>
            <w:tcMar>
              <w:right w:w="57" w:type="dxa"/>
            </w:tcMar>
            <w:vAlign w:val="bottom"/>
          </w:tcPr>
          <w:p w:rsidR="00AE21D4" w:rsidRPr="005557CC" w:rsidRDefault="00AE21D4" w:rsidP="008A7CF6">
            <w:pPr>
              <w:jc w:val="right"/>
              <w:rPr>
                <w:bCs/>
                <w:sz w:val="18"/>
                <w:szCs w:val="18"/>
              </w:rPr>
            </w:pPr>
            <w:r w:rsidRPr="005557CC">
              <w:rPr>
                <w:bCs/>
                <w:sz w:val="18"/>
                <w:szCs w:val="18"/>
              </w:rPr>
              <w:t>2035</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1197</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2001</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1133</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2006</w:t>
            </w:r>
          </w:p>
        </w:tc>
        <w:tc>
          <w:tcPr>
            <w:tcW w:w="511" w:type="dxa"/>
            <w:tcMar>
              <w:right w:w="57" w:type="dxa"/>
            </w:tcMar>
            <w:vAlign w:val="bottom"/>
          </w:tcPr>
          <w:p w:rsidR="00AE21D4" w:rsidRPr="005557CC" w:rsidRDefault="00AE21D4" w:rsidP="008A7CF6">
            <w:pPr>
              <w:jc w:val="right"/>
              <w:rPr>
                <w:bCs/>
                <w:sz w:val="18"/>
                <w:szCs w:val="18"/>
              </w:rPr>
            </w:pPr>
            <w:r w:rsidRPr="005557CC">
              <w:rPr>
                <w:bCs/>
                <w:sz w:val="18"/>
                <w:szCs w:val="18"/>
              </w:rPr>
              <w:t>1086</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1994</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1015</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2015</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1044</w:t>
            </w:r>
          </w:p>
        </w:tc>
        <w:tc>
          <w:tcPr>
            <w:tcW w:w="511"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1981</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1064</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1957</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1088</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1718</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943</w:t>
            </w:r>
          </w:p>
        </w:tc>
      </w:tr>
      <w:tr w:rsidR="00AE21D4" w:rsidRPr="00997334" w:rsidTr="0053067B">
        <w:trPr>
          <w:cantSplit/>
          <w:trHeight w:val="284"/>
          <w:jc w:val="center"/>
        </w:trPr>
        <w:tc>
          <w:tcPr>
            <w:tcW w:w="2269" w:type="dxa"/>
            <w:gridSpan w:val="2"/>
            <w:tcMar>
              <w:left w:w="57" w:type="dxa"/>
              <w:right w:w="57" w:type="dxa"/>
            </w:tcMar>
            <w:vAlign w:val="bottom"/>
          </w:tcPr>
          <w:p w:rsidR="00AE21D4" w:rsidRPr="00997334" w:rsidRDefault="00AE21D4" w:rsidP="00A77970">
            <w:pPr>
              <w:rPr>
                <w:noProof/>
                <w:kern w:val="28"/>
                <w:sz w:val="18"/>
                <w:szCs w:val="18"/>
                <w:lang w:val="en-US" w:eastAsia="en-US"/>
              </w:rPr>
            </w:pPr>
            <w:bookmarkStart w:id="39" w:name="_Hlk343851971"/>
            <w:r w:rsidRPr="00997334">
              <w:rPr>
                <w:noProof/>
                <w:kern w:val="28"/>
                <w:sz w:val="18"/>
                <w:szCs w:val="18"/>
                <w:lang w:val="en-US" w:eastAsia="en-US"/>
              </w:rPr>
              <w:t>- Şomeri în platã</w:t>
            </w:r>
          </w:p>
        </w:tc>
        <w:tc>
          <w:tcPr>
            <w:tcW w:w="474" w:type="dxa"/>
            <w:tcMar>
              <w:right w:w="57" w:type="dxa"/>
            </w:tcMar>
            <w:vAlign w:val="bottom"/>
          </w:tcPr>
          <w:p w:rsidR="00AE21D4" w:rsidRPr="005557CC" w:rsidRDefault="00AE21D4" w:rsidP="008A7CF6">
            <w:pPr>
              <w:jc w:val="right"/>
              <w:rPr>
                <w:noProof/>
                <w:sz w:val="18"/>
                <w:szCs w:val="18"/>
              </w:rPr>
            </w:pPr>
            <w:r w:rsidRPr="005557CC">
              <w:rPr>
                <w:noProof/>
                <w:sz w:val="18"/>
                <w:szCs w:val="18"/>
              </w:rPr>
              <w:t>338</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189</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302</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157</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324</w:t>
            </w:r>
          </w:p>
        </w:tc>
        <w:tc>
          <w:tcPr>
            <w:tcW w:w="511" w:type="dxa"/>
            <w:tcMar>
              <w:right w:w="57" w:type="dxa"/>
            </w:tcMar>
            <w:vAlign w:val="bottom"/>
          </w:tcPr>
          <w:p w:rsidR="00AE21D4" w:rsidRPr="005557CC" w:rsidRDefault="00AE21D4" w:rsidP="008A7CF6">
            <w:pPr>
              <w:jc w:val="right"/>
              <w:rPr>
                <w:noProof/>
                <w:sz w:val="18"/>
                <w:szCs w:val="18"/>
              </w:rPr>
            </w:pPr>
            <w:r w:rsidRPr="005557CC">
              <w:rPr>
                <w:noProof/>
                <w:sz w:val="18"/>
                <w:szCs w:val="18"/>
              </w:rPr>
              <w:t>181</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308</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164</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293</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158</w:t>
            </w:r>
          </w:p>
        </w:tc>
        <w:tc>
          <w:tcPr>
            <w:tcW w:w="511"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275</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159</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289</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174</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222</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138</w:t>
            </w:r>
          </w:p>
        </w:tc>
      </w:tr>
      <w:tr w:rsidR="00AE21D4" w:rsidRPr="00997334" w:rsidTr="0053067B">
        <w:trPr>
          <w:cantSplit/>
          <w:trHeight w:val="284"/>
          <w:jc w:val="center"/>
        </w:trPr>
        <w:tc>
          <w:tcPr>
            <w:tcW w:w="2269" w:type="dxa"/>
            <w:gridSpan w:val="2"/>
            <w:tcMar>
              <w:left w:w="57" w:type="dxa"/>
              <w:right w:w="57" w:type="dxa"/>
            </w:tcMar>
            <w:vAlign w:val="bottom"/>
          </w:tcPr>
          <w:p w:rsidR="00AE21D4" w:rsidRPr="00997334" w:rsidRDefault="00AE21D4" w:rsidP="00A77970">
            <w:pPr>
              <w:rPr>
                <w:noProof/>
                <w:kern w:val="28"/>
                <w:sz w:val="18"/>
                <w:szCs w:val="18"/>
                <w:lang w:val="en-US" w:eastAsia="en-US"/>
              </w:rPr>
            </w:pPr>
            <w:r w:rsidRPr="00997334">
              <w:rPr>
                <w:noProof/>
                <w:kern w:val="28"/>
                <w:sz w:val="18"/>
                <w:szCs w:val="18"/>
                <w:lang w:val="en-US" w:eastAsia="en-US"/>
              </w:rPr>
              <w:t xml:space="preserve">    din care : absolvenţi</w:t>
            </w:r>
          </w:p>
        </w:tc>
        <w:tc>
          <w:tcPr>
            <w:tcW w:w="474" w:type="dxa"/>
            <w:tcMar>
              <w:right w:w="57" w:type="dxa"/>
            </w:tcMar>
            <w:vAlign w:val="bottom"/>
          </w:tcPr>
          <w:p w:rsidR="00AE21D4" w:rsidRPr="005557CC" w:rsidRDefault="00AE21D4" w:rsidP="008A7CF6">
            <w:pPr>
              <w:jc w:val="right"/>
              <w:rPr>
                <w:noProof/>
                <w:sz w:val="18"/>
                <w:szCs w:val="18"/>
              </w:rPr>
            </w:pPr>
            <w:r w:rsidRPr="005557CC">
              <w:rPr>
                <w:noProof/>
                <w:sz w:val="18"/>
                <w:szCs w:val="18"/>
              </w:rPr>
              <w:t>7</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4</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0</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0</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15</w:t>
            </w:r>
          </w:p>
        </w:tc>
        <w:tc>
          <w:tcPr>
            <w:tcW w:w="511" w:type="dxa"/>
            <w:tcMar>
              <w:right w:w="57" w:type="dxa"/>
            </w:tcMar>
            <w:vAlign w:val="bottom"/>
          </w:tcPr>
          <w:p w:rsidR="00AE21D4" w:rsidRPr="005557CC" w:rsidRDefault="00AE21D4" w:rsidP="008A7CF6">
            <w:pPr>
              <w:jc w:val="right"/>
              <w:rPr>
                <w:noProof/>
                <w:sz w:val="18"/>
                <w:szCs w:val="18"/>
              </w:rPr>
            </w:pPr>
            <w:r w:rsidRPr="005557CC">
              <w:rPr>
                <w:noProof/>
                <w:sz w:val="18"/>
                <w:szCs w:val="18"/>
              </w:rPr>
              <w:t>7</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22</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15</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5</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4</w:t>
            </w:r>
          </w:p>
        </w:tc>
        <w:tc>
          <w:tcPr>
            <w:tcW w:w="511"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21</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13</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10</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6</w:t>
            </w:r>
          </w:p>
        </w:tc>
      </w:tr>
      <w:tr w:rsidR="00AE21D4" w:rsidRPr="00997334" w:rsidTr="0053067B">
        <w:trPr>
          <w:cantSplit/>
          <w:trHeight w:val="284"/>
          <w:jc w:val="center"/>
        </w:trPr>
        <w:tc>
          <w:tcPr>
            <w:tcW w:w="2269" w:type="dxa"/>
            <w:gridSpan w:val="2"/>
            <w:tcBorders>
              <w:bottom w:val="single" w:sz="4" w:space="0" w:color="auto"/>
            </w:tcBorders>
            <w:tcMar>
              <w:left w:w="57" w:type="dxa"/>
              <w:right w:w="57" w:type="dxa"/>
            </w:tcMar>
            <w:vAlign w:val="bottom"/>
          </w:tcPr>
          <w:p w:rsidR="00AE21D4" w:rsidRPr="00997334" w:rsidRDefault="00AE21D4" w:rsidP="00A77970">
            <w:pPr>
              <w:rPr>
                <w:noProof/>
                <w:kern w:val="28"/>
                <w:sz w:val="18"/>
                <w:szCs w:val="18"/>
                <w:lang w:val="en-US" w:eastAsia="en-US"/>
              </w:rPr>
            </w:pPr>
            <w:r w:rsidRPr="00997334">
              <w:rPr>
                <w:noProof/>
                <w:kern w:val="28"/>
                <w:sz w:val="18"/>
                <w:szCs w:val="18"/>
                <w:lang w:val="en-US" w:eastAsia="en-US"/>
              </w:rPr>
              <w:t>- Şomeri neindemnizaţi</w:t>
            </w:r>
          </w:p>
        </w:tc>
        <w:tc>
          <w:tcPr>
            <w:tcW w:w="474"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1697</w:t>
            </w:r>
          </w:p>
        </w:tc>
        <w:tc>
          <w:tcPr>
            <w:tcW w:w="512"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1008</w:t>
            </w:r>
          </w:p>
        </w:tc>
        <w:tc>
          <w:tcPr>
            <w:tcW w:w="512"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1699</w:t>
            </w:r>
          </w:p>
        </w:tc>
        <w:tc>
          <w:tcPr>
            <w:tcW w:w="512"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976</w:t>
            </w:r>
          </w:p>
        </w:tc>
        <w:tc>
          <w:tcPr>
            <w:tcW w:w="512"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1682</w:t>
            </w:r>
          </w:p>
        </w:tc>
        <w:tc>
          <w:tcPr>
            <w:tcW w:w="511"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905</w:t>
            </w:r>
          </w:p>
        </w:tc>
        <w:tc>
          <w:tcPr>
            <w:tcW w:w="512"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1686</w:t>
            </w:r>
          </w:p>
        </w:tc>
        <w:tc>
          <w:tcPr>
            <w:tcW w:w="512"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851</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1722</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886</w:t>
            </w:r>
          </w:p>
        </w:tc>
        <w:tc>
          <w:tcPr>
            <w:tcW w:w="511"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1706</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905</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1668</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914</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1496</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805</w:t>
            </w:r>
          </w:p>
        </w:tc>
      </w:tr>
      <w:bookmarkEnd w:id="39"/>
      <w:tr w:rsidR="00997334" w:rsidRPr="00997334" w:rsidTr="0053067B">
        <w:trPr>
          <w:cantSplit/>
          <w:trHeight w:val="284"/>
          <w:jc w:val="center"/>
        </w:trPr>
        <w:tc>
          <w:tcPr>
            <w:tcW w:w="10421" w:type="dxa"/>
            <w:gridSpan w:val="18"/>
            <w:shd w:val="clear" w:color="auto" w:fill="E0E0E0"/>
            <w:tcMar>
              <w:left w:w="57" w:type="dxa"/>
              <w:right w:w="57" w:type="dxa"/>
            </w:tcMar>
            <w:vAlign w:val="center"/>
          </w:tcPr>
          <w:p w:rsidR="00997334" w:rsidRPr="00997334" w:rsidRDefault="00997334" w:rsidP="00A77970">
            <w:pPr>
              <w:jc w:val="center"/>
              <w:rPr>
                <w:noProof/>
                <w:kern w:val="28"/>
                <w:sz w:val="18"/>
                <w:szCs w:val="18"/>
                <w:lang w:val="en-US" w:eastAsia="en-US"/>
              </w:rPr>
            </w:pPr>
            <w:r w:rsidRPr="00997334">
              <w:rPr>
                <w:b/>
                <w:noProof/>
                <w:kern w:val="28"/>
                <w:sz w:val="18"/>
                <w:szCs w:val="18"/>
                <w:lang w:val="en-US" w:eastAsia="en-US"/>
              </w:rPr>
              <w:t>SECTORUL 2</w:t>
            </w:r>
          </w:p>
        </w:tc>
      </w:tr>
      <w:tr w:rsidR="00AE21D4" w:rsidRPr="00997334" w:rsidTr="0053067B">
        <w:trPr>
          <w:cantSplit/>
          <w:trHeight w:val="284"/>
          <w:jc w:val="center"/>
        </w:trPr>
        <w:tc>
          <w:tcPr>
            <w:tcW w:w="2232" w:type="dxa"/>
            <w:tcMar>
              <w:left w:w="57" w:type="dxa"/>
              <w:right w:w="57" w:type="dxa"/>
            </w:tcMar>
            <w:vAlign w:val="bottom"/>
          </w:tcPr>
          <w:p w:rsidR="00AE21D4" w:rsidRPr="00997334" w:rsidRDefault="00AE21D4" w:rsidP="00A77970">
            <w:pPr>
              <w:keepNext/>
              <w:outlineLvl w:val="3"/>
              <w:rPr>
                <w:b/>
                <w:noProof/>
                <w:sz w:val="18"/>
                <w:szCs w:val="18"/>
                <w:lang w:val="es-ES" w:eastAsia="en-US"/>
              </w:rPr>
            </w:pPr>
            <w:r w:rsidRPr="00997334">
              <w:rPr>
                <w:b/>
                <w:noProof/>
                <w:kern w:val="28"/>
                <w:sz w:val="18"/>
                <w:szCs w:val="18"/>
                <w:lang w:val="en-US" w:eastAsia="en-US"/>
              </w:rPr>
              <w:t>N</w:t>
            </w:r>
            <w:r>
              <w:rPr>
                <w:b/>
                <w:noProof/>
                <w:kern w:val="28"/>
                <w:sz w:val="18"/>
                <w:szCs w:val="18"/>
                <w:lang w:val="en-US" w:eastAsia="en-US"/>
              </w:rPr>
              <w:t xml:space="preserve">r.total şomeri </w:t>
            </w:r>
            <w:r w:rsidRPr="00997334">
              <w:rPr>
                <w:b/>
                <w:noProof/>
                <w:kern w:val="28"/>
                <w:sz w:val="18"/>
                <w:szCs w:val="18"/>
                <w:lang w:val="en-US" w:eastAsia="en-US"/>
              </w:rPr>
              <w:t>înregistraţi</w:t>
            </w:r>
          </w:p>
        </w:tc>
        <w:tc>
          <w:tcPr>
            <w:tcW w:w="511" w:type="dxa"/>
            <w:gridSpan w:val="2"/>
            <w:tcMar>
              <w:right w:w="57" w:type="dxa"/>
            </w:tcMar>
            <w:vAlign w:val="bottom"/>
          </w:tcPr>
          <w:p w:rsidR="00AE21D4" w:rsidRPr="005557CC" w:rsidRDefault="00AE21D4" w:rsidP="008A7CF6">
            <w:pPr>
              <w:jc w:val="right"/>
              <w:rPr>
                <w:bCs/>
                <w:sz w:val="18"/>
                <w:szCs w:val="18"/>
              </w:rPr>
            </w:pPr>
            <w:r w:rsidRPr="005557CC">
              <w:rPr>
                <w:bCs/>
                <w:sz w:val="18"/>
                <w:szCs w:val="18"/>
              </w:rPr>
              <w:t>3385</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1528</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3369</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1492</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3365</w:t>
            </w:r>
          </w:p>
        </w:tc>
        <w:tc>
          <w:tcPr>
            <w:tcW w:w="511" w:type="dxa"/>
            <w:tcMar>
              <w:right w:w="57" w:type="dxa"/>
            </w:tcMar>
            <w:vAlign w:val="bottom"/>
          </w:tcPr>
          <w:p w:rsidR="00AE21D4" w:rsidRPr="005557CC" w:rsidRDefault="00AE21D4" w:rsidP="008A7CF6">
            <w:pPr>
              <w:jc w:val="right"/>
              <w:rPr>
                <w:bCs/>
                <w:sz w:val="18"/>
                <w:szCs w:val="18"/>
              </w:rPr>
            </w:pPr>
            <w:r w:rsidRPr="005557CC">
              <w:rPr>
                <w:bCs/>
                <w:sz w:val="18"/>
                <w:szCs w:val="18"/>
              </w:rPr>
              <w:t>1415</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3341</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1396</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3331</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1392</w:t>
            </w:r>
          </w:p>
        </w:tc>
        <w:tc>
          <w:tcPr>
            <w:tcW w:w="511"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3322</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1392</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3222</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1292</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2802</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1290</w:t>
            </w:r>
          </w:p>
        </w:tc>
      </w:tr>
      <w:tr w:rsidR="00AE21D4" w:rsidRPr="00997334" w:rsidTr="0053067B">
        <w:trPr>
          <w:cantSplit/>
          <w:trHeight w:val="284"/>
          <w:jc w:val="center"/>
        </w:trPr>
        <w:tc>
          <w:tcPr>
            <w:tcW w:w="2232" w:type="dxa"/>
            <w:tcMar>
              <w:left w:w="57" w:type="dxa"/>
              <w:right w:w="57" w:type="dxa"/>
            </w:tcMar>
            <w:vAlign w:val="bottom"/>
          </w:tcPr>
          <w:p w:rsidR="00AE21D4" w:rsidRPr="00997334" w:rsidRDefault="00AE21D4" w:rsidP="00A77970">
            <w:pPr>
              <w:rPr>
                <w:noProof/>
                <w:kern w:val="28"/>
                <w:sz w:val="18"/>
                <w:szCs w:val="18"/>
                <w:lang w:val="en-US" w:eastAsia="en-US"/>
              </w:rPr>
            </w:pPr>
            <w:r w:rsidRPr="00997334">
              <w:rPr>
                <w:noProof/>
                <w:kern w:val="28"/>
                <w:sz w:val="18"/>
                <w:szCs w:val="18"/>
                <w:lang w:val="en-US" w:eastAsia="en-US"/>
              </w:rPr>
              <w:t>- Şomeri în platã</w:t>
            </w:r>
          </w:p>
        </w:tc>
        <w:tc>
          <w:tcPr>
            <w:tcW w:w="511" w:type="dxa"/>
            <w:gridSpan w:val="2"/>
            <w:tcMar>
              <w:right w:w="57" w:type="dxa"/>
            </w:tcMar>
            <w:vAlign w:val="bottom"/>
          </w:tcPr>
          <w:p w:rsidR="00AE21D4" w:rsidRPr="005557CC" w:rsidRDefault="00AE21D4" w:rsidP="008A7CF6">
            <w:pPr>
              <w:jc w:val="right"/>
              <w:rPr>
                <w:noProof/>
                <w:sz w:val="18"/>
                <w:szCs w:val="18"/>
              </w:rPr>
            </w:pPr>
            <w:r w:rsidRPr="005557CC">
              <w:rPr>
                <w:noProof/>
                <w:sz w:val="18"/>
                <w:szCs w:val="18"/>
              </w:rPr>
              <w:t>584</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368</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510</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368</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476</w:t>
            </w:r>
          </w:p>
        </w:tc>
        <w:tc>
          <w:tcPr>
            <w:tcW w:w="511" w:type="dxa"/>
            <w:tcMar>
              <w:right w:w="57" w:type="dxa"/>
            </w:tcMar>
            <w:vAlign w:val="bottom"/>
          </w:tcPr>
          <w:p w:rsidR="00AE21D4" w:rsidRPr="005557CC" w:rsidRDefault="00AE21D4" w:rsidP="008A7CF6">
            <w:pPr>
              <w:jc w:val="right"/>
              <w:rPr>
                <w:noProof/>
                <w:sz w:val="18"/>
                <w:szCs w:val="18"/>
              </w:rPr>
            </w:pPr>
            <w:r w:rsidRPr="005557CC">
              <w:rPr>
                <w:noProof/>
                <w:sz w:val="18"/>
                <w:szCs w:val="18"/>
              </w:rPr>
              <w:t>368</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419</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368</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353</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278</w:t>
            </w:r>
          </w:p>
        </w:tc>
        <w:tc>
          <w:tcPr>
            <w:tcW w:w="511"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316</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251</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320</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251</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290</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249</w:t>
            </w:r>
          </w:p>
        </w:tc>
      </w:tr>
      <w:tr w:rsidR="00AE21D4" w:rsidRPr="00997334" w:rsidTr="0053067B">
        <w:trPr>
          <w:cantSplit/>
          <w:trHeight w:val="284"/>
          <w:jc w:val="center"/>
        </w:trPr>
        <w:tc>
          <w:tcPr>
            <w:tcW w:w="2232" w:type="dxa"/>
            <w:tcMar>
              <w:left w:w="57" w:type="dxa"/>
              <w:right w:w="57" w:type="dxa"/>
            </w:tcMar>
            <w:vAlign w:val="bottom"/>
          </w:tcPr>
          <w:p w:rsidR="00AE21D4" w:rsidRPr="00997334" w:rsidRDefault="00AE21D4" w:rsidP="00A77970">
            <w:pPr>
              <w:rPr>
                <w:noProof/>
                <w:kern w:val="28"/>
                <w:sz w:val="18"/>
                <w:szCs w:val="18"/>
                <w:lang w:val="en-US" w:eastAsia="en-US"/>
              </w:rPr>
            </w:pPr>
            <w:r w:rsidRPr="00997334">
              <w:rPr>
                <w:noProof/>
                <w:kern w:val="28"/>
                <w:sz w:val="18"/>
                <w:szCs w:val="18"/>
                <w:lang w:val="en-US" w:eastAsia="en-US"/>
              </w:rPr>
              <w:t xml:space="preserve">    din care : absolvenţi</w:t>
            </w:r>
          </w:p>
        </w:tc>
        <w:tc>
          <w:tcPr>
            <w:tcW w:w="511" w:type="dxa"/>
            <w:gridSpan w:val="2"/>
            <w:tcMar>
              <w:right w:w="57" w:type="dxa"/>
            </w:tcMar>
            <w:vAlign w:val="bottom"/>
          </w:tcPr>
          <w:p w:rsidR="00AE21D4" w:rsidRPr="005557CC" w:rsidRDefault="00AE21D4" w:rsidP="008A7CF6">
            <w:pPr>
              <w:jc w:val="right"/>
              <w:rPr>
                <w:noProof/>
                <w:sz w:val="18"/>
                <w:szCs w:val="18"/>
              </w:rPr>
            </w:pPr>
            <w:r w:rsidRPr="005557CC">
              <w:rPr>
                <w:noProof/>
                <w:sz w:val="18"/>
                <w:szCs w:val="18"/>
              </w:rPr>
              <w:t>19</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8</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2</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1</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14</w:t>
            </w:r>
          </w:p>
        </w:tc>
        <w:tc>
          <w:tcPr>
            <w:tcW w:w="511" w:type="dxa"/>
            <w:tcMar>
              <w:right w:w="57" w:type="dxa"/>
            </w:tcMar>
            <w:vAlign w:val="bottom"/>
          </w:tcPr>
          <w:p w:rsidR="00AE21D4" w:rsidRPr="005557CC" w:rsidRDefault="00AE21D4" w:rsidP="008A7CF6">
            <w:pPr>
              <w:jc w:val="right"/>
              <w:rPr>
                <w:noProof/>
                <w:sz w:val="18"/>
                <w:szCs w:val="18"/>
              </w:rPr>
            </w:pPr>
            <w:r w:rsidRPr="005557CC">
              <w:rPr>
                <w:noProof/>
                <w:sz w:val="18"/>
                <w:szCs w:val="18"/>
              </w:rPr>
              <w:t>9</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21</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12</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10</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9</w:t>
            </w:r>
          </w:p>
        </w:tc>
        <w:tc>
          <w:tcPr>
            <w:tcW w:w="511"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0</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0</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9</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0</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8</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0</w:t>
            </w:r>
          </w:p>
        </w:tc>
      </w:tr>
      <w:tr w:rsidR="00AE21D4" w:rsidRPr="00997334" w:rsidTr="0053067B">
        <w:trPr>
          <w:cantSplit/>
          <w:trHeight w:val="284"/>
          <w:jc w:val="center"/>
        </w:trPr>
        <w:tc>
          <w:tcPr>
            <w:tcW w:w="2232" w:type="dxa"/>
            <w:tcBorders>
              <w:bottom w:val="single" w:sz="4" w:space="0" w:color="auto"/>
            </w:tcBorders>
            <w:tcMar>
              <w:left w:w="57" w:type="dxa"/>
              <w:right w:w="57" w:type="dxa"/>
            </w:tcMar>
            <w:vAlign w:val="bottom"/>
          </w:tcPr>
          <w:p w:rsidR="00AE21D4" w:rsidRPr="00997334" w:rsidRDefault="00AE21D4" w:rsidP="00A77970">
            <w:pPr>
              <w:rPr>
                <w:noProof/>
                <w:kern w:val="28"/>
                <w:sz w:val="18"/>
                <w:szCs w:val="18"/>
                <w:lang w:val="en-US" w:eastAsia="en-US"/>
              </w:rPr>
            </w:pPr>
            <w:r w:rsidRPr="00997334">
              <w:rPr>
                <w:noProof/>
                <w:kern w:val="28"/>
                <w:sz w:val="18"/>
                <w:szCs w:val="18"/>
                <w:lang w:val="en-US" w:eastAsia="en-US"/>
              </w:rPr>
              <w:t>- Şomeri neindemnizaţi</w:t>
            </w:r>
          </w:p>
        </w:tc>
        <w:tc>
          <w:tcPr>
            <w:tcW w:w="511" w:type="dxa"/>
            <w:gridSpan w:val="2"/>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2801</w:t>
            </w:r>
          </w:p>
        </w:tc>
        <w:tc>
          <w:tcPr>
            <w:tcW w:w="512"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1160</w:t>
            </w:r>
          </w:p>
        </w:tc>
        <w:tc>
          <w:tcPr>
            <w:tcW w:w="512"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2859</w:t>
            </w:r>
          </w:p>
        </w:tc>
        <w:tc>
          <w:tcPr>
            <w:tcW w:w="512"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1124</w:t>
            </w:r>
          </w:p>
        </w:tc>
        <w:tc>
          <w:tcPr>
            <w:tcW w:w="512"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2889</w:t>
            </w:r>
          </w:p>
        </w:tc>
        <w:tc>
          <w:tcPr>
            <w:tcW w:w="511"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1047</w:t>
            </w:r>
          </w:p>
        </w:tc>
        <w:tc>
          <w:tcPr>
            <w:tcW w:w="512"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2922</w:t>
            </w:r>
          </w:p>
        </w:tc>
        <w:tc>
          <w:tcPr>
            <w:tcW w:w="512"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1028</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2979</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1114</w:t>
            </w:r>
          </w:p>
        </w:tc>
        <w:tc>
          <w:tcPr>
            <w:tcW w:w="511"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3006</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1141</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2902</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1041</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2512</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1041</w:t>
            </w:r>
          </w:p>
        </w:tc>
      </w:tr>
      <w:tr w:rsidR="00997334" w:rsidRPr="00997334" w:rsidTr="0053067B">
        <w:trPr>
          <w:cantSplit/>
          <w:trHeight w:val="284"/>
          <w:jc w:val="center"/>
        </w:trPr>
        <w:tc>
          <w:tcPr>
            <w:tcW w:w="10421" w:type="dxa"/>
            <w:gridSpan w:val="18"/>
            <w:shd w:val="clear" w:color="auto" w:fill="E0E0E0"/>
            <w:tcMar>
              <w:left w:w="57" w:type="dxa"/>
              <w:right w:w="57" w:type="dxa"/>
            </w:tcMar>
            <w:vAlign w:val="center"/>
          </w:tcPr>
          <w:p w:rsidR="00997334" w:rsidRPr="00997334" w:rsidRDefault="00997334" w:rsidP="00A77970">
            <w:pPr>
              <w:jc w:val="center"/>
              <w:rPr>
                <w:noProof/>
                <w:kern w:val="28"/>
                <w:sz w:val="18"/>
                <w:szCs w:val="18"/>
                <w:lang w:val="en-US" w:eastAsia="en-US"/>
              </w:rPr>
            </w:pPr>
            <w:r w:rsidRPr="00997334">
              <w:rPr>
                <w:b/>
                <w:noProof/>
                <w:kern w:val="28"/>
                <w:sz w:val="18"/>
                <w:szCs w:val="18"/>
                <w:lang w:val="en-US" w:eastAsia="en-US"/>
              </w:rPr>
              <w:t>SECTORUL 3</w:t>
            </w:r>
          </w:p>
        </w:tc>
      </w:tr>
      <w:tr w:rsidR="00AE21D4" w:rsidRPr="00997334" w:rsidTr="0053067B">
        <w:trPr>
          <w:cantSplit/>
          <w:trHeight w:val="284"/>
          <w:jc w:val="center"/>
        </w:trPr>
        <w:tc>
          <w:tcPr>
            <w:tcW w:w="2232" w:type="dxa"/>
            <w:tcMar>
              <w:left w:w="57" w:type="dxa"/>
              <w:right w:w="57" w:type="dxa"/>
            </w:tcMar>
            <w:vAlign w:val="bottom"/>
          </w:tcPr>
          <w:p w:rsidR="00AE21D4" w:rsidRPr="00997334" w:rsidRDefault="00AE21D4" w:rsidP="00A77970">
            <w:pPr>
              <w:keepNext/>
              <w:outlineLvl w:val="3"/>
              <w:rPr>
                <w:b/>
                <w:noProof/>
                <w:sz w:val="18"/>
                <w:szCs w:val="18"/>
                <w:lang w:val="es-ES" w:eastAsia="en-US"/>
              </w:rPr>
            </w:pPr>
            <w:r w:rsidRPr="00997334">
              <w:rPr>
                <w:b/>
                <w:noProof/>
                <w:kern w:val="28"/>
                <w:sz w:val="18"/>
                <w:szCs w:val="18"/>
                <w:lang w:val="en-US" w:eastAsia="en-US"/>
              </w:rPr>
              <w:t>N</w:t>
            </w:r>
            <w:r>
              <w:rPr>
                <w:b/>
                <w:noProof/>
                <w:kern w:val="28"/>
                <w:sz w:val="18"/>
                <w:szCs w:val="18"/>
                <w:lang w:val="en-US" w:eastAsia="en-US"/>
              </w:rPr>
              <w:t xml:space="preserve">r.total şomeri </w:t>
            </w:r>
            <w:r w:rsidRPr="00997334">
              <w:rPr>
                <w:b/>
                <w:noProof/>
                <w:kern w:val="28"/>
                <w:sz w:val="18"/>
                <w:szCs w:val="18"/>
                <w:lang w:val="en-US" w:eastAsia="en-US"/>
              </w:rPr>
              <w:t>înregistraţi</w:t>
            </w:r>
          </w:p>
        </w:tc>
        <w:tc>
          <w:tcPr>
            <w:tcW w:w="511" w:type="dxa"/>
            <w:gridSpan w:val="2"/>
            <w:tcMar>
              <w:right w:w="57" w:type="dxa"/>
            </w:tcMar>
            <w:vAlign w:val="bottom"/>
          </w:tcPr>
          <w:p w:rsidR="00AE21D4" w:rsidRPr="005557CC" w:rsidRDefault="00AE21D4" w:rsidP="008A7CF6">
            <w:pPr>
              <w:jc w:val="right"/>
              <w:rPr>
                <w:bCs/>
                <w:sz w:val="18"/>
                <w:szCs w:val="18"/>
              </w:rPr>
            </w:pPr>
            <w:r w:rsidRPr="005557CC">
              <w:rPr>
                <w:bCs/>
                <w:sz w:val="18"/>
                <w:szCs w:val="18"/>
              </w:rPr>
              <w:t>4018</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2140</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4002</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2126</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4012</w:t>
            </w:r>
          </w:p>
        </w:tc>
        <w:tc>
          <w:tcPr>
            <w:tcW w:w="511" w:type="dxa"/>
            <w:tcMar>
              <w:right w:w="57" w:type="dxa"/>
            </w:tcMar>
            <w:vAlign w:val="bottom"/>
          </w:tcPr>
          <w:p w:rsidR="00AE21D4" w:rsidRPr="005557CC" w:rsidRDefault="00AE21D4" w:rsidP="008A7CF6">
            <w:pPr>
              <w:jc w:val="right"/>
              <w:rPr>
                <w:bCs/>
                <w:sz w:val="18"/>
                <w:szCs w:val="18"/>
              </w:rPr>
            </w:pPr>
            <w:r w:rsidRPr="005557CC">
              <w:rPr>
                <w:bCs/>
                <w:sz w:val="18"/>
                <w:szCs w:val="18"/>
              </w:rPr>
              <w:t>2130</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4006</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2124</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3802</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2021</w:t>
            </w:r>
          </w:p>
        </w:tc>
        <w:tc>
          <w:tcPr>
            <w:tcW w:w="511"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3503</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1771</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3205</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1708</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3012</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1628</w:t>
            </w:r>
          </w:p>
        </w:tc>
      </w:tr>
      <w:tr w:rsidR="00AE21D4" w:rsidRPr="00997334" w:rsidTr="0053067B">
        <w:trPr>
          <w:cantSplit/>
          <w:trHeight w:val="284"/>
          <w:jc w:val="center"/>
        </w:trPr>
        <w:tc>
          <w:tcPr>
            <w:tcW w:w="2232" w:type="dxa"/>
            <w:tcMar>
              <w:left w:w="57" w:type="dxa"/>
              <w:right w:w="57" w:type="dxa"/>
            </w:tcMar>
            <w:vAlign w:val="bottom"/>
          </w:tcPr>
          <w:p w:rsidR="00AE21D4" w:rsidRPr="00997334" w:rsidRDefault="00AE21D4" w:rsidP="00A77970">
            <w:pPr>
              <w:rPr>
                <w:noProof/>
                <w:kern w:val="28"/>
                <w:sz w:val="18"/>
                <w:szCs w:val="18"/>
                <w:lang w:val="en-US" w:eastAsia="en-US"/>
              </w:rPr>
            </w:pPr>
            <w:r w:rsidRPr="00997334">
              <w:rPr>
                <w:noProof/>
                <w:kern w:val="28"/>
                <w:sz w:val="18"/>
                <w:szCs w:val="18"/>
                <w:lang w:val="en-US" w:eastAsia="en-US"/>
              </w:rPr>
              <w:t>- Şomeri în platã</w:t>
            </w:r>
          </w:p>
        </w:tc>
        <w:tc>
          <w:tcPr>
            <w:tcW w:w="511" w:type="dxa"/>
            <w:gridSpan w:val="2"/>
            <w:tcMar>
              <w:right w:w="57" w:type="dxa"/>
            </w:tcMar>
            <w:vAlign w:val="bottom"/>
          </w:tcPr>
          <w:p w:rsidR="00AE21D4" w:rsidRPr="005557CC" w:rsidRDefault="00AE21D4" w:rsidP="008A7CF6">
            <w:pPr>
              <w:jc w:val="right"/>
              <w:rPr>
                <w:noProof/>
                <w:sz w:val="18"/>
                <w:szCs w:val="18"/>
              </w:rPr>
            </w:pPr>
            <w:r w:rsidRPr="005557CC">
              <w:rPr>
                <w:noProof/>
                <w:sz w:val="18"/>
                <w:szCs w:val="18"/>
              </w:rPr>
              <w:t>618</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362</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570</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362</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540</w:t>
            </w:r>
          </w:p>
        </w:tc>
        <w:tc>
          <w:tcPr>
            <w:tcW w:w="511" w:type="dxa"/>
            <w:tcMar>
              <w:right w:w="57" w:type="dxa"/>
            </w:tcMar>
            <w:vAlign w:val="bottom"/>
          </w:tcPr>
          <w:p w:rsidR="00AE21D4" w:rsidRPr="005557CC" w:rsidRDefault="00AE21D4" w:rsidP="008A7CF6">
            <w:pPr>
              <w:jc w:val="right"/>
              <w:rPr>
                <w:noProof/>
                <w:sz w:val="18"/>
                <w:szCs w:val="18"/>
              </w:rPr>
            </w:pPr>
            <w:r w:rsidRPr="005557CC">
              <w:rPr>
                <w:noProof/>
                <w:sz w:val="18"/>
                <w:szCs w:val="18"/>
              </w:rPr>
              <w:t>362</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477</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362</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494</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255</w:t>
            </w:r>
          </w:p>
        </w:tc>
        <w:tc>
          <w:tcPr>
            <w:tcW w:w="511"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433</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265</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419</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263</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400</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238</w:t>
            </w:r>
          </w:p>
        </w:tc>
      </w:tr>
      <w:tr w:rsidR="00AE21D4" w:rsidRPr="00997334" w:rsidTr="0053067B">
        <w:trPr>
          <w:cantSplit/>
          <w:trHeight w:val="284"/>
          <w:jc w:val="center"/>
        </w:trPr>
        <w:tc>
          <w:tcPr>
            <w:tcW w:w="2232" w:type="dxa"/>
            <w:tcMar>
              <w:left w:w="57" w:type="dxa"/>
              <w:right w:w="57" w:type="dxa"/>
            </w:tcMar>
            <w:vAlign w:val="bottom"/>
          </w:tcPr>
          <w:p w:rsidR="00AE21D4" w:rsidRPr="00997334" w:rsidRDefault="00AE21D4" w:rsidP="00A77970">
            <w:pPr>
              <w:rPr>
                <w:noProof/>
                <w:kern w:val="28"/>
                <w:sz w:val="18"/>
                <w:szCs w:val="18"/>
                <w:lang w:val="en-US" w:eastAsia="en-US"/>
              </w:rPr>
            </w:pPr>
            <w:r w:rsidRPr="00997334">
              <w:rPr>
                <w:noProof/>
                <w:kern w:val="28"/>
                <w:sz w:val="18"/>
                <w:szCs w:val="18"/>
                <w:lang w:val="en-US" w:eastAsia="en-US"/>
              </w:rPr>
              <w:t xml:space="preserve">    din care : absolvenţi</w:t>
            </w:r>
          </w:p>
        </w:tc>
        <w:tc>
          <w:tcPr>
            <w:tcW w:w="511" w:type="dxa"/>
            <w:gridSpan w:val="2"/>
            <w:tcMar>
              <w:right w:w="57" w:type="dxa"/>
            </w:tcMar>
            <w:vAlign w:val="bottom"/>
          </w:tcPr>
          <w:p w:rsidR="00AE21D4" w:rsidRPr="005557CC" w:rsidRDefault="00AE21D4" w:rsidP="008A7CF6">
            <w:pPr>
              <w:jc w:val="right"/>
              <w:rPr>
                <w:noProof/>
                <w:sz w:val="18"/>
                <w:szCs w:val="18"/>
              </w:rPr>
            </w:pPr>
            <w:r w:rsidRPr="005557CC">
              <w:rPr>
                <w:noProof/>
                <w:sz w:val="18"/>
                <w:szCs w:val="18"/>
              </w:rPr>
              <w:t>12</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5</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6</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1</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13</w:t>
            </w:r>
          </w:p>
        </w:tc>
        <w:tc>
          <w:tcPr>
            <w:tcW w:w="511" w:type="dxa"/>
            <w:tcMar>
              <w:right w:w="57" w:type="dxa"/>
            </w:tcMar>
            <w:vAlign w:val="bottom"/>
          </w:tcPr>
          <w:p w:rsidR="00AE21D4" w:rsidRPr="005557CC" w:rsidRDefault="00AE21D4" w:rsidP="008A7CF6">
            <w:pPr>
              <w:jc w:val="right"/>
              <w:rPr>
                <w:noProof/>
                <w:sz w:val="18"/>
                <w:szCs w:val="18"/>
              </w:rPr>
            </w:pPr>
            <w:r w:rsidRPr="005557CC">
              <w:rPr>
                <w:noProof/>
                <w:sz w:val="18"/>
                <w:szCs w:val="18"/>
              </w:rPr>
              <w:t>8</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19</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11</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8</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5</w:t>
            </w:r>
          </w:p>
        </w:tc>
        <w:tc>
          <w:tcPr>
            <w:tcW w:w="511"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21</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13</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21</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14</w:t>
            </w:r>
          </w:p>
        </w:tc>
      </w:tr>
      <w:tr w:rsidR="00AE21D4" w:rsidRPr="00997334" w:rsidTr="0053067B">
        <w:trPr>
          <w:cantSplit/>
          <w:trHeight w:val="284"/>
          <w:jc w:val="center"/>
        </w:trPr>
        <w:tc>
          <w:tcPr>
            <w:tcW w:w="2232" w:type="dxa"/>
            <w:tcBorders>
              <w:bottom w:val="single" w:sz="4" w:space="0" w:color="auto"/>
            </w:tcBorders>
            <w:tcMar>
              <w:left w:w="57" w:type="dxa"/>
              <w:right w:w="57" w:type="dxa"/>
            </w:tcMar>
            <w:vAlign w:val="bottom"/>
          </w:tcPr>
          <w:p w:rsidR="00AE21D4" w:rsidRPr="00997334" w:rsidRDefault="00AE21D4" w:rsidP="00A77970">
            <w:pPr>
              <w:rPr>
                <w:noProof/>
                <w:kern w:val="28"/>
                <w:sz w:val="18"/>
                <w:szCs w:val="18"/>
                <w:lang w:val="en-US" w:eastAsia="en-US"/>
              </w:rPr>
            </w:pPr>
            <w:r w:rsidRPr="00997334">
              <w:rPr>
                <w:noProof/>
                <w:kern w:val="28"/>
                <w:sz w:val="18"/>
                <w:szCs w:val="18"/>
                <w:lang w:val="en-US" w:eastAsia="en-US"/>
              </w:rPr>
              <w:t>- Şomeri neindemnizaţi</w:t>
            </w:r>
          </w:p>
        </w:tc>
        <w:tc>
          <w:tcPr>
            <w:tcW w:w="511" w:type="dxa"/>
            <w:gridSpan w:val="2"/>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3400</w:t>
            </w:r>
          </w:p>
        </w:tc>
        <w:tc>
          <w:tcPr>
            <w:tcW w:w="512"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1778</w:t>
            </w:r>
          </w:p>
        </w:tc>
        <w:tc>
          <w:tcPr>
            <w:tcW w:w="512"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3432</w:t>
            </w:r>
          </w:p>
        </w:tc>
        <w:tc>
          <w:tcPr>
            <w:tcW w:w="512"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1764</w:t>
            </w:r>
          </w:p>
        </w:tc>
        <w:tc>
          <w:tcPr>
            <w:tcW w:w="512"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3472</w:t>
            </w:r>
          </w:p>
        </w:tc>
        <w:tc>
          <w:tcPr>
            <w:tcW w:w="511"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1768</w:t>
            </w:r>
          </w:p>
        </w:tc>
        <w:tc>
          <w:tcPr>
            <w:tcW w:w="512"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3529</w:t>
            </w:r>
          </w:p>
        </w:tc>
        <w:tc>
          <w:tcPr>
            <w:tcW w:w="512"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1762</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3308</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1766</w:t>
            </w:r>
          </w:p>
        </w:tc>
        <w:tc>
          <w:tcPr>
            <w:tcW w:w="511"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3070</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1506</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2786</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1445</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2612</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1390</w:t>
            </w:r>
          </w:p>
        </w:tc>
      </w:tr>
      <w:tr w:rsidR="00997334" w:rsidRPr="00997334" w:rsidTr="0053067B">
        <w:trPr>
          <w:cantSplit/>
          <w:trHeight w:val="284"/>
          <w:jc w:val="center"/>
        </w:trPr>
        <w:tc>
          <w:tcPr>
            <w:tcW w:w="10421" w:type="dxa"/>
            <w:gridSpan w:val="18"/>
            <w:shd w:val="clear" w:color="auto" w:fill="E0E0E0"/>
            <w:tcMar>
              <w:left w:w="57" w:type="dxa"/>
              <w:right w:w="57" w:type="dxa"/>
            </w:tcMar>
            <w:vAlign w:val="center"/>
          </w:tcPr>
          <w:p w:rsidR="00997334" w:rsidRPr="00997334" w:rsidRDefault="00997334" w:rsidP="00A77970">
            <w:pPr>
              <w:jc w:val="center"/>
              <w:rPr>
                <w:noProof/>
                <w:kern w:val="28"/>
                <w:sz w:val="18"/>
                <w:szCs w:val="18"/>
                <w:lang w:val="en-US" w:eastAsia="en-US"/>
              </w:rPr>
            </w:pPr>
            <w:r w:rsidRPr="00997334">
              <w:rPr>
                <w:b/>
                <w:noProof/>
                <w:kern w:val="28"/>
                <w:sz w:val="18"/>
                <w:szCs w:val="18"/>
                <w:lang w:val="en-US" w:eastAsia="en-US"/>
              </w:rPr>
              <w:t>SECTORUL 4</w:t>
            </w:r>
          </w:p>
        </w:tc>
      </w:tr>
      <w:tr w:rsidR="00AE21D4" w:rsidRPr="00997334" w:rsidTr="0053067B">
        <w:trPr>
          <w:cantSplit/>
          <w:trHeight w:val="284"/>
          <w:jc w:val="center"/>
        </w:trPr>
        <w:tc>
          <w:tcPr>
            <w:tcW w:w="2232" w:type="dxa"/>
            <w:tcMar>
              <w:left w:w="57" w:type="dxa"/>
              <w:right w:w="57" w:type="dxa"/>
            </w:tcMar>
            <w:vAlign w:val="bottom"/>
          </w:tcPr>
          <w:p w:rsidR="00AE21D4" w:rsidRPr="00997334" w:rsidRDefault="00AE21D4" w:rsidP="00A77970">
            <w:pPr>
              <w:keepNext/>
              <w:outlineLvl w:val="3"/>
              <w:rPr>
                <w:b/>
                <w:noProof/>
                <w:sz w:val="18"/>
                <w:szCs w:val="18"/>
                <w:lang w:val="es-ES" w:eastAsia="en-US"/>
              </w:rPr>
            </w:pPr>
            <w:r w:rsidRPr="00997334">
              <w:rPr>
                <w:b/>
                <w:noProof/>
                <w:kern w:val="28"/>
                <w:sz w:val="18"/>
                <w:szCs w:val="18"/>
                <w:lang w:val="en-US" w:eastAsia="en-US"/>
              </w:rPr>
              <w:t>N</w:t>
            </w:r>
            <w:r>
              <w:rPr>
                <w:b/>
                <w:noProof/>
                <w:kern w:val="28"/>
                <w:sz w:val="18"/>
                <w:szCs w:val="18"/>
                <w:lang w:val="en-US" w:eastAsia="en-US"/>
              </w:rPr>
              <w:t xml:space="preserve">r.total şomeri </w:t>
            </w:r>
            <w:r w:rsidRPr="00997334">
              <w:rPr>
                <w:b/>
                <w:noProof/>
                <w:kern w:val="28"/>
                <w:sz w:val="18"/>
                <w:szCs w:val="18"/>
                <w:lang w:val="en-US" w:eastAsia="en-US"/>
              </w:rPr>
              <w:t>înregistraţi</w:t>
            </w:r>
          </w:p>
        </w:tc>
        <w:tc>
          <w:tcPr>
            <w:tcW w:w="511" w:type="dxa"/>
            <w:gridSpan w:val="2"/>
            <w:tcMar>
              <w:right w:w="57" w:type="dxa"/>
            </w:tcMar>
            <w:vAlign w:val="bottom"/>
          </w:tcPr>
          <w:p w:rsidR="00AE21D4" w:rsidRPr="005557CC" w:rsidRDefault="00AE21D4" w:rsidP="008A7CF6">
            <w:pPr>
              <w:jc w:val="right"/>
              <w:rPr>
                <w:bCs/>
                <w:sz w:val="18"/>
                <w:szCs w:val="18"/>
              </w:rPr>
            </w:pPr>
            <w:r w:rsidRPr="005557CC">
              <w:rPr>
                <w:bCs/>
                <w:sz w:val="18"/>
                <w:szCs w:val="18"/>
              </w:rPr>
              <w:t>3329</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1881</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3312</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1846</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3293</w:t>
            </w:r>
          </w:p>
        </w:tc>
        <w:tc>
          <w:tcPr>
            <w:tcW w:w="511" w:type="dxa"/>
            <w:tcMar>
              <w:right w:w="57" w:type="dxa"/>
            </w:tcMar>
            <w:vAlign w:val="bottom"/>
          </w:tcPr>
          <w:p w:rsidR="00AE21D4" w:rsidRPr="005557CC" w:rsidRDefault="00AE21D4" w:rsidP="008A7CF6">
            <w:pPr>
              <w:jc w:val="right"/>
              <w:rPr>
                <w:bCs/>
                <w:sz w:val="18"/>
                <w:szCs w:val="18"/>
              </w:rPr>
            </w:pPr>
            <w:r w:rsidRPr="005557CC">
              <w:rPr>
                <w:bCs/>
                <w:sz w:val="18"/>
                <w:szCs w:val="18"/>
              </w:rPr>
              <w:t>1791</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3190</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1726</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3128</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1599</w:t>
            </w:r>
          </w:p>
        </w:tc>
        <w:tc>
          <w:tcPr>
            <w:tcW w:w="511"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3038</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1667</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3003</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1648</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2835</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1628</w:t>
            </w:r>
          </w:p>
        </w:tc>
      </w:tr>
      <w:tr w:rsidR="00AE21D4" w:rsidRPr="00997334" w:rsidTr="0053067B">
        <w:trPr>
          <w:cantSplit/>
          <w:trHeight w:val="284"/>
          <w:jc w:val="center"/>
        </w:trPr>
        <w:tc>
          <w:tcPr>
            <w:tcW w:w="2232" w:type="dxa"/>
            <w:tcMar>
              <w:left w:w="57" w:type="dxa"/>
              <w:right w:w="57" w:type="dxa"/>
            </w:tcMar>
            <w:vAlign w:val="bottom"/>
          </w:tcPr>
          <w:p w:rsidR="00AE21D4" w:rsidRPr="00997334" w:rsidRDefault="00AE21D4" w:rsidP="00A77970">
            <w:pPr>
              <w:rPr>
                <w:noProof/>
                <w:kern w:val="28"/>
                <w:sz w:val="18"/>
                <w:szCs w:val="18"/>
                <w:lang w:val="en-US" w:eastAsia="en-US"/>
              </w:rPr>
            </w:pPr>
            <w:r w:rsidRPr="00997334">
              <w:rPr>
                <w:noProof/>
                <w:kern w:val="28"/>
                <w:sz w:val="18"/>
                <w:szCs w:val="18"/>
                <w:lang w:val="en-US" w:eastAsia="en-US"/>
              </w:rPr>
              <w:t>- Şomeri în platã</w:t>
            </w:r>
          </w:p>
        </w:tc>
        <w:tc>
          <w:tcPr>
            <w:tcW w:w="511" w:type="dxa"/>
            <w:gridSpan w:val="2"/>
            <w:tcMar>
              <w:right w:w="57" w:type="dxa"/>
            </w:tcMar>
            <w:vAlign w:val="bottom"/>
          </w:tcPr>
          <w:p w:rsidR="00AE21D4" w:rsidRPr="005557CC" w:rsidRDefault="00AE21D4" w:rsidP="008A7CF6">
            <w:pPr>
              <w:jc w:val="right"/>
              <w:rPr>
                <w:noProof/>
                <w:sz w:val="18"/>
                <w:szCs w:val="18"/>
              </w:rPr>
            </w:pPr>
            <w:r w:rsidRPr="005557CC">
              <w:rPr>
                <w:noProof/>
                <w:sz w:val="18"/>
                <w:szCs w:val="18"/>
              </w:rPr>
              <w:t>523</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299</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499</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277</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435</w:t>
            </w:r>
          </w:p>
        </w:tc>
        <w:tc>
          <w:tcPr>
            <w:tcW w:w="511" w:type="dxa"/>
            <w:tcMar>
              <w:right w:w="57" w:type="dxa"/>
            </w:tcMar>
            <w:vAlign w:val="bottom"/>
          </w:tcPr>
          <w:p w:rsidR="00AE21D4" w:rsidRPr="005557CC" w:rsidRDefault="00AE21D4" w:rsidP="008A7CF6">
            <w:pPr>
              <w:jc w:val="right"/>
              <w:rPr>
                <w:noProof/>
                <w:sz w:val="18"/>
                <w:szCs w:val="18"/>
              </w:rPr>
            </w:pPr>
            <w:r w:rsidRPr="005557CC">
              <w:rPr>
                <w:noProof/>
                <w:sz w:val="18"/>
                <w:szCs w:val="18"/>
              </w:rPr>
              <w:t>256</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433</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274</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439</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265</w:t>
            </w:r>
          </w:p>
        </w:tc>
        <w:tc>
          <w:tcPr>
            <w:tcW w:w="511"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385</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242</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409</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256</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378</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232</w:t>
            </w:r>
          </w:p>
        </w:tc>
      </w:tr>
      <w:tr w:rsidR="00AE21D4" w:rsidRPr="00997334" w:rsidTr="0053067B">
        <w:trPr>
          <w:cantSplit/>
          <w:trHeight w:val="284"/>
          <w:jc w:val="center"/>
        </w:trPr>
        <w:tc>
          <w:tcPr>
            <w:tcW w:w="2232" w:type="dxa"/>
            <w:tcMar>
              <w:left w:w="57" w:type="dxa"/>
              <w:right w:w="57" w:type="dxa"/>
            </w:tcMar>
            <w:vAlign w:val="bottom"/>
          </w:tcPr>
          <w:p w:rsidR="00AE21D4" w:rsidRPr="00997334" w:rsidRDefault="00AE21D4" w:rsidP="00A77970">
            <w:pPr>
              <w:rPr>
                <w:noProof/>
                <w:kern w:val="28"/>
                <w:sz w:val="18"/>
                <w:szCs w:val="18"/>
                <w:lang w:val="en-US" w:eastAsia="en-US"/>
              </w:rPr>
            </w:pPr>
            <w:r w:rsidRPr="00997334">
              <w:rPr>
                <w:noProof/>
                <w:kern w:val="28"/>
                <w:sz w:val="18"/>
                <w:szCs w:val="18"/>
                <w:lang w:val="en-US" w:eastAsia="en-US"/>
              </w:rPr>
              <w:t xml:space="preserve">    din care : absolvenţi</w:t>
            </w:r>
          </w:p>
        </w:tc>
        <w:tc>
          <w:tcPr>
            <w:tcW w:w="511" w:type="dxa"/>
            <w:gridSpan w:val="2"/>
            <w:tcMar>
              <w:right w:w="57" w:type="dxa"/>
            </w:tcMar>
            <w:vAlign w:val="bottom"/>
          </w:tcPr>
          <w:p w:rsidR="00AE21D4" w:rsidRPr="005557CC" w:rsidRDefault="00AE21D4" w:rsidP="008A7CF6">
            <w:pPr>
              <w:jc w:val="right"/>
              <w:rPr>
                <w:noProof/>
                <w:sz w:val="18"/>
                <w:szCs w:val="18"/>
              </w:rPr>
            </w:pPr>
            <w:r w:rsidRPr="005557CC">
              <w:rPr>
                <w:noProof/>
                <w:sz w:val="18"/>
                <w:szCs w:val="18"/>
              </w:rPr>
              <w:t>12</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6</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0</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0</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12</w:t>
            </w:r>
          </w:p>
        </w:tc>
        <w:tc>
          <w:tcPr>
            <w:tcW w:w="511" w:type="dxa"/>
            <w:tcMar>
              <w:right w:w="57" w:type="dxa"/>
            </w:tcMar>
            <w:vAlign w:val="bottom"/>
          </w:tcPr>
          <w:p w:rsidR="00AE21D4" w:rsidRPr="005557CC" w:rsidRDefault="00AE21D4" w:rsidP="008A7CF6">
            <w:pPr>
              <w:jc w:val="right"/>
              <w:rPr>
                <w:noProof/>
                <w:sz w:val="18"/>
                <w:szCs w:val="18"/>
              </w:rPr>
            </w:pPr>
            <w:r w:rsidRPr="005557CC">
              <w:rPr>
                <w:noProof/>
                <w:sz w:val="18"/>
                <w:szCs w:val="18"/>
              </w:rPr>
              <w:t>6</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35</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19</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16</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9</w:t>
            </w:r>
          </w:p>
        </w:tc>
        <w:tc>
          <w:tcPr>
            <w:tcW w:w="511"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11</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4</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11</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7</w:t>
            </w:r>
          </w:p>
        </w:tc>
      </w:tr>
      <w:tr w:rsidR="00AE21D4" w:rsidRPr="00997334" w:rsidTr="0053067B">
        <w:trPr>
          <w:cantSplit/>
          <w:trHeight w:val="284"/>
          <w:jc w:val="center"/>
        </w:trPr>
        <w:tc>
          <w:tcPr>
            <w:tcW w:w="2232" w:type="dxa"/>
            <w:tcBorders>
              <w:bottom w:val="single" w:sz="4" w:space="0" w:color="auto"/>
            </w:tcBorders>
            <w:tcMar>
              <w:left w:w="57" w:type="dxa"/>
              <w:right w:w="57" w:type="dxa"/>
            </w:tcMar>
            <w:vAlign w:val="bottom"/>
          </w:tcPr>
          <w:p w:rsidR="00AE21D4" w:rsidRPr="00997334" w:rsidRDefault="00AE21D4" w:rsidP="00A77970">
            <w:pPr>
              <w:rPr>
                <w:noProof/>
                <w:kern w:val="28"/>
                <w:sz w:val="18"/>
                <w:szCs w:val="18"/>
                <w:lang w:val="en-US" w:eastAsia="en-US"/>
              </w:rPr>
            </w:pPr>
            <w:r w:rsidRPr="00997334">
              <w:rPr>
                <w:noProof/>
                <w:kern w:val="28"/>
                <w:sz w:val="18"/>
                <w:szCs w:val="18"/>
                <w:lang w:val="en-US" w:eastAsia="en-US"/>
              </w:rPr>
              <w:t>- Şomeri neindemnizaţi</w:t>
            </w:r>
          </w:p>
        </w:tc>
        <w:tc>
          <w:tcPr>
            <w:tcW w:w="511" w:type="dxa"/>
            <w:gridSpan w:val="2"/>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2806</w:t>
            </w:r>
          </w:p>
        </w:tc>
        <w:tc>
          <w:tcPr>
            <w:tcW w:w="512"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1582</w:t>
            </w:r>
          </w:p>
        </w:tc>
        <w:tc>
          <w:tcPr>
            <w:tcW w:w="512"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2813</w:t>
            </w:r>
          </w:p>
        </w:tc>
        <w:tc>
          <w:tcPr>
            <w:tcW w:w="512"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1569</w:t>
            </w:r>
          </w:p>
        </w:tc>
        <w:tc>
          <w:tcPr>
            <w:tcW w:w="512"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2858</w:t>
            </w:r>
          </w:p>
        </w:tc>
        <w:tc>
          <w:tcPr>
            <w:tcW w:w="511"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1535</w:t>
            </w:r>
          </w:p>
        </w:tc>
        <w:tc>
          <w:tcPr>
            <w:tcW w:w="512"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2757</w:t>
            </w:r>
          </w:p>
        </w:tc>
        <w:tc>
          <w:tcPr>
            <w:tcW w:w="512"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1452</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2689</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1334</w:t>
            </w:r>
          </w:p>
        </w:tc>
        <w:tc>
          <w:tcPr>
            <w:tcW w:w="511"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2653</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1425</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2594</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1392</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2457</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1396</w:t>
            </w:r>
          </w:p>
        </w:tc>
      </w:tr>
      <w:tr w:rsidR="00997334" w:rsidRPr="00997334" w:rsidTr="0053067B">
        <w:trPr>
          <w:cantSplit/>
          <w:trHeight w:val="284"/>
          <w:jc w:val="center"/>
        </w:trPr>
        <w:tc>
          <w:tcPr>
            <w:tcW w:w="10421" w:type="dxa"/>
            <w:gridSpan w:val="18"/>
            <w:shd w:val="clear" w:color="auto" w:fill="E0E0E0"/>
            <w:tcMar>
              <w:left w:w="57" w:type="dxa"/>
              <w:right w:w="57" w:type="dxa"/>
            </w:tcMar>
            <w:vAlign w:val="center"/>
          </w:tcPr>
          <w:p w:rsidR="00997334" w:rsidRPr="00997334" w:rsidRDefault="00997334" w:rsidP="00A77970">
            <w:pPr>
              <w:jc w:val="center"/>
              <w:rPr>
                <w:noProof/>
                <w:kern w:val="28"/>
                <w:sz w:val="18"/>
                <w:szCs w:val="18"/>
                <w:lang w:val="en-US" w:eastAsia="en-US"/>
              </w:rPr>
            </w:pPr>
            <w:r w:rsidRPr="00997334">
              <w:rPr>
                <w:b/>
                <w:noProof/>
                <w:kern w:val="28"/>
                <w:sz w:val="18"/>
                <w:szCs w:val="18"/>
                <w:lang w:val="en-US" w:eastAsia="en-US"/>
              </w:rPr>
              <w:t>SECTORUL 5</w:t>
            </w:r>
          </w:p>
        </w:tc>
      </w:tr>
      <w:tr w:rsidR="00AE21D4" w:rsidRPr="00997334" w:rsidTr="0053067B">
        <w:trPr>
          <w:cantSplit/>
          <w:trHeight w:val="284"/>
          <w:jc w:val="center"/>
        </w:trPr>
        <w:tc>
          <w:tcPr>
            <w:tcW w:w="2232" w:type="dxa"/>
            <w:tcMar>
              <w:left w:w="57" w:type="dxa"/>
              <w:right w:w="57" w:type="dxa"/>
            </w:tcMar>
            <w:vAlign w:val="bottom"/>
          </w:tcPr>
          <w:p w:rsidR="00AE21D4" w:rsidRPr="00997334" w:rsidRDefault="00AE21D4" w:rsidP="00A77970">
            <w:pPr>
              <w:keepNext/>
              <w:outlineLvl w:val="3"/>
              <w:rPr>
                <w:b/>
                <w:noProof/>
                <w:sz w:val="18"/>
                <w:szCs w:val="18"/>
                <w:lang w:val="es-ES" w:eastAsia="en-US"/>
              </w:rPr>
            </w:pPr>
            <w:r w:rsidRPr="00997334">
              <w:rPr>
                <w:b/>
                <w:noProof/>
                <w:kern w:val="28"/>
                <w:sz w:val="18"/>
                <w:szCs w:val="18"/>
                <w:lang w:val="en-US" w:eastAsia="en-US"/>
              </w:rPr>
              <w:t>N</w:t>
            </w:r>
            <w:r>
              <w:rPr>
                <w:b/>
                <w:noProof/>
                <w:kern w:val="28"/>
                <w:sz w:val="18"/>
                <w:szCs w:val="18"/>
                <w:lang w:val="en-US" w:eastAsia="en-US"/>
              </w:rPr>
              <w:t xml:space="preserve">r.total şomeri </w:t>
            </w:r>
            <w:r w:rsidRPr="00997334">
              <w:rPr>
                <w:b/>
                <w:noProof/>
                <w:kern w:val="28"/>
                <w:sz w:val="18"/>
                <w:szCs w:val="18"/>
                <w:lang w:val="en-US" w:eastAsia="en-US"/>
              </w:rPr>
              <w:t>înregistraţi</w:t>
            </w:r>
          </w:p>
        </w:tc>
        <w:tc>
          <w:tcPr>
            <w:tcW w:w="511" w:type="dxa"/>
            <w:gridSpan w:val="2"/>
            <w:tcMar>
              <w:right w:w="57" w:type="dxa"/>
            </w:tcMar>
            <w:vAlign w:val="bottom"/>
          </w:tcPr>
          <w:p w:rsidR="00AE21D4" w:rsidRPr="005557CC" w:rsidRDefault="00AE21D4" w:rsidP="008A7CF6">
            <w:pPr>
              <w:jc w:val="right"/>
              <w:rPr>
                <w:bCs/>
                <w:sz w:val="18"/>
                <w:szCs w:val="18"/>
              </w:rPr>
            </w:pPr>
            <w:r w:rsidRPr="005557CC">
              <w:rPr>
                <w:bCs/>
                <w:sz w:val="18"/>
                <w:szCs w:val="18"/>
              </w:rPr>
              <w:t>2724</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1428</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2700</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1413</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2698</w:t>
            </w:r>
          </w:p>
        </w:tc>
        <w:tc>
          <w:tcPr>
            <w:tcW w:w="511" w:type="dxa"/>
            <w:tcMar>
              <w:right w:w="57" w:type="dxa"/>
            </w:tcMar>
            <w:vAlign w:val="bottom"/>
          </w:tcPr>
          <w:p w:rsidR="00AE21D4" w:rsidRPr="005557CC" w:rsidRDefault="00AE21D4" w:rsidP="008A7CF6">
            <w:pPr>
              <w:jc w:val="right"/>
              <w:rPr>
                <w:bCs/>
                <w:sz w:val="18"/>
                <w:szCs w:val="18"/>
              </w:rPr>
            </w:pPr>
            <w:r w:rsidRPr="005557CC">
              <w:rPr>
                <w:bCs/>
                <w:sz w:val="18"/>
                <w:szCs w:val="18"/>
              </w:rPr>
              <w:t>1414</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2696</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1416</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2693</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1491</w:t>
            </w:r>
          </w:p>
        </w:tc>
        <w:tc>
          <w:tcPr>
            <w:tcW w:w="511"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2730</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1534</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2685</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1440</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2501</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1390</w:t>
            </w:r>
          </w:p>
        </w:tc>
      </w:tr>
      <w:tr w:rsidR="00AE21D4" w:rsidRPr="00997334" w:rsidTr="0053067B">
        <w:trPr>
          <w:cantSplit/>
          <w:trHeight w:val="284"/>
          <w:jc w:val="center"/>
        </w:trPr>
        <w:tc>
          <w:tcPr>
            <w:tcW w:w="2232" w:type="dxa"/>
            <w:tcMar>
              <w:left w:w="57" w:type="dxa"/>
              <w:right w:w="57" w:type="dxa"/>
            </w:tcMar>
            <w:vAlign w:val="bottom"/>
          </w:tcPr>
          <w:p w:rsidR="00AE21D4" w:rsidRPr="00997334" w:rsidRDefault="00AE21D4" w:rsidP="00A77970">
            <w:pPr>
              <w:rPr>
                <w:noProof/>
                <w:kern w:val="28"/>
                <w:sz w:val="18"/>
                <w:szCs w:val="18"/>
                <w:lang w:val="en-US" w:eastAsia="en-US"/>
              </w:rPr>
            </w:pPr>
            <w:r w:rsidRPr="00997334">
              <w:rPr>
                <w:noProof/>
                <w:kern w:val="28"/>
                <w:sz w:val="18"/>
                <w:szCs w:val="18"/>
                <w:lang w:val="en-US" w:eastAsia="en-US"/>
              </w:rPr>
              <w:t>- Şomeri în platã</w:t>
            </w:r>
          </w:p>
        </w:tc>
        <w:tc>
          <w:tcPr>
            <w:tcW w:w="511" w:type="dxa"/>
            <w:gridSpan w:val="2"/>
            <w:tcMar>
              <w:right w:w="57" w:type="dxa"/>
            </w:tcMar>
            <w:vAlign w:val="bottom"/>
          </w:tcPr>
          <w:p w:rsidR="00AE21D4" w:rsidRPr="005557CC" w:rsidRDefault="00AE21D4" w:rsidP="008A7CF6">
            <w:pPr>
              <w:jc w:val="right"/>
              <w:rPr>
                <w:noProof/>
                <w:sz w:val="18"/>
                <w:szCs w:val="18"/>
              </w:rPr>
            </w:pPr>
            <w:r w:rsidRPr="005557CC">
              <w:rPr>
                <w:noProof/>
                <w:sz w:val="18"/>
                <w:szCs w:val="18"/>
              </w:rPr>
              <w:t>462</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265</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401</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251</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375</w:t>
            </w:r>
          </w:p>
        </w:tc>
        <w:tc>
          <w:tcPr>
            <w:tcW w:w="511" w:type="dxa"/>
            <w:tcMar>
              <w:right w:w="57" w:type="dxa"/>
            </w:tcMar>
            <w:vAlign w:val="bottom"/>
          </w:tcPr>
          <w:p w:rsidR="00AE21D4" w:rsidRPr="005557CC" w:rsidRDefault="00AE21D4" w:rsidP="008A7CF6">
            <w:pPr>
              <w:jc w:val="right"/>
              <w:rPr>
                <w:noProof/>
                <w:sz w:val="18"/>
                <w:szCs w:val="18"/>
              </w:rPr>
            </w:pPr>
            <w:r w:rsidRPr="005557CC">
              <w:rPr>
                <w:noProof/>
                <w:sz w:val="18"/>
                <w:szCs w:val="18"/>
              </w:rPr>
              <w:t>252</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361</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248</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356</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228</w:t>
            </w:r>
          </w:p>
        </w:tc>
        <w:tc>
          <w:tcPr>
            <w:tcW w:w="511"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333</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199</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360</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208</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309</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182</w:t>
            </w:r>
          </w:p>
        </w:tc>
      </w:tr>
      <w:tr w:rsidR="00AE21D4" w:rsidRPr="00997334" w:rsidTr="0053067B">
        <w:trPr>
          <w:cantSplit/>
          <w:trHeight w:val="284"/>
          <w:jc w:val="center"/>
        </w:trPr>
        <w:tc>
          <w:tcPr>
            <w:tcW w:w="2232" w:type="dxa"/>
            <w:tcMar>
              <w:left w:w="57" w:type="dxa"/>
              <w:right w:w="57" w:type="dxa"/>
            </w:tcMar>
            <w:vAlign w:val="bottom"/>
          </w:tcPr>
          <w:p w:rsidR="00AE21D4" w:rsidRPr="00997334" w:rsidRDefault="00AE21D4" w:rsidP="00A77970">
            <w:pPr>
              <w:rPr>
                <w:noProof/>
                <w:kern w:val="28"/>
                <w:sz w:val="18"/>
                <w:szCs w:val="18"/>
                <w:lang w:val="en-US" w:eastAsia="en-US"/>
              </w:rPr>
            </w:pPr>
            <w:r w:rsidRPr="00997334">
              <w:rPr>
                <w:noProof/>
                <w:kern w:val="28"/>
                <w:sz w:val="18"/>
                <w:szCs w:val="18"/>
                <w:lang w:val="en-US" w:eastAsia="en-US"/>
              </w:rPr>
              <w:t xml:space="preserve">    din care : absolvenţi</w:t>
            </w:r>
          </w:p>
        </w:tc>
        <w:tc>
          <w:tcPr>
            <w:tcW w:w="511" w:type="dxa"/>
            <w:gridSpan w:val="2"/>
            <w:tcMar>
              <w:right w:w="57" w:type="dxa"/>
            </w:tcMar>
            <w:vAlign w:val="bottom"/>
          </w:tcPr>
          <w:p w:rsidR="00AE21D4" w:rsidRPr="005557CC" w:rsidRDefault="00AE21D4" w:rsidP="008A7CF6">
            <w:pPr>
              <w:jc w:val="right"/>
              <w:rPr>
                <w:noProof/>
                <w:sz w:val="18"/>
                <w:szCs w:val="18"/>
              </w:rPr>
            </w:pPr>
            <w:r w:rsidRPr="005557CC">
              <w:rPr>
                <w:noProof/>
                <w:sz w:val="18"/>
                <w:szCs w:val="18"/>
              </w:rPr>
              <w:t>19</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6</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1</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1</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15</w:t>
            </w:r>
          </w:p>
        </w:tc>
        <w:tc>
          <w:tcPr>
            <w:tcW w:w="511" w:type="dxa"/>
            <w:tcMar>
              <w:right w:w="57" w:type="dxa"/>
            </w:tcMar>
            <w:vAlign w:val="bottom"/>
          </w:tcPr>
          <w:p w:rsidR="00AE21D4" w:rsidRPr="005557CC" w:rsidRDefault="00AE21D4" w:rsidP="008A7CF6">
            <w:pPr>
              <w:jc w:val="right"/>
              <w:rPr>
                <w:noProof/>
                <w:sz w:val="18"/>
                <w:szCs w:val="18"/>
              </w:rPr>
            </w:pPr>
            <w:r w:rsidRPr="005557CC">
              <w:rPr>
                <w:noProof/>
                <w:sz w:val="18"/>
                <w:szCs w:val="18"/>
              </w:rPr>
              <w:t>4</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32</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8</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24</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8</w:t>
            </w:r>
          </w:p>
        </w:tc>
        <w:tc>
          <w:tcPr>
            <w:tcW w:w="511"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0</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0</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34</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17</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26</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15</w:t>
            </w:r>
          </w:p>
        </w:tc>
      </w:tr>
      <w:tr w:rsidR="00AE21D4" w:rsidRPr="00997334" w:rsidTr="0053067B">
        <w:trPr>
          <w:cantSplit/>
          <w:trHeight w:val="284"/>
          <w:jc w:val="center"/>
        </w:trPr>
        <w:tc>
          <w:tcPr>
            <w:tcW w:w="2232" w:type="dxa"/>
            <w:tcBorders>
              <w:bottom w:val="single" w:sz="4" w:space="0" w:color="auto"/>
            </w:tcBorders>
            <w:tcMar>
              <w:left w:w="57" w:type="dxa"/>
              <w:right w:w="57" w:type="dxa"/>
            </w:tcMar>
            <w:vAlign w:val="bottom"/>
          </w:tcPr>
          <w:p w:rsidR="00AE21D4" w:rsidRPr="00997334" w:rsidRDefault="00AE21D4" w:rsidP="00A77970">
            <w:pPr>
              <w:rPr>
                <w:noProof/>
                <w:kern w:val="28"/>
                <w:sz w:val="18"/>
                <w:szCs w:val="18"/>
                <w:lang w:val="en-US" w:eastAsia="en-US"/>
              </w:rPr>
            </w:pPr>
            <w:r w:rsidRPr="00997334">
              <w:rPr>
                <w:noProof/>
                <w:kern w:val="28"/>
                <w:sz w:val="18"/>
                <w:szCs w:val="18"/>
                <w:lang w:val="en-US" w:eastAsia="en-US"/>
              </w:rPr>
              <w:t>- Şomeri neindemnizaţi</w:t>
            </w:r>
          </w:p>
        </w:tc>
        <w:tc>
          <w:tcPr>
            <w:tcW w:w="511" w:type="dxa"/>
            <w:gridSpan w:val="2"/>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2262</w:t>
            </w:r>
          </w:p>
        </w:tc>
        <w:tc>
          <w:tcPr>
            <w:tcW w:w="512"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1163</w:t>
            </w:r>
          </w:p>
        </w:tc>
        <w:tc>
          <w:tcPr>
            <w:tcW w:w="512"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2299</w:t>
            </w:r>
          </w:p>
        </w:tc>
        <w:tc>
          <w:tcPr>
            <w:tcW w:w="512"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1162</w:t>
            </w:r>
          </w:p>
        </w:tc>
        <w:tc>
          <w:tcPr>
            <w:tcW w:w="512"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2323</w:t>
            </w:r>
          </w:p>
        </w:tc>
        <w:tc>
          <w:tcPr>
            <w:tcW w:w="511"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1162</w:t>
            </w:r>
          </w:p>
        </w:tc>
        <w:tc>
          <w:tcPr>
            <w:tcW w:w="512"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2335</w:t>
            </w:r>
          </w:p>
        </w:tc>
        <w:tc>
          <w:tcPr>
            <w:tcW w:w="512" w:type="dxa"/>
            <w:tcBorders>
              <w:bottom w:val="single" w:sz="4" w:space="0" w:color="auto"/>
            </w:tcBorders>
            <w:tcMar>
              <w:right w:w="57" w:type="dxa"/>
            </w:tcMar>
            <w:vAlign w:val="bottom"/>
          </w:tcPr>
          <w:p w:rsidR="00AE21D4" w:rsidRPr="005557CC" w:rsidRDefault="00AE21D4" w:rsidP="008A7CF6">
            <w:pPr>
              <w:jc w:val="right"/>
              <w:rPr>
                <w:noProof/>
                <w:sz w:val="18"/>
                <w:szCs w:val="18"/>
              </w:rPr>
            </w:pPr>
            <w:r w:rsidRPr="005557CC">
              <w:rPr>
                <w:noProof/>
                <w:sz w:val="18"/>
                <w:szCs w:val="18"/>
              </w:rPr>
              <w:t>1168</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2337</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1263</w:t>
            </w:r>
          </w:p>
        </w:tc>
        <w:tc>
          <w:tcPr>
            <w:tcW w:w="511"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2397</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1335</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2325</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1232</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2192</w:t>
            </w:r>
          </w:p>
        </w:tc>
        <w:tc>
          <w:tcPr>
            <w:tcW w:w="512" w:type="dxa"/>
            <w:tcBorders>
              <w:bottom w:val="single" w:sz="4" w:space="0" w:color="auto"/>
            </w:tcBorders>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1208</w:t>
            </w:r>
          </w:p>
        </w:tc>
      </w:tr>
      <w:tr w:rsidR="00997334" w:rsidRPr="00997334" w:rsidTr="0053067B">
        <w:trPr>
          <w:cantSplit/>
          <w:trHeight w:val="284"/>
          <w:jc w:val="center"/>
        </w:trPr>
        <w:tc>
          <w:tcPr>
            <w:tcW w:w="10421" w:type="dxa"/>
            <w:gridSpan w:val="18"/>
            <w:shd w:val="clear" w:color="auto" w:fill="E0E0E0"/>
            <w:tcMar>
              <w:left w:w="57" w:type="dxa"/>
              <w:right w:w="57" w:type="dxa"/>
            </w:tcMar>
            <w:vAlign w:val="center"/>
          </w:tcPr>
          <w:p w:rsidR="00997334" w:rsidRPr="00997334" w:rsidRDefault="00997334" w:rsidP="00A77970">
            <w:pPr>
              <w:jc w:val="center"/>
              <w:rPr>
                <w:noProof/>
                <w:kern w:val="28"/>
                <w:sz w:val="18"/>
                <w:szCs w:val="18"/>
                <w:lang w:val="en-US" w:eastAsia="en-US"/>
              </w:rPr>
            </w:pPr>
            <w:r w:rsidRPr="00997334">
              <w:rPr>
                <w:b/>
                <w:noProof/>
                <w:kern w:val="28"/>
                <w:sz w:val="18"/>
                <w:szCs w:val="18"/>
                <w:lang w:val="en-US" w:eastAsia="en-US"/>
              </w:rPr>
              <w:t>SECTORUL 6</w:t>
            </w:r>
          </w:p>
        </w:tc>
      </w:tr>
      <w:tr w:rsidR="00AE21D4" w:rsidRPr="00997334" w:rsidTr="0053067B">
        <w:trPr>
          <w:cantSplit/>
          <w:trHeight w:val="286"/>
          <w:jc w:val="center"/>
        </w:trPr>
        <w:tc>
          <w:tcPr>
            <w:tcW w:w="2232" w:type="dxa"/>
            <w:tcMar>
              <w:left w:w="57" w:type="dxa"/>
              <w:right w:w="57" w:type="dxa"/>
            </w:tcMar>
            <w:vAlign w:val="bottom"/>
          </w:tcPr>
          <w:p w:rsidR="00AE21D4" w:rsidRPr="00997334" w:rsidRDefault="00AE21D4" w:rsidP="00A77970">
            <w:pPr>
              <w:keepNext/>
              <w:outlineLvl w:val="3"/>
              <w:rPr>
                <w:b/>
                <w:noProof/>
                <w:sz w:val="18"/>
                <w:szCs w:val="18"/>
                <w:lang w:val="es-ES" w:eastAsia="en-US"/>
              </w:rPr>
            </w:pPr>
            <w:r w:rsidRPr="00997334">
              <w:rPr>
                <w:b/>
                <w:noProof/>
                <w:kern w:val="28"/>
                <w:sz w:val="18"/>
                <w:szCs w:val="18"/>
                <w:lang w:val="en-US" w:eastAsia="en-US"/>
              </w:rPr>
              <w:t>N</w:t>
            </w:r>
            <w:r>
              <w:rPr>
                <w:b/>
                <w:noProof/>
                <w:kern w:val="28"/>
                <w:sz w:val="18"/>
                <w:szCs w:val="18"/>
                <w:lang w:val="en-US" w:eastAsia="en-US"/>
              </w:rPr>
              <w:t xml:space="preserve">r.total şomeri </w:t>
            </w:r>
            <w:r w:rsidRPr="00997334">
              <w:rPr>
                <w:b/>
                <w:noProof/>
                <w:kern w:val="28"/>
                <w:sz w:val="18"/>
                <w:szCs w:val="18"/>
                <w:lang w:val="en-US" w:eastAsia="en-US"/>
              </w:rPr>
              <w:t>înregistraţi</w:t>
            </w:r>
          </w:p>
        </w:tc>
        <w:tc>
          <w:tcPr>
            <w:tcW w:w="511" w:type="dxa"/>
            <w:gridSpan w:val="2"/>
            <w:tcMar>
              <w:right w:w="57" w:type="dxa"/>
            </w:tcMar>
            <w:vAlign w:val="bottom"/>
          </w:tcPr>
          <w:p w:rsidR="00AE21D4" w:rsidRPr="005557CC" w:rsidRDefault="00AE21D4" w:rsidP="008A7CF6">
            <w:pPr>
              <w:jc w:val="right"/>
              <w:rPr>
                <w:bCs/>
                <w:sz w:val="18"/>
                <w:szCs w:val="18"/>
              </w:rPr>
            </w:pPr>
            <w:r w:rsidRPr="005557CC">
              <w:rPr>
                <w:bCs/>
                <w:sz w:val="18"/>
                <w:szCs w:val="18"/>
              </w:rPr>
              <w:t>3036</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1732</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3038</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1733</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3036</w:t>
            </w:r>
          </w:p>
        </w:tc>
        <w:tc>
          <w:tcPr>
            <w:tcW w:w="511" w:type="dxa"/>
            <w:tcMar>
              <w:right w:w="57" w:type="dxa"/>
            </w:tcMar>
            <w:vAlign w:val="bottom"/>
          </w:tcPr>
          <w:p w:rsidR="00AE21D4" w:rsidRPr="005557CC" w:rsidRDefault="00AE21D4" w:rsidP="008A7CF6">
            <w:pPr>
              <w:jc w:val="right"/>
              <w:rPr>
                <w:bCs/>
                <w:sz w:val="18"/>
                <w:szCs w:val="18"/>
              </w:rPr>
            </w:pPr>
            <w:r w:rsidRPr="005557CC">
              <w:rPr>
                <w:bCs/>
                <w:sz w:val="18"/>
                <w:szCs w:val="18"/>
              </w:rPr>
              <w:t>1719</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3048</w:t>
            </w:r>
          </w:p>
        </w:tc>
        <w:tc>
          <w:tcPr>
            <w:tcW w:w="512" w:type="dxa"/>
            <w:tcMar>
              <w:right w:w="57" w:type="dxa"/>
            </w:tcMar>
            <w:vAlign w:val="bottom"/>
          </w:tcPr>
          <w:p w:rsidR="00AE21D4" w:rsidRPr="005557CC" w:rsidRDefault="00AE21D4" w:rsidP="008A7CF6">
            <w:pPr>
              <w:jc w:val="right"/>
              <w:rPr>
                <w:bCs/>
                <w:sz w:val="18"/>
                <w:szCs w:val="18"/>
              </w:rPr>
            </w:pPr>
            <w:r w:rsidRPr="005557CC">
              <w:rPr>
                <w:bCs/>
                <w:sz w:val="18"/>
                <w:szCs w:val="18"/>
              </w:rPr>
              <w:t>1755</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3053</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1738</w:t>
            </w:r>
          </w:p>
        </w:tc>
        <w:tc>
          <w:tcPr>
            <w:tcW w:w="511"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3056</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1772</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3034</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1737</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2842</w:t>
            </w:r>
          </w:p>
        </w:tc>
        <w:tc>
          <w:tcPr>
            <w:tcW w:w="512" w:type="dxa"/>
            <w:shd w:val="clear" w:color="auto" w:fill="auto"/>
            <w:tcMar>
              <w:right w:w="57" w:type="dxa"/>
            </w:tcMar>
            <w:vAlign w:val="bottom"/>
          </w:tcPr>
          <w:p w:rsidR="00AE21D4" w:rsidRPr="005557CC" w:rsidRDefault="00AE21D4" w:rsidP="008A7CF6">
            <w:pPr>
              <w:jc w:val="right"/>
              <w:rPr>
                <w:bCs/>
                <w:sz w:val="18"/>
                <w:szCs w:val="18"/>
              </w:rPr>
            </w:pPr>
            <w:r w:rsidRPr="005557CC">
              <w:rPr>
                <w:bCs/>
                <w:sz w:val="18"/>
                <w:szCs w:val="18"/>
              </w:rPr>
              <w:t>1598</w:t>
            </w:r>
          </w:p>
        </w:tc>
      </w:tr>
      <w:tr w:rsidR="00AE21D4" w:rsidRPr="00997334" w:rsidTr="0053067B">
        <w:trPr>
          <w:cantSplit/>
          <w:trHeight w:val="286"/>
          <w:jc w:val="center"/>
        </w:trPr>
        <w:tc>
          <w:tcPr>
            <w:tcW w:w="2232" w:type="dxa"/>
            <w:tcMar>
              <w:left w:w="57" w:type="dxa"/>
              <w:right w:w="57" w:type="dxa"/>
            </w:tcMar>
            <w:vAlign w:val="bottom"/>
          </w:tcPr>
          <w:p w:rsidR="00AE21D4" w:rsidRPr="00997334" w:rsidRDefault="00AE21D4" w:rsidP="00A77970">
            <w:pPr>
              <w:rPr>
                <w:noProof/>
                <w:kern w:val="28"/>
                <w:sz w:val="18"/>
                <w:szCs w:val="18"/>
                <w:lang w:val="en-US" w:eastAsia="en-US"/>
              </w:rPr>
            </w:pPr>
            <w:r w:rsidRPr="00997334">
              <w:rPr>
                <w:noProof/>
                <w:kern w:val="28"/>
                <w:sz w:val="18"/>
                <w:szCs w:val="18"/>
                <w:lang w:val="en-US" w:eastAsia="en-US"/>
              </w:rPr>
              <w:t>- Şomeri în platã</w:t>
            </w:r>
          </w:p>
        </w:tc>
        <w:tc>
          <w:tcPr>
            <w:tcW w:w="511" w:type="dxa"/>
            <w:gridSpan w:val="2"/>
            <w:tcMar>
              <w:right w:w="57" w:type="dxa"/>
            </w:tcMar>
            <w:vAlign w:val="bottom"/>
          </w:tcPr>
          <w:p w:rsidR="00AE21D4" w:rsidRPr="005557CC" w:rsidRDefault="00AE21D4" w:rsidP="008A7CF6">
            <w:pPr>
              <w:jc w:val="right"/>
              <w:rPr>
                <w:noProof/>
                <w:sz w:val="18"/>
                <w:szCs w:val="18"/>
              </w:rPr>
            </w:pPr>
            <w:r w:rsidRPr="005557CC">
              <w:rPr>
                <w:noProof/>
                <w:sz w:val="18"/>
                <w:szCs w:val="18"/>
              </w:rPr>
              <w:t>576</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352</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534</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330</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508</w:t>
            </w:r>
          </w:p>
        </w:tc>
        <w:tc>
          <w:tcPr>
            <w:tcW w:w="511" w:type="dxa"/>
            <w:tcMar>
              <w:right w:w="57" w:type="dxa"/>
            </w:tcMar>
            <w:vAlign w:val="bottom"/>
          </w:tcPr>
          <w:p w:rsidR="00AE21D4" w:rsidRPr="005557CC" w:rsidRDefault="00AE21D4" w:rsidP="008A7CF6">
            <w:pPr>
              <w:jc w:val="right"/>
              <w:rPr>
                <w:noProof/>
                <w:sz w:val="18"/>
                <w:szCs w:val="18"/>
              </w:rPr>
            </w:pPr>
            <w:r w:rsidRPr="005557CC">
              <w:rPr>
                <w:noProof/>
                <w:sz w:val="18"/>
                <w:szCs w:val="18"/>
              </w:rPr>
              <w:t>282</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505</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298</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458</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268</w:t>
            </w:r>
          </w:p>
        </w:tc>
        <w:tc>
          <w:tcPr>
            <w:tcW w:w="511"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433</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259</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418</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253</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399</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247</w:t>
            </w:r>
          </w:p>
        </w:tc>
      </w:tr>
      <w:tr w:rsidR="00AE21D4" w:rsidRPr="00997334" w:rsidTr="0053067B">
        <w:trPr>
          <w:cantSplit/>
          <w:trHeight w:val="286"/>
          <w:jc w:val="center"/>
        </w:trPr>
        <w:tc>
          <w:tcPr>
            <w:tcW w:w="2232" w:type="dxa"/>
            <w:tcMar>
              <w:left w:w="57" w:type="dxa"/>
              <w:right w:w="57" w:type="dxa"/>
            </w:tcMar>
            <w:vAlign w:val="bottom"/>
          </w:tcPr>
          <w:p w:rsidR="00AE21D4" w:rsidRPr="00997334" w:rsidRDefault="00AE21D4" w:rsidP="00A77970">
            <w:pPr>
              <w:rPr>
                <w:noProof/>
                <w:kern w:val="28"/>
                <w:sz w:val="18"/>
                <w:szCs w:val="18"/>
                <w:lang w:val="en-US" w:eastAsia="en-US"/>
              </w:rPr>
            </w:pPr>
            <w:r w:rsidRPr="00997334">
              <w:rPr>
                <w:noProof/>
                <w:kern w:val="28"/>
                <w:sz w:val="18"/>
                <w:szCs w:val="18"/>
                <w:lang w:val="en-US" w:eastAsia="en-US"/>
              </w:rPr>
              <w:t xml:space="preserve">    din care : absolvenţi</w:t>
            </w:r>
          </w:p>
        </w:tc>
        <w:tc>
          <w:tcPr>
            <w:tcW w:w="511" w:type="dxa"/>
            <w:gridSpan w:val="2"/>
            <w:tcMar>
              <w:right w:w="57" w:type="dxa"/>
            </w:tcMar>
            <w:vAlign w:val="bottom"/>
          </w:tcPr>
          <w:p w:rsidR="00AE21D4" w:rsidRPr="005557CC" w:rsidRDefault="00AE21D4" w:rsidP="008A7CF6">
            <w:pPr>
              <w:jc w:val="right"/>
              <w:rPr>
                <w:noProof/>
                <w:sz w:val="18"/>
                <w:szCs w:val="18"/>
              </w:rPr>
            </w:pPr>
            <w:r w:rsidRPr="005557CC">
              <w:rPr>
                <w:noProof/>
                <w:sz w:val="18"/>
                <w:szCs w:val="18"/>
              </w:rPr>
              <w:t>8</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4</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3</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2</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34</w:t>
            </w:r>
          </w:p>
        </w:tc>
        <w:tc>
          <w:tcPr>
            <w:tcW w:w="511" w:type="dxa"/>
            <w:tcMar>
              <w:right w:w="57" w:type="dxa"/>
            </w:tcMar>
            <w:vAlign w:val="bottom"/>
          </w:tcPr>
          <w:p w:rsidR="00AE21D4" w:rsidRPr="005557CC" w:rsidRDefault="00AE21D4" w:rsidP="008A7CF6">
            <w:pPr>
              <w:jc w:val="right"/>
              <w:rPr>
                <w:noProof/>
                <w:sz w:val="18"/>
                <w:szCs w:val="18"/>
              </w:rPr>
            </w:pPr>
            <w:r w:rsidRPr="005557CC">
              <w:rPr>
                <w:noProof/>
                <w:sz w:val="18"/>
                <w:szCs w:val="18"/>
              </w:rPr>
              <w:t>13</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40</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19</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16</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11</w:t>
            </w:r>
          </w:p>
        </w:tc>
        <w:tc>
          <w:tcPr>
            <w:tcW w:w="511"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0</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0</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14</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9</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15</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10</w:t>
            </w:r>
          </w:p>
        </w:tc>
      </w:tr>
      <w:tr w:rsidR="00AE21D4" w:rsidRPr="00997334" w:rsidTr="0053067B">
        <w:trPr>
          <w:cantSplit/>
          <w:trHeight w:val="286"/>
          <w:jc w:val="center"/>
        </w:trPr>
        <w:tc>
          <w:tcPr>
            <w:tcW w:w="2232" w:type="dxa"/>
            <w:tcMar>
              <w:left w:w="57" w:type="dxa"/>
              <w:right w:w="57" w:type="dxa"/>
            </w:tcMar>
            <w:vAlign w:val="bottom"/>
          </w:tcPr>
          <w:p w:rsidR="00AE21D4" w:rsidRPr="00997334" w:rsidRDefault="00AE21D4" w:rsidP="00A77970">
            <w:pPr>
              <w:rPr>
                <w:noProof/>
                <w:kern w:val="28"/>
                <w:sz w:val="18"/>
                <w:szCs w:val="18"/>
                <w:lang w:val="en-US" w:eastAsia="en-US"/>
              </w:rPr>
            </w:pPr>
            <w:r w:rsidRPr="00997334">
              <w:rPr>
                <w:noProof/>
                <w:kern w:val="28"/>
                <w:sz w:val="18"/>
                <w:szCs w:val="18"/>
                <w:lang w:val="en-US" w:eastAsia="en-US"/>
              </w:rPr>
              <w:t>- Şomeri neindemnizaţi</w:t>
            </w:r>
          </w:p>
        </w:tc>
        <w:tc>
          <w:tcPr>
            <w:tcW w:w="511" w:type="dxa"/>
            <w:gridSpan w:val="2"/>
            <w:tcMar>
              <w:right w:w="57" w:type="dxa"/>
            </w:tcMar>
            <w:vAlign w:val="bottom"/>
          </w:tcPr>
          <w:p w:rsidR="00AE21D4" w:rsidRPr="005557CC" w:rsidRDefault="00AE21D4" w:rsidP="008A7CF6">
            <w:pPr>
              <w:jc w:val="right"/>
              <w:rPr>
                <w:noProof/>
                <w:sz w:val="18"/>
                <w:szCs w:val="18"/>
              </w:rPr>
            </w:pPr>
            <w:r w:rsidRPr="005557CC">
              <w:rPr>
                <w:noProof/>
                <w:sz w:val="18"/>
                <w:szCs w:val="18"/>
              </w:rPr>
              <w:t>2460</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1380</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2504</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1403</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2528</w:t>
            </w:r>
          </w:p>
        </w:tc>
        <w:tc>
          <w:tcPr>
            <w:tcW w:w="511" w:type="dxa"/>
            <w:tcMar>
              <w:right w:w="57" w:type="dxa"/>
            </w:tcMar>
            <w:vAlign w:val="bottom"/>
          </w:tcPr>
          <w:p w:rsidR="00AE21D4" w:rsidRPr="005557CC" w:rsidRDefault="00AE21D4" w:rsidP="008A7CF6">
            <w:pPr>
              <w:jc w:val="right"/>
              <w:rPr>
                <w:noProof/>
                <w:sz w:val="18"/>
                <w:szCs w:val="18"/>
              </w:rPr>
            </w:pPr>
            <w:r w:rsidRPr="005557CC">
              <w:rPr>
                <w:noProof/>
                <w:sz w:val="18"/>
                <w:szCs w:val="18"/>
              </w:rPr>
              <w:t>1437</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2543</w:t>
            </w:r>
          </w:p>
        </w:tc>
        <w:tc>
          <w:tcPr>
            <w:tcW w:w="512" w:type="dxa"/>
            <w:tcMar>
              <w:right w:w="57" w:type="dxa"/>
            </w:tcMar>
            <w:vAlign w:val="bottom"/>
          </w:tcPr>
          <w:p w:rsidR="00AE21D4" w:rsidRPr="005557CC" w:rsidRDefault="00AE21D4" w:rsidP="008A7CF6">
            <w:pPr>
              <w:jc w:val="right"/>
              <w:rPr>
                <w:noProof/>
                <w:sz w:val="18"/>
                <w:szCs w:val="18"/>
              </w:rPr>
            </w:pPr>
            <w:r w:rsidRPr="005557CC">
              <w:rPr>
                <w:noProof/>
                <w:sz w:val="18"/>
                <w:szCs w:val="18"/>
              </w:rPr>
              <w:t>1457</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2595</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1470</w:t>
            </w:r>
          </w:p>
        </w:tc>
        <w:tc>
          <w:tcPr>
            <w:tcW w:w="511"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2623</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1513</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2616</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1484</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2443</w:t>
            </w:r>
          </w:p>
        </w:tc>
        <w:tc>
          <w:tcPr>
            <w:tcW w:w="512" w:type="dxa"/>
            <w:shd w:val="clear" w:color="auto" w:fill="auto"/>
            <w:tcMar>
              <w:right w:w="57" w:type="dxa"/>
            </w:tcMar>
            <w:vAlign w:val="bottom"/>
          </w:tcPr>
          <w:p w:rsidR="00AE21D4" w:rsidRPr="005557CC" w:rsidRDefault="00AE21D4" w:rsidP="008A7CF6">
            <w:pPr>
              <w:jc w:val="right"/>
              <w:rPr>
                <w:noProof/>
                <w:sz w:val="18"/>
                <w:szCs w:val="18"/>
              </w:rPr>
            </w:pPr>
            <w:r w:rsidRPr="005557CC">
              <w:rPr>
                <w:noProof/>
                <w:sz w:val="18"/>
                <w:szCs w:val="18"/>
              </w:rPr>
              <w:t>1351</w:t>
            </w:r>
          </w:p>
        </w:tc>
      </w:tr>
    </w:tbl>
    <w:p w:rsidR="00997334" w:rsidRPr="00997334" w:rsidRDefault="00997334" w:rsidP="00A77970">
      <w:pPr>
        <w:rPr>
          <w:i/>
          <w:noProof/>
          <w:kern w:val="28"/>
          <w:sz w:val="16"/>
          <w:szCs w:val="16"/>
          <w:lang w:val="pt-BR" w:eastAsia="en-US"/>
        </w:rPr>
      </w:pPr>
      <w:r w:rsidRPr="00997334">
        <w:rPr>
          <w:b/>
          <w:i/>
          <w:noProof/>
          <w:kern w:val="28"/>
          <w:sz w:val="16"/>
          <w:szCs w:val="16"/>
          <w:lang w:val="pt-BR" w:eastAsia="en-US"/>
        </w:rPr>
        <w:lastRenderedPageBreak/>
        <w:t xml:space="preserve">Sursa datelor: </w:t>
      </w:r>
      <w:r w:rsidRPr="00997334">
        <w:rPr>
          <w:i/>
          <w:noProof/>
          <w:kern w:val="28"/>
          <w:sz w:val="16"/>
          <w:szCs w:val="16"/>
          <w:lang w:val="pt-BR" w:eastAsia="en-US"/>
        </w:rPr>
        <w:t>Agenţia Municipală pentru Ocuparea Forţei de Muncă.</w:t>
      </w:r>
    </w:p>
    <w:p w:rsidR="00562DDF" w:rsidRDefault="00562DDF" w:rsidP="00A77970">
      <w:pPr>
        <w:jc w:val="center"/>
        <w:rPr>
          <w:kern w:val="28"/>
          <w:szCs w:val="20"/>
          <w:lang w:eastAsia="en-US"/>
        </w:rPr>
      </w:pPr>
    </w:p>
    <w:p w:rsidR="00ED6E15" w:rsidRPr="005459DA" w:rsidRDefault="00AE21D4" w:rsidP="00A77970">
      <w:pPr>
        <w:jc w:val="center"/>
        <w:rPr>
          <w:kern w:val="28"/>
          <w:szCs w:val="20"/>
          <w:lang w:eastAsia="en-US"/>
        </w:rPr>
      </w:pPr>
      <w:bookmarkStart w:id="40" w:name="ratasomaj"/>
      <w:bookmarkEnd w:id="38"/>
      <w:r w:rsidRPr="00AE21D4">
        <w:rPr>
          <w:noProof/>
          <w:kern w:val="28"/>
          <w:szCs w:val="20"/>
        </w:rPr>
        <w:drawing>
          <wp:inline distT="0" distB="0" distL="0" distR="0">
            <wp:extent cx="3800475" cy="2028909"/>
            <wp:effectExtent l="19050" t="0" r="952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43" cy="2030600"/>
                    </a:xfrm>
                    <a:prstGeom prst="rect">
                      <a:avLst/>
                    </a:prstGeom>
                    <a:noFill/>
                    <a:ln>
                      <a:noFill/>
                    </a:ln>
                  </pic:spPr>
                </pic:pic>
              </a:graphicData>
            </a:graphic>
          </wp:inline>
        </w:drawing>
      </w:r>
    </w:p>
    <w:p w:rsidR="00826CAD" w:rsidRPr="0042550A" w:rsidRDefault="00ED6E15" w:rsidP="00A77970">
      <w:pPr>
        <w:jc w:val="both"/>
        <w:rPr>
          <w:b/>
          <w:bCs/>
          <w:kern w:val="28"/>
          <w:lang w:eastAsia="en-US"/>
        </w:rPr>
      </w:pPr>
      <w:r>
        <w:rPr>
          <w:b/>
          <w:bCs/>
          <w:kern w:val="28"/>
          <w:lang w:eastAsia="en-US"/>
        </w:rPr>
        <w:tab/>
      </w:r>
      <w:r w:rsidR="00997334" w:rsidRPr="00826CAD">
        <w:rPr>
          <w:b/>
          <w:bCs/>
          <w:kern w:val="28"/>
          <w:lang w:eastAsia="en-US"/>
        </w:rPr>
        <w:t>Rata şomajului</w:t>
      </w:r>
      <w:r w:rsidR="00997334" w:rsidRPr="00826CAD">
        <w:rPr>
          <w:kern w:val="28"/>
          <w:lang w:eastAsia="en-US"/>
        </w:rPr>
        <w:t xml:space="preserve"> </w:t>
      </w:r>
      <w:bookmarkEnd w:id="40"/>
    </w:p>
    <w:p w:rsidR="00997334" w:rsidRPr="00826CAD" w:rsidRDefault="00826CAD" w:rsidP="00A77970">
      <w:pPr>
        <w:jc w:val="both"/>
        <w:rPr>
          <w:kern w:val="28"/>
          <w:lang w:eastAsia="en-US"/>
        </w:rPr>
      </w:pPr>
      <w:r>
        <w:rPr>
          <w:kern w:val="28"/>
          <w:lang w:eastAsia="en-US"/>
        </w:rPr>
        <w:tab/>
      </w:r>
      <w:r w:rsidR="00997334" w:rsidRPr="00997334">
        <w:rPr>
          <w:kern w:val="28"/>
          <w:lang w:eastAsia="en-US"/>
        </w:rPr>
        <w:t>Acest indicator este determinat prin raportarea numărului total de şomeri înregistraţi, la populaţia activă civilă.</w:t>
      </w:r>
      <w:r>
        <w:rPr>
          <w:kern w:val="28"/>
          <w:lang w:eastAsia="en-US"/>
        </w:rPr>
        <w:t xml:space="preserve"> Asemeni anului precedent, </w:t>
      </w:r>
      <w:r w:rsidR="00997334" w:rsidRPr="00997334">
        <w:rPr>
          <w:kern w:val="28"/>
          <w:szCs w:val="20"/>
          <w:lang w:eastAsia="en-US"/>
        </w:rPr>
        <w:t>nu</w:t>
      </w:r>
      <w:r w:rsidR="00997334" w:rsidRPr="00997334">
        <w:rPr>
          <w:b/>
          <w:kern w:val="28"/>
          <w:szCs w:val="20"/>
          <w:lang w:eastAsia="en-US"/>
        </w:rPr>
        <w:t xml:space="preserve"> </w:t>
      </w:r>
      <w:r w:rsidR="00997334" w:rsidRPr="00997334">
        <w:rPr>
          <w:kern w:val="28"/>
          <w:szCs w:val="20"/>
          <w:lang w:eastAsia="en-US"/>
        </w:rPr>
        <w:t>a înregistrat fluctuaţii în cursul anului 201</w:t>
      </w:r>
      <w:r w:rsidR="00AE21D4">
        <w:rPr>
          <w:kern w:val="28"/>
          <w:szCs w:val="20"/>
          <w:lang w:eastAsia="en-US"/>
        </w:rPr>
        <w:t>8</w:t>
      </w:r>
      <w:r w:rsidR="00997334" w:rsidRPr="00997334">
        <w:rPr>
          <w:kern w:val="28"/>
          <w:szCs w:val="20"/>
          <w:lang w:eastAsia="en-US"/>
        </w:rPr>
        <w:t>.</w:t>
      </w:r>
    </w:p>
    <w:p w:rsidR="00997334" w:rsidRPr="00997334" w:rsidRDefault="00997334" w:rsidP="00A77970">
      <w:pPr>
        <w:ind w:firstLine="720"/>
        <w:jc w:val="both"/>
        <w:rPr>
          <w:kern w:val="28"/>
          <w:szCs w:val="20"/>
          <w:lang w:eastAsia="en-US"/>
        </w:rPr>
      </w:pPr>
    </w:p>
    <w:p w:rsidR="00997334" w:rsidRPr="00997334" w:rsidRDefault="00562DDF" w:rsidP="00A77970">
      <w:pPr>
        <w:rPr>
          <w:b/>
          <w:lang w:eastAsia="en-US"/>
        </w:rPr>
      </w:pPr>
      <w:r>
        <w:rPr>
          <w:b/>
          <w:lang w:eastAsia="en-US"/>
        </w:rPr>
        <w:t>Conform datelor furnizate de către Agenția Națională pentru Ocuparea Forței de Muncă, rata şomajului înregistrat (</w:t>
      </w:r>
      <w:r w:rsidR="00997334" w:rsidRPr="00997334">
        <w:rPr>
          <w:b/>
          <w:lang w:eastAsia="en-US"/>
        </w:rPr>
        <w:t>la sfârşitul perioadei</w:t>
      </w:r>
      <w:r>
        <w:rPr>
          <w:b/>
          <w:lang w:eastAsia="en-US"/>
        </w:rPr>
        <w:t>) se prezintă astfel:</w:t>
      </w:r>
    </w:p>
    <w:p w:rsidR="00997334" w:rsidRPr="00997334" w:rsidRDefault="00997334" w:rsidP="00A77970">
      <w:pPr>
        <w:ind w:left="8640" w:firstLine="720"/>
        <w:jc w:val="center"/>
        <w:rPr>
          <w:b/>
          <w:kern w:val="28"/>
          <w:sz w:val="18"/>
          <w:szCs w:val="18"/>
          <w:lang w:eastAsia="en-US"/>
        </w:rPr>
      </w:pPr>
      <w:r w:rsidRPr="00997334">
        <w:rPr>
          <w:kern w:val="28"/>
          <w:sz w:val="18"/>
          <w:szCs w:val="18"/>
          <w:lang w:eastAsia="en-US"/>
        </w:rPr>
        <w:t xml:space="preserve"> </w:t>
      </w:r>
      <w:r w:rsidRPr="00997334">
        <w:rPr>
          <w:b/>
          <w:kern w:val="28"/>
          <w:sz w:val="18"/>
          <w:szCs w:val="18"/>
          <w:lang w:eastAsia="en-US"/>
        </w:rPr>
        <w:t>% -</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920"/>
        <w:gridCol w:w="690"/>
        <w:gridCol w:w="691"/>
        <w:gridCol w:w="690"/>
        <w:gridCol w:w="691"/>
        <w:gridCol w:w="690"/>
        <w:gridCol w:w="691"/>
        <w:gridCol w:w="690"/>
        <w:gridCol w:w="691"/>
        <w:gridCol w:w="690"/>
        <w:gridCol w:w="691"/>
        <w:gridCol w:w="690"/>
        <w:gridCol w:w="691"/>
      </w:tblGrid>
      <w:tr w:rsidR="00997334" w:rsidRPr="00997334" w:rsidTr="00997334">
        <w:trPr>
          <w:trHeight w:val="272"/>
        </w:trPr>
        <w:tc>
          <w:tcPr>
            <w:tcW w:w="1920" w:type="dxa"/>
            <w:vMerge w:val="restart"/>
            <w:tcBorders>
              <w:top w:val="single" w:sz="4" w:space="0" w:color="auto"/>
            </w:tcBorders>
            <w:shd w:val="clear" w:color="auto" w:fill="E0E0E0"/>
            <w:vAlign w:val="center"/>
          </w:tcPr>
          <w:p w:rsidR="00997334" w:rsidRPr="00997334" w:rsidRDefault="00997334" w:rsidP="00A77970">
            <w:pPr>
              <w:jc w:val="center"/>
              <w:rPr>
                <w:rFonts w:eastAsia="Arial Unicode MS"/>
                <w:b/>
                <w:kern w:val="28"/>
                <w:sz w:val="18"/>
                <w:szCs w:val="18"/>
                <w:lang w:eastAsia="en-US"/>
              </w:rPr>
            </w:pPr>
          </w:p>
        </w:tc>
        <w:tc>
          <w:tcPr>
            <w:tcW w:w="8286" w:type="dxa"/>
            <w:gridSpan w:val="12"/>
            <w:tcBorders>
              <w:top w:val="single" w:sz="4" w:space="0" w:color="auto"/>
            </w:tcBorders>
            <w:shd w:val="clear" w:color="auto" w:fill="E0E0E0"/>
            <w:vAlign w:val="center"/>
          </w:tcPr>
          <w:p w:rsidR="00997334" w:rsidRPr="00997334" w:rsidRDefault="00AE21D4" w:rsidP="00A77970">
            <w:pPr>
              <w:jc w:val="center"/>
              <w:rPr>
                <w:rFonts w:eastAsia="Arial Unicode MS"/>
                <w:b/>
                <w:kern w:val="28"/>
                <w:sz w:val="18"/>
                <w:szCs w:val="18"/>
                <w:lang w:eastAsia="en-US"/>
              </w:rPr>
            </w:pPr>
            <w:r>
              <w:rPr>
                <w:rFonts w:eastAsia="Arial Unicode MS"/>
                <w:b/>
                <w:kern w:val="28"/>
                <w:sz w:val="18"/>
                <w:szCs w:val="18"/>
                <w:lang w:eastAsia="en-US"/>
              </w:rPr>
              <w:t>Anul 2018</w:t>
            </w:r>
          </w:p>
        </w:tc>
      </w:tr>
      <w:tr w:rsidR="00997334" w:rsidRPr="00997334" w:rsidTr="00997334">
        <w:trPr>
          <w:trHeight w:val="272"/>
        </w:trPr>
        <w:tc>
          <w:tcPr>
            <w:tcW w:w="1920" w:type="dxa"/>
            <w:vMerge/>
            <w:shd w:val="clear" w:color="auto" w:fill="E0E0E0"/>
            <w:vAlign w:val="center"/>
          </w:tcPr>
          <w:p w:rsidR="00997334" w:rsidRPr="00997334" w:rsidRDefault="00997334" w:rsidP="00A77970">
            <w:pPr>
              <w:jc w:val="center"/>
              <w:rPr>
                <w:rFonts w:eastAsia="Arial Unicode MS"/>
                <w:b/>
                <w:kern w:val="28"/>
                <w:sz w:val="18"/>
                <w:szCs w:val="18"/>
                <w:lang w:eastAsia="en-US"/>
              </w:rPr>
            </w:pPr>
          </w:p>
        </w:tc>
        <w:tc>
          <w:tcPr>
            <w:tcW w:w="690" w:type="dxa"/>
            <w:shd w:val="clear" w:color="auto" w:fill="E0E0E0"/>
            <w:vAlign w:val="center"/>
          </w:tcPr>
          <w:p w:rsidR="00997334" w:rsidRPr="00997334" w:rsidRDefault="00997334" w:rsidP="00A77970">
            <w:pPr>
              <w:jc w:val="center"/>
              <w:rPr>
                <w:rFonts w:eastAsia="Arial Unicode MS"/>
                <w:b/>
                <w:kern w:val="28"/>
                <w:sz w:val="18"/>
                <w:szCs w:val="18"/>
                <w:lang w:eastAsia="en-US"/>
              </w:rPr>
            </w:pPr>
            <w:r w:rsidRPr="00997334">
              <w:rPr>
                <w:b/>
                <w:kern w:val="28"/>
                <w:sz w:val="18"/>
                <w:szCs w:val="18"/>
                <w:lang w:eastAsia="en-US"/>
              </w:rPr>
              <w:t>ian.</w:t>
            </w:r>
            <w:r w:rsidRPr="00997334">
              <w:rPr>
                <w:b/>
                <w:kern w:val="28"/>
                <w:sz w:val="18"/>
                <w:szCs w:val="18"/>
                <w:vertAlign w:val="superscript"/>
                <w:lang w:eastAsia="en-US"/>
              </w:rPr>
              <w:t xml:space="preserve"> </w:t>
            </w:r>
          </w:p>
        </w:tc>
        <w:tc>
          <w:tcPr>
            <w:tcW w:w="691" w:type="dxa"/>
            <w:shd w:val="clear" w:color="auto" w:fill="E0E0E0"/>
            <w:vAlign w:val="center"/>
          </w:tcPr>
          <w:p w:rsidR="00997334" w:rsidRPr="00997334" w:rsidRDefault="00997334" w:rsidP="00A77970">
            <w:pPr>
              <w:jc w:val="center"/>
              <w:rPr>
                <w:rFonts w:eastAsia="Arial Unicode MS"/>
                <w:b/>
                <w:kern w:val="28"/>
                <w:sz w:val="18"/>
                <w:szCs w:val="18"/>
                <w:lang w:eastAsia="en-US"/>
              </w:rPr>
            </w:pPr>
            <w:r w:rsidRPr="00997334">
              <w:rPr>
                <w:b/>
                <w:kern w:val="28"/>
                <w:sz w:val="18"/>
                <w:szCs w:val="18"/>
                <w:lang w:eastAsia="en-US"/>
              </w:rPr>
              <w:t>feb.</w:t>
            </w:r>
          </w:p>
        </w:tc>
        <w:tc>
          <w:tcPr>
            <w:tcW w:w="690" w:type="dxa"/>
            <w:shd w:val="clear" w:color="auto" w:fill="E0E0E0"/>
            <w:vAlign w:val="center"/>
          </w:tcPr>
          <w:p w:rsidR="00997334" w:rsidRPr="00997334" w:rsidRDefault="00997334" w:rsidP="00A77970">
            <w:pPr>
              <w:jc w:val="center"/>
              <w:rPr>
                <w:rFonts w:eastAsia="Arial Unicode MS"/>
                <w:b/>
                <w:kern w:val="28"/>
                <w:sz w:val="18"/>
                <w:szCs w:val="18"/>
                <w:lang w:eastAsia="en-US"/>
              </w:rPr>
            </w:pPr>
            <w:r w:rsidRPr="00997334">
              <w:rPr>
                <w:b/>
                <w:kern w:val="28"/>
                <w:sz w:val="18"/>
                <w:szCs w:val="18"/>
                <w:lang w:eastAsia="en-US"/>
              </w:rPr>
              <w:t>mar.</w:t>
            </w:r>
          </w:p>
        </w:tc>
        <w:tc>
          <w:tcPr>
            <w:tcW w:w="691" w:type="dxa"/>
            <w:shd w:val="clear" w:color="auto" w:fill="E0E0E0"/>
            <w:vAlign w:val="center"/>
          </w:tcPr>
          <w:p w:rsidR="00997334" w:rsidRPr="00997334" w:rsidRDefault="00997334" w:rsidP="00A77970">
            <w:pPr>
              <w:jc w:val="center"/>
              <w:rPr>
                <w:rFonts w:eastAsia="Arial Unicode MS"/>
                <w:b/>
                <w:kern w:val="28"/>
                <w:sz w:val="18"/>
                <w:szCs w:val="18"/>
                <w:lang w:eastAsia="en-US"/>
              </w:rPr>
            </w:pPr>
            <w:r w:rsidRPr="00997334">
              <w:rPr>
                <w:b/>
                <w:kern w:val="28"/>
                <w:sz w:val="18"/>
                <w:szCs w:val="18"/>
                <w:lang w:eastAsia="en-US"/>
              </w:rPr>
              <w:t>apr.</w:t>
            </w:r>
          </w:p>
        </w:tc>
        <w:tc>
          <w:tcPr>
            <w:tcW w:w="690" w:type="dxa"/>
            <w:shd w:val="clear" w:color="auto" w:fill="E0E0E0"/>
            <w:vAlign w:val="center"/>
          </w:tcPr>
          <w:p w:rsidR="00997334" w:rsidRPr="00997334" w:rsidRDefault="00997334" w:rsidP="00A77970">
            <w:pPr>
              <w:jc w:val="center"/>
              <w:rPr>
                <w:rFonts w:eastAsia="Arial Unicode MS"/>
                <w:b/>
                <w:kern w:val="28"/>
                <w:sz w:val="18"/>
                <w:szCs w:val="18"/>
                <w:lang w:eastAsia="en-US"/>
              </w:rPr>
            </w:pPr>
            <w:r w:rsidRPr="00997334">
              <w:rPr>
                <w:b/>
                <w:kern w:val="28"/>
                <w:sz w:val="18"/>
                <w:szCs w:val="18"/>
                <w:lang w:eastAsia="en-US"/>
              </w:rPr>
              <w:t xml:space="preserve">mai </w:t>
            </w:r>
          </w:p>
        </w:tc>
        <w:tc>
          <w:tcPr>
            <w:tcW w:w="691" w:type="dxa"/>
            <w:shd w:val="clear" w:color="auto" w:fill="E0E0E0"/>
            <w:vAlign w:val="center"/>
          </w:tcPr>
          <w:p w:rsidR="00997334" w:rsidRPr="00997334" w:rsidRDefault="00997334" w:rsidP="00A77970">
            <w:pPr>
              <w:jc w:val="center"/>
              <w:rPr>
                <w:rFonts w:eastAsia="Arial Unicode MS"/>
                <w:b/>
                <w:kern w:val="28"/>
                <w:sz w:val="18"/>
                <w:szCs w:val="18"/>
                <w:lang w:eastAsia="en-US"/>
              </w:rPr>
            </w:pPr>
            <w:r w:rsidRPr="00997334">
              <w:rPr>
                <w:rFonts w:eastAsia="Arial Unicode MS"/>
                <w:b/>
                <w:kern w:val="28"/>
                <w:sz w:val="18"/>
                <w:szCs w:val="18"/>
                <w:lang w:eastAsia="en-US"/>
              </w:rPr>
              <w:t>iun.</w:t>
            </w:r>
          </w:p>
        </w:tc>
        <w:tc>
          <w:tcPr>
            <w:tcW w:w="690" w:type="dxa"/>
            <w:shd w:val="clear" w:color="auto" w:fill="E0E0E0"/>
            <w:vAlign w:val="center"/>
          </w:tcPr>
          <w:p w:rsidR="00997334" w:rsidRPr="00997334" w:rsidRDefault="00997334" w:rsidP="00A77970">
            <w:pPr>
              <w:jc w:val="center"/>
              <w:rPr>
                <w:rFonts w:eastAsia="Arial Unicode MS"/>
                <w:b/>
                <w:kern w:val="28"/>
                <w:sz w:val="18"/>
                <w:szCs w:val="18"/>
                <w:lang w:eastAsia="en-US"/>
              </w:rPr>
            </w:pPr>
            <w:r w:rsidRPr="00997334">
              <w:rPr>
                <w:rFonts w:eastAsia="Arial Unicode MS"/>
                <w:b/>
                <w:kern w:val="28"/>
                <w:sz w:val="18"/>
                <w:szCs w:val="18"/>
                <w:lang w:eastAsia="en-US"/>
              </w:rPr>
              <w:t>iul.</w:t>
            </w:r>
          </w:p>
        </w:tc>
        <w:tc>
          <w:tcPr>
            <w:tcW w:w="691" w:type="dxa"/>
            <w:shd w:val="clear" w:color="auto" w:fill="E0E0E0"/>
            <w:vAlign w:val="center"/>
          </w:tcPr>
          <w:p w:rsidR="00997334" w:rsidRPr="00997334" w:rsidRDefault="00997334" w:rsidP="00A77970">
            <w:pPr>
              <w:jc w:val="center"/>
              <w:rPr>
                <w:rFonts w:eastAsia="Arial Unicode MS"/>
                <w:b/>
                <w:kern w:val="28"/>
                <w:sz w:val="18"/>
                <w:szCs w:val="18"/>
                <w:lang w:eastAsia="en-US"/>
              </w:rPr>
            </w:pPr>
            <w:r w:rsidRPr="00997334">
              <w:rPr>
                <w:rFonts w:eastAsia="Arial Unicode MS"/>
                <w:b/>
                <w:kern w:val="28"/>
                <w:sz w:val="18"/>
                <w:szCs w:val="18"/>
                <w:lang w:eastAsia="en-US"/>
              </w:rPr>
              <w:t>aug.</w:t>
            </w:r>
          </w:p>
        </w:tc>
        <w:tc>
          <w:tcPr>
            <w:tcW w:w="690" w:type="dxa"/>
            <w:shd w:val="clear" w:color="auto" w:fill="E0E0E0"/>
            <w:vAlign w:val="center"/>
          </w:tcPr>
          <w:p w:rsidR="00997334" w:rsidRPr="00997334" w:rsidRDefault="00997334" w:rsidP="00A77970">
            <w:pPr>
              <w:jc w:val="center"/>
              <w:rPr>
                <w:rFonts w:eastAsia="Arial Unicode MS"/>
                <w:b/>
                <w:kern w:val="28"/>
                <w:sz w:val="18"/>
                <w:szCs w:val="18"/>
                <w:lang w:eastAsia="en-US"/>
              </w:rPr>
            </w:pPr>
            <w:r w:rsidRPr="00997334">
              <w:rPr>
                <w:b/>
                <w:kern w:val="28"/>
                <w:sz w:val="18"/>
                <w:szCs w:val="18"/>
                <w:lang w:eastAsia="en-US"/>
              </w:rPr>
              <w:t>sep.</w:t>
            </w:r>
          </w:p>
        </w:tc>
        <w:tc>
          <w:tcPr>
            <w:tcW w:w="691" w:type="dxa"/>
            <w:shd w:val="clear" w:color="auto" w:fill="E0E0E0"/>
            <w:vAlign w:val="center"/>
          </w:tcPr>
          <w:p w:rsidR="00997334" w:rsidRPr="00997334" w:rsidRDefault="00997334" w:rsidP="00A77970">
            <w:pPr>
              <w:jc w:val="center"/>
              <w:rPr>
                <w:rFonts w:eastAsia="Arial Unicode MS"/>
                <w:b/>
                <w:kern w:val="28"/>
                <w:sz w:val="18"/>
                <w:szCs w:val="18"/>
                <w:lang w:eastAsia="en-US"/>
              </w:rPr>
            </w:pPr>
            <w:r w:rsidRPr="00997334">
              <w:rPr>
                <w:b/>
                <w:kern w:val="28"/>
                <w:sz w:val="18"/>
                <w:szCs w:val="18"/>
                <w:lang w:eastAsia="en-US"/>
              </w:rPr>
              <w:t>oct.</w:t>
            </w:r>
          </w:p>
        </w:tc>
        <w:tc>
          <w:tcPr>
            <w:tcW w:w="690" w:type="dxa"/>
            <w:shd w:val="clear" w:color="auto" w:fill="E0E0E0"/>
            <w:vAlign w:val="center"/>
          </w:tcPr>
          <w:p w:rsidR="00997334" w:rsidRPr="00997334" w:rsidRDefault="00997334" w:rsidP="00A77970">
            <w:pPr>
              <w:jc w:val="center"/>
              <w:rPr>
                <w:rFonts w:eastAsia="Arial Unicode MS"/>
                <w:b/>
                <w:kern w:val="28"/>
                <w:sz w:val="18"/>
                <w:szCs w:val="18"/>
                <w:lang w:eastAsia="en-US"/>
              </w:rPr>
            </w:pPr>
            <w:r w:rsidRPr="00997334">
              <w:rPr>
                <w:rFonts w:eastAsia="Arial Unicode MS"/>
                <w:b/>
                <w:kern w:val="28"/>
                <w:sz w:val="18"/>
                <w:szCs w:val="18"/>
                <w:lang w:eastAsia="en-US"/>
              </w:rPr>
              <w:t>nov.</w:t>
            </w:r>
          </w:p>
        </w:tc>
        <w:tc>
          <w:tcPr>
            <w:tcW w:w="691" w:type="dxa"/>
            <w:shd w:val="clear" w:color="auto" w:fill="E0E0E0"/>
            <w:vAlign w:val="center"/>
          </w:tcPr>
          <w:p w:rsidR="00997334" w:rsidRPr="00997334" w:rsidRDefault="00997334" w:rsidP="00A77970">
            <w:pPr>
              <w:jc w:val="center"/>
              <w:rPr>
                <w:rFonts w:eastAsia="Arial Unicode MS"/>
                <w:b/>
                <w:kern w:val="28"/>
                <w:sz w:val="18"/>
                <w:szCs w:val="18"/>
                <w:lang w:eastAsia="en-US"/>
              </w:rPr>
            </w:pPr>
            <w:r w:rsidRPr="00997334">
              <w:rPr>
                <w:rFonts w:eastAsia="Arial Unicode MS"/>
                <w:b/>
                <w:kern w:val="28"/>
                <w:sz w:val="18"/>
                <w:szCs w:val="18"/>
                <w:lang w:eastAsia="en-US"/>
              </w:rPr>
              <w:t>dec.</w:t>
            </w:r>
          </w:p>
        </w:tc>
      </w:tr>
      <w:tr w:rsidR="00AE21D4" w:rsidRPr="00997334" w:rsidTr="00997334">
        <w:trPr>
          <w:trHeight w:val="272"/>
        </w:trPr>
        <w:tc>
          <w:tcPr>
            <w:tcW w:w="1920" w:type="dxa"/>
            <w:shd w:val="clear" w:color="auto" w:fill="auto"/>
            <w:vAlign w:val="center"/>
          </w:tcPr>
          <w:p w:rsidR="00AE21D4" w:rsidRPr="00997334" w:rsidRDefault="00AE21D4" w:rsidP="00A77970">
            <w:pPr>
              <w:ind w:left="113"/>
              <w:rPr>
                <w:b/>
                <w:kern w:val="28"/>
                <w:sz w:val="18"/>
                <w:szCs w:val="18"/>
                <w:lang w:eastAsia="en-US"/>
              </w:rPr>
            </w:pPr>
            <w:r w:rsidRPr="00997334">
              <w:rPr>
                <w:b/>
                <w:kern w:val="28"/>
                <w:sz w:val="18"/>
                <w:szCs w:val="18"/>
                <w:lang w:eastAsia="en-US"/>
              </w:rPr>
              <w:t>Mun</w:t>
            </w:r>
            <w:r>
              <w:rPr>
                <w:b/>
                <w:kern w:val="28"/>
                <w:sz w:val="18"/>
                <w:szCs w:val="18"/>
                <w:lang w:eastAsia="en-US"/>
              </w:rPr>
              <w:t>.</w:t>
            </w:r>
            <w:r w:rsidRPr="00997334">
              <w:rPr>
                <w:b/>
                <w:kern w:val="28"/>
                <w:sz w:val="18"/>
                <w:szCs w:val="18"/>
                <w:lang w:eastAsia="en-US"/>
              </w:rPr>
              <w:t xml:space="preserve"> Bucureşti - Total </w:t>
            </w:r>
          </w:p>
        </w:tc>
        <w:tc>
          <w:tcPr>
            <w:tcW w:w="690" w:type="dxa"/>
            <w:shd w:val="clear" w:color="auto" w:fill="auto"/>
            <w:tcMar>
              <w:right w:w="28" w:type="dxa"/>
            </w:tcMar>
            <w:vAlign w:val="center"/>
          </w:tcPr>
          <w:p w:rsidR="00AE21D4" w:rsidRPr="00B33FD2" w:rsidRDefault="00AE21D4" w:rsidP="008A7CF6">
            <w:pPr>
              <w:jc w:val="center"/>
              <w:rPr>
                <w:b/>
                <w:bCs/>
                <w:sz w:val="18"/>
                <w:szCs w:val="18"/>
              </w:rPr>
            </w:pPr>
            <w:r w:rsidRPr="00B33FD2">
              <w:rPr>
                <w:b/>
                <w:bCs/>
                <w:sz w:val="18"/>
                <w:szCs w:val="18"/>
              </w:rPr>
              <w:t>1,5</w:t>
            </w:r>
          </w:p>
        </w:tc>
        <w:tc>
          <w:tcPr>
            <w:tcW w:w="691" w:type="dxa"/>
            <w:shd w:val="clear" w:color="auto" w:fill="auto"/>
            <w:tcMar>
              <w:right w:w="28" w:type="dxa"/>
            </w:tcMar>
            <w:vAlign w:val="center"/>
          </w:tcPr>
          <w:p w:rsidR="00AE21D4" w:rsidRPr="00B33FD2" w:rsidRDefault="00AE21D4" w:rsidP="008A7CF6">
            <w:pPr>
              <w:jc w:val="center"/>
              <w:rPr>
                <w:b/>
                <w:bCs/>
                <w:sz w:val="18"/>
                <w:szCs w:val="18"/>
              </w:rPr>
            </w:pPr>
            <w:r w:rsidRPr="00B33FD2">
              <w:rPr>
                <w:b/>
                <w:bCs/>
                <w:sz w:val="18"/>
                <w:szCs w:val="18"/>
              </w:rPr>
              <w:t>1,5</w:t>
            </w:r>
          </w:p>
        </w:tc>
        <w:tc>
          <w:tcPr>
            <w:tcW w:w="690" w:type="dxa"/>
            <w:shd w:val="clear" w:color="auto" w:fill="auto"/>
            <w:tcMar>
              <w:right w:w="28" w:type="dxa"/>
            </w:tcMar>
            <w:vAlign w:val="center"/>
          </w:tcPr>
          <w:p w:rsidR="00AE21D4" w:rsidRPr="00B33FD2" w:rsidRDefault="00AE21D4" w:rsidP="008A7CF6">
            <w:pPr>
              <w:jc w:val="center"/>
              <w:rPr>
                <w:b/>
                <w:bCs/>
                <w:sz w:val="18"/>
                <w:szCs w:val="18"/>
              </w:rPr>
            </w:pPr>
            <w:r w:rsidRPr="00B33FD2">
              <w:rPr>
                <w:b/>
                <w:bCs/>
                <w:sz w:val="18"/>
                <w:szCs w:val="18"/>
              </w:rPr>
              <w:t>1,5</w:t>
            </w:r>
          </w:p>
        </w:tc>
        <w:tc>
          <w:tcPr>
            <w:tcW w:w="691" w:type="dxa"/>
            <w:shd w:val="clear" w:color="auto" w:fill="auto"/>
            <w:tcMar>
              <w:right w:w="28" w:type="dxa"/>
            </w:tcMar>
            <w:vAlign w:val="center"/>
          </w:tcPr>
          <w:p w:rsidR="00AE21D4" w:rsidRPr="00B33FD2" w:rsidRDefault="00AE21D4" w:rsidP="008A7CF6">
            <w:pPr>
              <w:jc w:val="center"/>
              <w:rPr>
                <w:b/>
                <w:bCs/>
                <w:sz w:val="18"/>
                <w:szCs w:val="18"/>
              </w:rPr>
            </w:pPr>
            <w:r w:rsidRPr="00B33FD2">
              <w:rPr>
                <w:b/>
                <w:bCs/>
                <w:sz w:val="18"/>
                <w:szCs w:val="18"/>
              </w:rPr>
              <w:t>1,5</w:t>
            </w:r>
          </w:p>
        </w:tc>
        <w:tc>
          <w:tcPr>
            <w:tcW w:w="690" w:type="dxa"/>
            <w:shd w:val="clear" w:color="auto" w:fill="auto"/>
            <w:tcMar>
              <w:right w:w="28" w:type="dxa"/>
            </w:tcMar>
            <w:vAlign w:val="center"/>
          </w:tcPr>
          <w:p w:rsidR="00AE21D4" w:rsidRPr="00B33FD2" w:rsidRDefault="00AE21D4" w:rsidP="008A7CF6">
            <w:pPr>
              <w:jc w:val="center"/>
              <w:rPr>
                <w:b/>
                <w:bCs/>
                <w:sz w:val="18"/>
                <w:szCs w:val="18"/>
              </w:rPr>
            </w:pPr>
            <w:r w:rsidRPr="00B33FD2">
              <w:rPr>
                <w:b/>
                <w:bCs/>
                <w:sz w:val="18"/>
                <w:szCs w:val="18"/>
              </w:rPr>
              <w:t>1,5</w:t>
            </w:r>
          </w:p>
        </w:tc>
        <w:tc>
          <w:tcPr>
            <w:tcW w:w="691" w:type="dxa"/>
            <w:shd w:val="clear" w:color="auto" w:fill="auto"/>
            <w:tcMar>
              <w:right w:w="28" w:type="dxa"/>
            </w:tcMar>
            <w:vAlign w:val="center"/>
          </w:tcPr>
          <w:p w:rsidR="00AE21D4" w:rsidRPr="00B33FD2" w:rsidRDefault="00AE21D4" w:rsidP="008A7CF6">
            <w:pPr>
              <w:jc w:val="center"/>
              <w:rPr>
                <w:b/>
                <w:bCs/>
                <w:sz w:val="18"/>
                <w:szCs w:val="18"/>
              </w:rPr>
            </w:pPr>
            <w:r w:rsidRPr="00B33FD2">
              <w:rPr>
                <w:b/>
                <w:bCs/>
                <w:sz w:val="18"/>
                <w:szCs w:val="18"/>
              </w:rPr>
              <w:t>1,5</w:t>
            </w:r>
          </w:p>
        </w:tc>
        <w:tc>
          <w:tcPr>
            <w:tcW w:w="690" w:type="dxa"/>
            <w:shd w:val="clear" w:color="auto" w:fill="auto"/>
            <w:tcMar>
              <w:right w:w="28" w:type="dxa"/>
            </w:tcMar>
            <w:vAlign w:val="center"/>
          </w:tcPr>
          <w:p w:rsidR="00AE21D4" w:rsidRPr="00B33FD2" w:rsidRDefault="00AE21D4" w:rsidP="008A7CF6">
            <w:pPr>
              <w:jc w:val="center"/>
              <w:rPr>
                <w:b/>
                <w:bCs/>
                <w:sz w:val="18"/>
                <w:szCs w:val="18"/>
              </w:rPr>
            </w:pPr>
            <w:r w:rsidRPr="00B33FD2">
              <w:rPr>
                <w:b/>
                <w:bCs/>
                <w:sz w:val="18"/>
                <w:szCs w:val="18"/>
              </w:rPr>
              <w:t>1,5</w:t>
            </w:r>
          </w:p>
        </w:tc>
        <w:tc>
          <w:tcPr>
            <w:tcW w:w="691" w:type="dxa"/>
            <w:shd w:val="clear" w:color="auto" w:fill="auto"/>
            <w:tcMar>
              <w:right w:w="28" w:type="dxa"/>
            </w:tcMar>
            <w:vAlign w:val="center"/>
          </w:tcPr>
          <w:p w:rsidR="00AE21D4" w:rsidRPr="00B33FD2" w:rsidRDefault="00AE21D4" w:rsidP="008A7CF6">
            <w:pPr>
              <w:jc w:val="center"/>
              <w:rPr>
                <w:b/>
                <w:bCs/>
                <w:sz w:val="18"/>
                <w:szCs w:val="18"/>
              </w:rPr>
            </w:pPr>
            <w:r w:rsidRPr="00B33FD2">
              <w:rPr>
                <w:b/>
                <w:bCs/>
                <w:sz w:val="18"/>
                <w:szCs w:val="18"/>
              </w:rPr>
              <w:t>1,5</w:t>
            </w:r>
          </w:p>
        </w:tc>
        <w:tc>
          <w:tcPr>
            <w:tcW w:w="690" w:type="dxa"/>
            <w:shd w:val="clear" w:color="auto" w:fill="auto"/>
            <w:tcMar>
              <w:right w:w="28" w:type="dxa"/>
            </w:tcMar>
            <w:vAlign w:val="center"/>
          </w:tcPr>
          <w:p w:rsidR="00AE21D4" w:rsidRPr="00B33FD2" w:rsidRDefault="00AE21D4" w:rsidP="008A7CF6">
            <w:pPr>
              <w:jc w:val="center"/>
              <w:rPr>
                <w:b/>
                <w:bCs/>
                <w:sz w:val="18"/>
                <w:szCs w:val="18"/>
              </w:rPr>
            </w:pPr>
            <w:r w:rsidRPr="00B33FD2">
              <w:rPr>
                <w:b/>
                <w:bCs/>
                <w:sz w:val="18"/>
                <w:szCs w:val="18"/>
              </w:rPr>
              <w:t>1,4</w:t>
            </w:r>
          </w:p>
        </w:tc>
        <w:tc>
          <w:tcPr>
            <w:tcW w:w="691" w:type="dxa"/>
            <w:shd w:val="clear" w:color="auto" w:fill="auto"/>
            <w:tcMar>
              <w:right w:w="28" w:type="dxa"/>
            </w:tcMar>
            <w:vAlign w:val="center"/>
          </w:tcPr>
          <w:p w:rsidR="00AE21D4" w:rsidRPr="00B33FD2" w:rsidRDefault="00AE21D4" w:rsidP="008A7CF6">
            <w:pPr>
              <w:jc w:val="center"/>
              <w:rPr>
                <w:b/>
                <w:bCs/>
                <w:sz w:val="18"/>
                <w:szCs w:val="18"/>
              </w:rPr>
            </w:pPr>
            <w:r w:rsidRPr="00B33FD2">
              <w:rPr>
                <w:b/>
                <w:bCs/>
                <w:sz w:val="18"/>
                <w:szCs w:val="18"/>
              </w:rPr>
              <w:t>1,4</w:t>
            </w:r>
          </w:p>
        </w:tc>
        <w:tc>
          <w:tcPr>
            <w:tcW w:w="690" w:type="dxa"/>
            <w:shd w:val="clear" w:color="auto" w:fill="auto"/>
            <w:tcMar>
              <w:right w:w="28" w:type="dxa"/>
            </w:tcMar>
            <w:vAlign w:val="center"/>
          </w:tcPr>
          <w:p w:rsidR="00AE21D4" w:rsidRPr="00B33FD2" w:rsidRDefault="00AE21D4" w:rsidP="008A7CF6">
            <w:pPr>
              <w:jc w:val="center"/>
              <w:rPr>
                <w:b/>
                <w:bCs/>
                <w:sz w:val="18"/>
                <w:szCs w:val="18"/>
              </w:rPr>
            </w:pPr>
            <w:r w:rsidRPr="00B33FD2">
              <w:rPr>
                <w:b/>
                <w:bCs/>
                <w:sz w:val="18"/>
                <w:szCs w:val="18"/>
              </w:rPr>
              <w:t>1,3</w:t>
            </w:r>
          </w:p>
        </w:tc>
        <w:tc>
          <w:tcPr>
            <w:tcW w:w="691" w:type="dxa"/>
            <w:shd w:val="clear" w:color="auto" w:fill="auto"/>
            <w:tcMar>
              <w:right w:w="28" w:type="dxa"/>
            </w:tcMar>
            <w:vAlign w:val="center"/>
          </w:tcPr>
          <w:p w:rsidR="00AE21D4" w:rsidRPr="00B33FD2" w:rsidRDefault="00AE21D4" w:rsidP="008A7CF6">
            <w:pPr>
              <w:jc w:val="center"/>
              <w:rPr>
                <w:b/>
                <w:bCs/>
                <w:sz w:val="18"/>
                <w:szCs w:val="18"/>
              </w:rPr>
            </w:pPr>
            <w:r w:rsidRPr="00B33FD2">
              <w:rPr>
                <w:b/>
                <w:bCs/>
                <w:sz w:val="18"/>
                <w:szCs w:val="18"/>
              </w:rPr>
              <w:t>1,3</w:t>
            </w:r>
          </w:p>
        </w:tc>
      </w:tr>
      <w:tr w:rsidR="00AE21D4" w:rsidRPr="00997334" w:rsidTr="00997334">
        <w:trPr>
          <w:trHeight w:val="272"/>
        </w:trPr>
        <w:tc>
          <w:tcPr>
            <w:tcW w:w="1920" w:type="dxa"/>
            <w:shd w:val="clear" w:color="auto" w:fill="auto"/>
            <w:vAlign w:val="center"/>
          </w:tcPr>
          <w:p w:rsidR="00AE21D4" w:rsidRPr="00997334" w:rsidRDefault="00AE21D4" w:rsidP="00A77970">
            <w:pPr>
              <w:ind w:left="113"/>
              <w:rPr>
                <w:kern w:val="28"/>
                <w:sz w:val="18"/>
                <w:szCs w:val="18"/>
                <w:lang w:eastAsia="en-US"/>
              </w:rPr>
            </w:pPr>
            <w:r w:rsidRPr="00997334">
              <w:rPr>
                <w:kern w:val="28"/>
                <w:sz w:val="18"/>
                <w:szCs w:val="18"/>
                <w:lang w:eastAsia="en-US"/>
              </w:rPr>
              <w:t>Bărbaţi</w:t>
            </w:r>
          </w:p>
        </w:tc>
        <w:tc>
          <w:tcPr>
            <w:tcW w:w="690" w:type="dxa"/>
            <w:shd w:val="clear" w:color="auto" w:fill="auto"/>
            <w:tcMar>
              <w:right w:w="28" w:type="dxa"/>
            </w:tcMar>
            <w:vAlign w:val="center"/>
          </w:tcPr>
          <w:p w:rsidR="00AE21D4" w:rsidRPr="00B33FD2" w:rsidRDefault="00AE21D4" w:rsidP="008A7CF6">
            <w:pPr>
              <w:jc w:val="center"/>
              <w:rPr>
                <w:sz w:val="18"/>
                <w:szCs w:val="18"/>
              </w:rPr>
            </w:pPr>
            <w:r w:rsidRPr="00B33FD2">
              <w:rPr>
                <w:sz w:val="18"/>
                <w:szCs w:val="18"/>
              </w:rPr>
              <w:t>1,5</w:t>
            </w:r>
          </w:p>
        </w:tc>
        <w:tc>
          <w:tcPr>
            <w:tcW w:w="691" w:type="dxa"/>
            <w:shd w:val="clear" w:color="auto" w:fill="auto"/>
            <w:tcMar>
              <w:right w:w="28" w:type="dxa"/>
            </w:tcMar>
            <w:vAlign w:val="center"/>
          </w:tcPr>
          <w:p w:rsidR="00AE21D4" w:rsidRPr="00B33FD2" w:rsidRDefault="00AE21D4" w:rsidP="008A7CF6">
            <w:pPr>
              <w:jc w:val="center"/>
              <w:rPr>
                <w:sz w:val="18"/>
                <w:szCs w:val="18"/>
              </w:rPr>
            </w:pPr>
            <w:r w:rsidRPr="00B33FD2">
              <w:rPr>
                <w:sz w:val="18"/>
                <w:szCs w:val="18"/>
              </w:rPr>
              <w:t>1,5</w:t>
            </w:r>
          </w:p>
        </w:tc>
        <w:tc>
          <w:tcPr>
            <w:tcW w:w="690" w:type="dxa"/>
            <w:shd w:val="clear" w:color="auto" w:fill="auto"/>
            <w:tcMar>
              <w:right w:w="28" w:type="dxa"/>
            </w:tcMar>
            <w:vAlign w:val="center"/>
          </w:tcPr>
          <w:p w:rsidR="00AE21D4" w:rsidRPr="00B33FD2" w:rsidRDefault="00AE21D4" w:rsidP="008A7CF6">
            <w:pPr>
              <w:jc w:val="center"/>
              <w:rPr>
                <w:sz w:val="18"/>
                <w:szCs w:val="18"/>
              </w:rPr>
            </w:pPr>
            <w:r w:rsidRPr="00B33FD2">
              <w:rPr>
                <w:sz w:val="18"/>
                <w:szCs w:val="18"/>
              </w:rPr>
              <w:t>1,4</w:t>
            </w:r>
          </w:p>
        </w:tc>
        <w:tc>
          <w:tcPr>
            <w:tcW w:w="691" w:type="dxa"/>
            <w:shd w:val="clear" w:color="auto" w:fill="auto"/>
            <w:tcMar>
              <w:right w:w="28" w:type="dxa"/>
            </w:tcMar>
            <w:vAlign w:val="center"/>
          </w:tcPr>
          <w:p w:rsidR="00AE21D4" w:rsidRPr="00B33FD2" w:rsidRDefault="00AE21D4" w:rsidP="008A7CF6">
            <w:pPr>
              <w:jc w:val="center"/>
              <w:rPr>
                <w:sz w:val="18"/>
                <w:szCs w:val="18"/>
              </w:rPr>
            </w:pPr>
            <w:r w:rsidRPr="00B33FD2">
              <w:rPr>
                <w:sz w:val="18"/>
                <w:szCs w:val="18"/>
              </w:rPr>
              <w:t>1,4</w:t>
            </w:r>
          </w:p>
        </w:tc>
        <w:tc>
          <w:tcPr>
            <w:tcW w:w="690" w:type="dxa"/>
            <w:shd w:val="clear" w:color="auto" w:fill="auto"/>
            <w:tcMar>
              <w:right w:w="28" w:type="dxa"/>
            </w:tcMar>
            <w:vAlign w:val="center"/>
          </w:tcPr>
          <w:p w:rsidR="00AE21D4" w:rsidRPr="00B33FD2" w:rsidRDefault="00AE21D4" w:rsidP="008A7CF6">
            <w:pPr>
              <w:jc w:val="center"/>
              <w:rPr>
                <w:sz w:val="18"/>
                <w:szCs w:val="18"/>
              </w:rPr>
            </w:pPr>
            <w:r w:rsidRPr="00B33FD2">
              <w:rPr>
                <w:sz w:val="18"/>
                <w:szCs w:val="18"/>
              </w:rPr>
              <w:t>1,4</w:t>
            </w:r>
          </w:p>
        </w:tc>
        <w:tc>
          <w:tcPr>
            <w:tcW w:w="691" w:type="dxa"/>
            <w:shd w:val="clear" w:color="auto" w:fill="auto"/>
            <w:tcMar>
              <w:right w:w="28" w:type="dxa"/>
            </w:tcMar>
            <w:vAlign w:val="center"/>
          </w:tcPr>
          <w:p w:rsidR="00AE21D4" w:rsidRPr="00B33FD2" w:rsidRDefault="00AE21D4" w:rsidP="008A7CF6">
            <w:pPr>
              <w:jc w:val="center"/>
              <w:rPr>
                <w:sz w:val="18"/>
                <w:szCs w:val="18"/>
              </w:rPr>
            </w:pPr>
            <w:r w:rsidRPr="00B33FD2">
              <w:rPr>
                <w:sz w:val="18"/>
                <w:szCs w:val="18"/>
              </w:rPr>
              <w:t>1,4</w:t>
            </w:r>
          </w:p>
        </w:tc>
        <w:tc>
          <w:tcPr>
            <w:tcW w:w="690" w:type="dxa"/>
            <w:shd w:val="clear" w:color="auto" w:fill="auto"/>
            <w:tcMar>
              <w:right w:w="28" w:type="dxa"/>
            </w:tcMar>
            <w:vAlign w:val="center"/>
          </w:tcPr>
          <w:p w:rsidR="00AE21D4" w:rsidRPr="00B33FD2" w:rsidRDefault="00AE21D4" w:rsidP="008A7CF6">
            <w:pPr>
              <w:jc w:val="center"/>
              <w:rPr>
                <w:sz w:val="18"/>
                <w:szCs w:val="18"/>
              </w:rPr>
            </w:pPr>
            <w:r w:rsidRPr="00B33FD2">
              <w:rPr>
                <w:sz w:val="18"/>
                <w:szCs w:val="18"/>
              </w:rPr>
              <w:t>1,4</w:t>
            </w:r>
          </w:p>
        </w:tc>
        <w:tc>
          <w:tcPr>
            <w:tcW w:w="691" w:type="dxa"/>
            <w:shd w:val="clear" w:color="auto" w:fill="auto"/>
            <w:tcMar>
              <w:right w:w="28" w:type="dxa"/>
            </w:tcMar>
            <w:vAlign w:val="center"/>
          </w:tcPr>
          <w:p w:rsidR="00AE21D4" w:rsidRPr="00B33FD2" w:rsidRDefault="00AE21D4" w:rsidP="008A7CF6">
            <w:pPr>
              <w:jc w:val="center"/>
              <w:rPr>
                <w:sz w:val="18"/>
                <w:szCs w:val="18"/>
              </w:rPr>
            </w:pPr>
            <w:r w:rsidRPr="00B33FD2">
              <w:rPr>
                <w:sz w:val="18"/>
                <w:szCs w:val="18"/>
              </w:rPr>
              <w:t>1,4</w:t>
            </w:r>
          </w:p>
        </w:tc>
        <w:tc>
          <w:tcPr>
            <w:tcW w:w="690" w:type="dxa"/>
            <w:shd w:val="clear" w:color="auto" w:fill="auto"/>
            <w:tcMar>
              <w:right w:w="28" w:type="dxa"/>
            </w:tcMar>
            <w:vAlign w:val="center"/>
          </w:tcPr>
          <w:p w:rsidR="00AE21D4" w:rsidRPr="00B33FD2" w:rsidRDefault="00AE21D4" w:rsidP="008A7CF6">
            <w:pPr>
              <w:jc w:val="center"/>
              <w:rPr>
                <w:sz w:val="18"/>
                <w:szCs w:val="18"/>
              </w:rPr>
            </w:pPr>
            <w:r w:rsidRPr="00B33FD2">
              <w:rPr>
                <w:sz w:val="18"/>
                <w:szCs w:val="18"/>
              </w:rPr>
              <w:t>1,4</w:t>
            </w:r>
          </w:p>
        </w:tc>
        <w:tc>
          <w:tcPr>
            <w:tcW w:w="691" w:type="dxa"/>
            <w:shd w:val="clear" w:color="auto" w:fill="auto"/>
            <w:tcMar>
              <w:right w:w="28" w:type="dxa"/>
            </w:tcMar>
            <w:vAlign w:val="center"/>
          </w:tcPr>
          <w:p w:rsidR="00AE21D4" w:rsidRPr="00B33FD2" w:rsidRDefault="00AE21D4" w:rsidP="008A7CF6">
            <w:pPr>
              <w:jc w:val="center"/>
              <w:rPr>
                <w:sz w:val="18"/>
                <w:szCs w:val="18"/>
              </w:rPr>
            </w:pPr>
            <w:r w:rsidRPr="00B33FD2">
              <w:rPr>
                <w:sz w:val="18"/>
                <w:szCs w:val="18"/>
              </w:rPr>
              <w:t>1,2</w:t>
            </w:r>
          </w:p>
        </w:tc>
        <w:tc>
          <w:tcPr>
            <w:tcW w:w="690" w:type="dxa"/>
            <w:shd w:val="clear" w:color="auto" w:fill="auto"/>
            <w:tcMar>
              <w:right w:w="28" w:type="dxa"/>
            </w:tcMar>
            <w:vAlign w:val="center"/>
          </w:tcPr>
          <w:p w:rsidR="00AE21D4" w:rsidRPr="00B33FD2" w:rsidRDefault="00AE21D4" w:rsidP="008A7CF6">
            <w:pPr>
              <w:jc w:val="center"/>
              <w:rPr>
                <w:sz w:val="18"/>
                <w:szCs w:val="18"/>
              </w:rPr>
            </w:pPr>
            <w:r w:rsidRPr="00B33FD2">
              <w:rPr>
                <w:sz w:val="18"/>
                <w:szCs w:val="18"/>
              </w:rPr>
              <w:t>1,2</w:t>
            </w:r>
          </w:p>
        </w:tc>
        <w:tc>
          <w:tcPr>
            <w:tcW w:w="691" w:type="dxa"/>
            <w:shd w:val="clear" w:color="auto" w:fill="auto"/>
            <w:tcMar>
              <w:right w:w="28" w:type="dxa"/>
            </w:tcMar>
            <w:vAlign w:val="center"/>
          </w:tcPr>
          <w:p w:rsidR="00AE21D4" w:rsidRPr="00B33FD2" w:rsidRDefault="00AE21D4" w:rsidP="008A7CF6">
            <w:pPr>
              <w:jc w:val="center"/>
              <w:rPr>
                <w:sz w:val="18"/>
                <w:szCs w:val="18"/>
              </w:rPr>
            </w:pPr>
            <w:r w:rsidRPr="00B33FD2">
              <w:rPr>
                <w:sz w:val="18"/>
                <w:szCs w:val="18"/>
              </w:rPr>
              <w:t>1,2</w:t>
            </w:r>
          </w:p>
        </w:tc>
      </w:tr>
      <w:tr w:rsidR="00AE21D4" w:rsidRPr="00997334" w:rsidTr="00997334">
        <w:trPr>
          <w:trHeight w:val="272"/>
        </w:trPr>
        <w:tc>
          <w:tcPr>
            <w:tcW w:w="1920" w:type="dxa"/>
            <w:shd w:val="clear" w:color="auto" w:fill="auto"/>
            <w:vAlign w:val="center"/>
          </w:tcPr>
          <w:p w:rsidR="00AE21D4" w:rsidRPr="00997334" w:rsidRDefault="00AE21D4" w:rsidP="00A77970">
            <w:pPr>
              <w:ind w:left="113"/>
              <w:rPr>
                <w:rFonts w:eastAsia="Arial Unicode MS"/>
                <w:kern w:val="28"/>
                <w:sz w:val="18"/>
                <w:szCs w:val="18"/>
                <w:lang w:eastAsia="en-US"/>
              </w:rPr>
            </w:pPr>
            <w:r w:rsidRPr="00997334">
              <w:rPr>
                <w:kern w:val="28"/>
                <w:sz w:val="18"/>
                <w:szCs w:val="18"/>
                <w:lang w:eastAsia="en-US"/>
              </w:rPr>
              <w:t>Femei</w:t>
            </w:r>
          </w:p>
        </w:tc>
        <w:tc>
          <w:tcPr>
            <w:tcW w:w="690" w:type="dxa"/>
            <w:shd w:val="clear" w:color="auto" w:fill="auto"/>
            <w:tcMar>
              <w:right w:w="28" w:type="dxa"/>
            </w:tcMar>
            <w:vAlign w:val="center"/>
          </w:tcPr>
          <w:p w:rsidR="00AE21D4" w:rsidRPr="00B33FD2" w:rsidRDefault="00AE21D4" w:rsidP="008A7CF6">
            <w:pPr>
              <w:jc w:val="center"/>
              <w:rPr>
                <w:sz w:val="18"/>
                <w:szCs w:val="18"/>
              </w:rPr>
            </w:pPr>
            <w:r w:rsidRPr="00B33FD2">
              <w:rPr>
                <w:sz w:val="18"/>
                <w:szCs w:val="18"/>
              </w:rPr>
              <w:t>1,6</w:t>
            </w:r>
          </w:p>
        </w:tc>
        <w:tc>
          <w:tcPr>
            <w:tcW w:w="691" w:type="dxa"/>
            <w:shd w:val="clear" w:color="auto" w:fill="auto"/>
            <w:tcMar>
              <w:right w:w="28" w:type="dxa"/>
            </w:tcMar>
            <w:vAlign w:val="center"/>
          </w:tcPr>
          <w:p w:rsidR="00AE21D4" w:rsidRPr="00B33FD2" w:rsidRDefault="00AE21D4" w:rsidP="008A7CF6">
            <w:pPr>
              <w:jc w:val="center"/>
              <w:rPr>
                <w:sz w:val="18"/>
                <w:szCs w:val="18"/>
              </w:rPr>
            </w:pPr>
            <w:r w:rsidRPr="00B33FD2">
              <w:rPr>
                <w:sz w:val="18"/>
                <w:szCs w:val="18"/>
              </w:rPr>
              <w:t>1,6</w:t>
            </w:r>
          </w:p>
        </w:tc>
        <w:tc>
          <w:tcPr>
            <w:tcW w:w="690" w:type="dxa"/>
            <w:shd w:val="clear" w:color="auto" w:fill="auto"/>
            <w:tcMar>
              <w:right w:w="28" w:type="dxa"/>
            </w:tcMar>
            <w:vAlign w:val="center"/>
          </w:tcPr>
          <w:p w:rsidR="00AE21D4" w:rsidRPr="00B33FD2" w:rsidRDefault="00AE21D4" w:rsidP="008A7CF6">
            <w:pPr>
              <w:jc w:val="center"/>
              <w:rPr>
                <w:sz w:val="18"/>
                <w:szCs w:val="18"/>
              </w:rPr>
            </w:pPr>
            <w:r w:rsidRPr="00B33FD2">
              <w:rPr>
                <w:sz w:val="18"/>
                <w:szCs w:val="18"/>
              </w:rPr>
              <w:t>1,6</w:t>
            </w:r>
          </w:p>
        </w:tc>
        <w:tc>
          <w:tcPr>
            <w:tcW w:w="691" w:type="dxa"/>
            <w:shd w:val="clear" w:color="auto" w:fill="auto"/>
            <w:tcMar>
              <w:right w:w="28" w:type="dxa"/>
            </w:tcMar>
            <w:vAlign w:val="center"/>
          </w:tcPr>
          <w:p w:rsidR="00AE21D4" w:rsidRPr="00B33FD2" w:rsidRDefault="00AE21D4" w:rsidP="008A7CF6">
            <w:pPr>
              <w:jc w:val="center"/>
              <w:rPr>
                <w:sz w:val="18"/>
                <w:szCs w:val="18"/>
              </w:rPr>
            </w:pPr>
            <w:r w:rsidRPr="00B33FD2">
              <w:rPr>
                <w:sz w:val="18"/>
                <w:szCs w:val="18"/>
              </w:rPr>
              <w:t>1,6</w:t>
            </w:r>
          </w:p>
        </w:tc>
        <w:tc>
          <w:tcPr>
            <w:tcW w:w="690" w:type="dxa"/>
            <w:shd w:val="clear" w:color="auto" w:fill="auto"/>
            <w:tcMar>
              <w:right w:w="28" w:type="dxa"/>
            </w:tcMar>
            <w:vAlign w:val="center"/>
          </w:tcPr>
          <w:p w:rsidR="00AE21D4" w:rsidRPr="00B33FD2" w:rsidRDefault="00AE21D4" w:rsidP="008A7CF6">
            <w:pPr>
              <w:jc w:val="center"/>
              <w:rPr>
                <w:sz w:val="18"/>
                <w:szCs w:val="18"/>
              </w:rPr>
            </w:pPr>
            <w:r w:rsidRPr="00B33FD2">
              <w:rPr>
                <w:sz w:val="18"/>
                <w:szCs w:val="18"/>
              </w:rPr>
              <w:t>1,6</w:t>
            </w:r>
          </w:p>
        </w:tc>
        <w:tc>
          <w:tcPr>
            <w:tcW w:w="691" w:type="dxa"/>
            <w:shd w:val="clear" w:color="auto" w:fill="auto"/>
            <w:tcMar>
              <w:right w:w="28" w:type="dxa"/>
            </w:tcMar>
            <w:vAlign w:val="center"/>
          </w:tcPr>
          <w:p w:rsidR="00AE21D4" w:rsidRPr="00B33FD2" w:rsidRDefault="00AE21D4" w:rsidP="008A7CF6">
            <w:pPr>
              <w:jc w:val="center"/>
              <w:rPr>
                <w:sz w:val="18"/>
                <w:szCs w:val="18"/>
              </w:rPr>
            </w:pPr>
            <w:r w:rsidRPr="00B33FD2">
              <w:rPr>
                <w:sz w:val="18"/>
                <w:szCs w:val="18"/>
              </w:rPr>
              <w:t>1,6</w:t>
            </w:r>
          </w:p>
        </w:tc>
        <w:tc>
          <w:tcPr>
            <w:tcW w:w="690" w:type="dxa"/>
            <w:shd w:val="clear" w:color="auto" w:fill="auto"/>
            <w:tcMar>
              <w:right w:w="28" w:type="dxa"/>
            </w:tcMar>
            <w:vAlign w:val="center"/>
          </w:tcPr>
          <w:p w:rsidR="00AE21D4" w:rsidRPr="00B33FD2" w:rsidRDefault="00AE21D4" w:rsidP="008A7CF6">
            <w:pPr>
              <w:jc w:val="center"/>
              <w:rPr>
                <w:sz w:val="18"/>
                <w:szCs w:val="18"/>
              </w:rPr>
            </w:pPr>
            <w:r w:rsidRPr="00B33FD2">
              <w:rPr>
                <w:sz w:val="18"/>
                <w:szCs w:val="18"/>
              </w:rPr>
              <w:t>1,6</w:t>
            </w:r>
          </w:p>
        </w:tc>
        <w:tc>
          <w:tcPr>
            <w:tcW w:w="691" w:type="dxa"/>
            <w:shd w:val="clear" w:color="auto" w:fill="auto"/>
            <w:tcMar>
              <w:right w:w="28" w:type="dxa"/>
            </w:tcMar>
            <w:vAlign w:val="center"/>
          </w:tcPr>
          <w:p w:rsidR="00AE21D4" w:rsidRPr="00B33FD2" w:rsidRDefault="00AE21D4" w:rsidP="008A7CF6">
            <w:pPr>
              <w:jc w:val="center"/>
              <w:rPr>
                <w:sz w:val="18"/>
                <w:szCs w:val="18"/>
              </w:rPr>
            </w:pPr>
            <w:r w:rsidRPr="00B33FD2">
              <w:rPr>
                <w:sz w:val="18"/>
                <w:szCs w:val="18"/>
              </w:rPr>
              <w:t>1,6</w:t>
            </w:r>
          </w:p>
        </w:tc>
        <w:tc>
          <w:tcPr>
            <w:tcW w:w="690" w:type="dxa"/>
            <w:shd w:val="clear" w:color="auto" w:fill="auto"/>
            <w:tcMar>
              <w:right w:w="28" w:type="dxa"/>
            </w:tcMar>
            <w:vAlign w:val="center"/>
          </w:tcPr>
          <w:p w:rsidR="00AE21D4" w:rsidRPr="00B33FD2" w:rsidRDefault="00AE21D4" w:rsidP="008A7CF6">
            <w:pPr>
              <w:jc w:val="center"/>
              <w:rPr>
                <w:sz w:val="18"/>
                <w:szCs w:val="18"/>
              </w:rPr>
            </w:pPr>
            <w:r w:rsidRPr="00B33FD2">
              <w:rPr>
                <w:sz w:val="18"/>
                <w:szCs w:val="18"/>
              </w:rPr>
              <w:t>1,5</w:t>
            </w:r>
          </w:p>
        </w:tc>
        <w:tc>
          <w:tcPr>
            <w:tcW w:w="691" w:type="dxa"/>
            <w:shd w:val="clear" w:color="auto" w:fill="auto"/>
            <w:tcMar>
              <w:right w:w="28" w:type="dxa"/>
            </w:tcMar>
            <w:vAlign w:val="center"/>
          </w:tcPr>
          <w:p w:rsidR="00AE21D4" w:rsidRPr="00B33FD2" w:rsidRDefault="00AE21D4" w:rsidP="008A7CF6">
            <w:pPr>
              <w:jc w:val="center"/>
              <w:rPr>
                <w:sz w:val="18"/>
                <w:szCs w:val="18"/>
              </w:rPr>
            </w:pPr>
            <w:r w:rsidRPr="00B33FD2">
              <w:rPr>
                <w:sz w:val="18"/>
                <w:szCs w:val="18"/>
              </w:rPr>
              <w:t>1,5</w:t>
            </w:r>
          </w:p>
        </w:tc>
        <w:tc>
          <w:tcPr>
            <w:tcW w:w="690" w:type="dxa"/>
            <w:shd w:val="clear" w:color="auto" w:fill="auto"/>
            <w:tcMar>
              <w:right w:w="28" w:type="dxa"/>
            </w:tcMar>
            <w:vAlign w:val="center"/>
          </w:tcPr>
          <w:p w:rsidR="00AE21D4" w:rsidRPr="00B33FD2" w:rsidRDefault="00AE21D4" w:rsidP="008A7CF6">
            <w:pPr>
              <w:jc w:val="center"/>
              <w:rPr>
                <w:sz w:val="18"/>
                <w:szCs w:val="18"/>
              </w:rPr>
            </w:pPr>
            <w:r w:rsidRPr="00B33FD2">
              <w:rPr>
                <w:sz w:val="18"/>
                <w:szCs w:val="18"/>
              </w:rPr>
              <w:t>1,5</w:t>
            </w:r>
          </w:p>
        </w:tc>
        <w:tc>
          <w:tcPr>
            <w:tcW w:w="691" w:type="dxa"/>
            <w:shd w:val="clear" w:color="auto" w:fill="auto"/>
            <w:tcMar>
              <w:right w:w="28" w:type="dxa"/>
            </w:tcMar>
            <w:vAlign w:val="center"/>
          </w:tcPr>
          <w:p w:rsidR="00AE21D4" w:rsidRPr="00B33FD2" w:rsidRDefault="00AE21D4" w:rsidP="008A7CF6">
            <w:pPr>
              <w:jc w:val="center"/>
              <w:rPr>
                <w:sz w:val="18"/>
                <w:szCs w:val="18"/>
              </w:rPr>
            </w:pPr>
            <w:r w:rsidRPr="00B33FD2">
              <w:rPr>
                <w:sz w:val="18"/>
                <w:szCs w:val="18"/>
              </w:rPr>
              <w:t>1,4</w:t>
            </w:r>
          </w:p>
        </w:tc>
      </w:tr>
    </w:tbl>
    <w:p w:rsidR="00997334" w:rsidRPr="00562DDF" w:rsidRDefault="00562DDF" w:rsidP="00A77970">
      <w:pPr>
        <w:rPr>
          <w:kern w:val="28"/>
          <w:lang w:eastAsia="en-US"/>
        </w:rPr>
      </w:pPr>
      <w:r>
        <w:rPr>
          <w:b/>
          <w:kern w:val="28"/>
          <w:lang w:eastAsia="en-US"/>
        </w:rPr>
        <w:tab/>
      </w:r>
      <w:r w:rsidR="00997334" w:rsidRPr="00562DDF">
        <w:rPr>
          <w:b/>
          <w:kern w:val="28"/>
          <w:lang w:eastAsia="en-US"/>
        </w:rPr>
        <w:t xml:space="preserve">Notă: </w:t>
      </w:r>
      <w:r w:rsidR="00997334" w:rsidRPr="00562DDF">
        <w:rPr>
          <w:kern w:val="28"/>
          <w:vertAlign w:val="superscript"/>
          <w:lang w:eastAsia="en-US"/>
        </w:rPr>
        <w:t xml:space="preserve"> </w:t>
      </w:r>
      <w:r w:rsidR="00997334" w:rsidRPr="00562DDF">
        <w:rPr>
          <w:kern w:val="28"/>
          <w:lang w:eastAsia="en-US"/>
        </w:rPr>
        <w:t>Ratele au fost calculate cu populaţia activă civilă la 01.01.201</w:t>
      </w:r>
      <w:r w:rsidR="00AE21D4">
        <w:rPr>
          <w:kern w:val="28"/>
          <w:lang w:eastAsia="en-US"/>
        </w:rPr>
        <w:t>8</w:t>
      </w:r>
      <w:r w:rsidR="00997334" w:rsidRPr="00562DDF">
        <w:rPr>
          <w:kern w:val="28"/>
          <w:lang w:eastAsia="en-US"/>
        </w:rPr>
        <w:t>.</w:t>
      </w:r>
      <w:r w:rsidR="0042550A" w:rsidRPr="00562DDF">
        <w:rPr>
          <w:kern w:val="28"/>
          <w:lang w:eastAsia="en-US"/>
        </w:rPr>
        <w:t xml:space="preserve"> </w:t>
      </w:r>
    </w:p>
    <w:p w:rsidR="005459DA" w:rsidRDefault="0042550A" w:rsidP="00A77970">
      <w:pPr>
        <w:contextualSpacing/>
        <w:jc w:val="both"/>
        <w:rPr>
          <w:rFonts w:eastAsia="MS Mincho"/>
          <w:b/>
          <w:lang w:val="en-US" w:eastAsia="en-US"/>
        </w:rPr>
      </w:pPr>
      <w:r w:rsidRPr="00562DDF">
        <w:rPr>
          <w:rFonts w:eastAsia="MS Mincho"/>
          <w:b/>
          <w:lang w:val="en-US" w:eastAsia="en-US"/>
        </w:rPr>
        <w:tab/>
      </w:r>
    </w:p>
    <w:p w:rsidR="0053067B" w:rsidRDefault="0053067B" w:rsidP="00A77970">
      <w:pPr>
        <w:jc w:val="both"/>
        <w:rPr>
          <w:b/>
          <w:lang w:val="it-IT" w:eastAsia="en-US"/>
        </w:rPr>
      </w:pPr>
      <w:r w:rsidRPr="0053067B">
        <w:rPr>
          <w:b/>
          <w:lang w:val="it-IT" w:eastAsia="en-US"/>
        </w:rPr>
        <w:t>Principalele realizări ale Casei de Pensii a Municipiului București</w:t>
      </w:r>
    </w:p>
    <w:p w:rsidR="00976799" w:rsidRDefault="00976799" w:rsidP="00A77970">
      <w:pPr>
        <w:jc w:val="both"/>
        <w:rPr>
          <w:lang w:val="it-IT" w:eastAsia="en-US"/>
        </w:rPr>
      </w:pPr>
    </w:p>
    <w:p w:rsidR="00976799" w:rsidRDefault="00976799" w:rsidP="00976799">
      <w:pPr>
        <w:jc w:val="both"/>
        <w:rPr>
          <w:lang w:val="it-IT" w:eastAsia="en-US"/>
        </w:rPr>
      </w:pPr>
      <w:r>
        <w:rPr>
          <w:lang w:val="it-IT" w:eastAsia="en-US"/>
        </w:rPr>
        <w:tab/>
      </w:r>
      <w:r w:rsidRPr="00976799">
        <w:rPr>
          <w:lang w:val="it-IT" w:eastAsia="en-US"/>
        </w:rPr>
        <w:t>Indica</w:t>
      </w:r>
      <w:r>
        <w:rPr>
          <w:lang w:val="it-IT" w:eastAsia="en-US"/>
        </w:rPr>
        <w:t>torii de performanţă</w:t>
      </w:r>
      <w:r w:rsidRPr="00976799">
        <w:rPr>
          <w:lang w:val="it-IT" w:eastAsia="en-US"/>
        </w:rPr>
        <w:t xml:space="preserve"> au fost realizaţi prin atingerea valorii stabilite ca ţintă pentru anul 2018, excepţie reprezentând indicatorul “Ponderea debitelor în totalul cheltuielilor cu prestaţiile”, care a fost </w:t>
      </w:r>
      <w:r>
        <w:rPr>
          <w:lang w:val="it-IT" w:eastAsia="en-US"/>
        </w:rPr>
        <w:t xml:space="preserve">îndeplinit în proporţie de 90%. </w:t>
      </w:r>
      <w:r w:rsidRPr="00976799">
        <w:rPr>
          <w:lang w:val="it-IT" w:eastAsia="en-US"/>
        </w:rPr>
        <w:t>Una dintre cauzele care au generat această situaţie sunt debitele rezultate din cumulul pensiei cu salariul, pentru beneficiarii drepturilor de pensie anticipate, anticipate parţial şi invaliditate.</w:t>
      </w:r>
    </w:p>
    <w:p w:rsidR="00976799" w:rsidRDefault="00976799" w:rsidP="00976799">
      <w:pPr>
        <w:jc w:val="both"/>
        <w:rPr>
          <w:lang w:val="it-IT" w:eastAsia="en-US"/>
        </w:rPr>
      </w:pPr>
      <w:r>
        <w:rPr>
          <w:lang w:val="it-IT" w:eastAsia="en-US"/>
        </w:rPr>
        <w:tab/>
      </w:r>
      <w:r w:rsidRPr="00976799">
        <w:rPr>
          <w:lang w:val="it-IT" w:eastAsia="en-US"/>
        </w:rPr>
        <w:t>În anul 2018, comparativ cu anul precedent, numărul de beneficiari care încasează pensia prin cont curent sau card a crescut cu 8.66% (nr. beneficiarilor cu plata în conturi curente sau card în anul 2018 a fost de 258.004, faţă de 237.448 pensionari înregistraţi în anul 2017).</w:t>
      </w:r>
    </w:p>
    <w:p w:rsidR="0053067B" w:rsidRPr="0053067B" w:rsidRDefault="0053067B" w:rsidP="00A77970">
      <w:pPr>
        <w:jc w:val="both"/>
        <w:rPr>
          <w:b/>
          <w:i/>
          <w:lang w:val="it-IT" w:eastAsia="en-US"/>
        </w:rPr>
      </w:pPr>
    </w:p>
    <w:p w:rsidR="003234AB" w:rsidRPr="003234AB" w:rsidRDefault="003234AB" w:rsidP="00A77970">
      <w:pPr>
        <w:ind w:right="-180"/>
        <w:jc w:val="both"/>
        <w:rPr>
          <w:i/>
          <w:lang w:val="it-IT" w:eastAsia="en-US"/>
        </w:rPr>
      </w:pPr>
      <w:r>
        <w:rPr>
          <w:i/>
          <w:lang w:val="it-IT" w:eastAsia="en-US"/>
        </w:rPr>
        <w:tab/>
      </w:r>
      <w:r w:rsidRPr="003234AB">
        <w:rPr>
          <w:i/>
          <w:lang w:val="it-IT" w:eastAsia="en-US"/>
        </w:rPr>
        <w:t xml:space="preserve">Serviciul informatică </w:t>
      </w:r>
      <w:r w:rsidRPr="003234AB">
        <w:rPr>
          <w:lang w:val="it-IT" w:eastAsia="en-US"/>
        </w:rPr>
        <w:t>a desfă</w:t>
      </w:r>
      <w:r>
        <w:rPr>
          <w:lang w:val="it-IT" w:eastAsia="en-US"/>
        </w:rPr>
        <w:t>ș</w:t>
      </w:r>
      <w:r w:rsidRPr="003234AB">
        <w:rPr>
          <w:lang w:val="it-IT" w:eastAsia="en-US"/>
        </w:rPr>
        <w:t>urat următoarele activități permanente</w:t>
      </w:r>
      <w:r w:rsidRPr="003234AB">
        <w:rPr>
          <w:i/>
          <w:lang w:val="it-IT" w:eastAsia="en-US"/>
        </w:rPr>
        <w:t xml:space="preserve">: </w:t>
      </w:r>
    </w:p>
    <w:p w:rsidR="003234AB" w:rsidRPr="003234AB" w:rsidRDefault="003234AB" w:rsidP="00A77970">
      <w:pPr>
        <w:ind w:right="-180"/>
        <w:jc w:val="both"/>
        <w:rPr>
          <w:lang w:val="it-IT" w:eastAsia="en-US"/>
        </w:rPr>
      </w:pPr>
      <w:r>
        <w:rPr>
          <w:lang w:val="it-IT" w:eastAsia="en-US"/>
        </w:rPr>
        <w:t xml:space="preserve">- </w:t>
      </w:r>
      <w:r w:rsidRPr="003234AB">
        <w:rPr>
          <w:lang w:val="it-IT" w:eastAsia="en-US"/>
        </w:rPr>
        <w:t xml:space="preserve">asistență programe curente în expolatare pentru stabiliri și plăți pensii; </w:t>
      </w:r>
    </w:p>
    <w:p w:rsidR="003234AB" w:rsidRPr="003234AB" w:rsidRDefault="003234AB" w:rsidP="00A77970">
      <w:pPr>
        <w:ind w:right="-180"/>
        <w:jc w:val="both"/>
        <w:rPr>
          <w:lang w:val="it-IT" w:eastAsia="en-US"/>
        </w:rPr>
      </w:pPr>
      <w:r>
        <w:rPr>
          <w:lang w:val="it-IT" w:eastAsia="en-US"/>
        </w:rPr>
        <w:t xml:space="preserve">- </w:t>
      </w:r>
      <w:r w:rsidRPr="003234AB">
        <w:rPr>
          <w:lang w:val="it-IT" w:eastAsia="en-US"/>
        </w:rPr>
        <w:t xml:space="preserve">activități de instalare/configurare/depanare/remediere curente la echipamente de calcul, imprimare, multifuncționale  și comunicație; </w:t>
      </w:r>
    </w:p>
    <w:p w:rsidR="003234AB" w:rsidRPr="003234AB" w:rsidRDefault="003234AB" w:rsidP="00A77970">
      <w:pPr>
        <w:ind w:right="-180"/>
        <w:jc w:val="both"/>
        <w:rPr>
          <w:lang w:val="it-IT" w:eastAsia="en-US"/>
        </w:rPr>
      </w:pPr>
      <w:r>
        <w:rPr>
          <w:lang w:val="it-IT" w:eastAsia="en-US"/>
        </w:rPr>
        <w:t xml:space="preserve">- </w:t>
      </w:r>
      <w:r w:rsidRPr="003234AB">
        <w:rPr>
          <w:lang w:val="it-IT" w:eastAsia="en-US"/>
        </w:rPr>
        <w:t xml:space="preserve">întreținere periodică baze de date pentru aplicațiile Juridic, pensii internaționale, plăți bilete tratament, plăți adeverințe stagii de cotizare, pensii; </w:t>
      </w:r>
    </w:p>
    <w:p w:rsidR="003234AB" w:rsidRPr="003234AB" w:rsidRDefault="003234AB" w:rsidP="00A77970">
      <w:pPr>
        <w:ind w:right="-180"/>
        <w:jc w:val="both"/>
        <w:rPr>
          <w:lang w:val="it-IT" w:eastAsia="en-US"/>
        </w:rPr>
      </w:pPr>
      <w:r>
        <w:rPr>
          <w:lang w:val="it-IT" w:eastAsia="en-US"/>
        </w:rPr>
        <w:t xml:space="preserve">- </w:t>
      </w:r>
      <w:r w:rsidRPr="003234AB">
        <w:rPr>
          <w:lang w:val="it-IT" w:eastAsia="en-US"/>
        </w:rPr>
        <w:t xml:space="preserve">pregătire, verificare/corecții, validare și transmisie/corecție on-line ale pensiilor internaționale prin CITIBANK (5476 de pensionari din 39 de țări); </w:t>
      </w:r>
    </w:p>
    <w:p w:rsidR="003234AB" w:rsidRPr="003234AB" w:rsidRDefault="003234AB" w:rsidP="00A77970">
      <w:pPr>
        <w:ind w:right="-180"/>
        <w:jc w:val="both"/>
        <w:rPr>
          <w:lang w:val="it-IT" w:eastAsia="en-US"/>
        </w:rPr>
      </w:pPr>
      <w:r>
        <w:rPr>
          <w:lang w:val="it-IT" w:eastAsia="en-US"/>
        </w:rPr>
        <w:t xml:space="preserve">- </w:t>
      </w:r>
      <w:r w:rsidRPr="003234AB">
        <w:rPr>
          <w:lang w:val="it-IT" w:eastAsia="en-US"/>
        </w:rPr>
        <w:t xml:space="preserve">operațiile bilunare de listare și inițializare tranșe la pensii; </w:t>
      </w:r>
    </w:p>
    <w:p w:rsidR="003234AB" w:rsidRPr="003234AB" w:rsidRDefault="003234AB" w:rsidP="00A77970">
      <w:pPr>
        <w:ind w:right="-180"/>
        <w:jc w:val="both"/>
        <w:rPr>
          <w:lang w:val="it-IT" w:eastAsia="en-US"/>
        </w:rPr>
      </w:pPr>
      <w:r>
        <w:rPr>
          <w:lang w:val="it-IT" w:eastAsia="en-US"/>
        </w:rPr>
        <w:t xml:space="preserve">- </w:t>
      </w:r>
      <w:r w:rsidRPr="003234AB">
        <w:rPr>
          <w:lang w:val="it-IT" w:eastAsia="en-US"/>
        </w:rPr>
        <w:t xml:space="preserve">plăți pensii interne prin 24 bănci; numărul beneficiarilor cu plata în conturi curente sau card în anul 2018 a fost de 237.448 fată de 232.437 pensionari înregistrați în anul 2017 </w:t>
      </w:r>
    </w:p>
    <w:p w:rsidR="003234AB" w:rsidRPr="003234AB" w:rsidRDefault="003234AB" w:rsidP="00A77970">
      <w:pPr>
        <w:ind w:right="-180"/>
        <w:jc w:val="both"/>
        <w:rPr>
          <w:lang w:val="it-IT" w:eastAsia="en-US"/>
        </w:rPr>
      </w:pPr>
      <w:r>
        <w:rPr>
          <w:lang w:val="it-IT" w:eastAsia="en-US"/>
        </w:rPr>
        <w:t xml:space="preserve">- </w:t>
      </w:r>
      <w:r w:rsidRPr="003234AB">
        <w:rPr>
          <w:lang w:val="it-IT" w:eastAsia="en-US"/>
        </w:rPr>
        <w:t xml:space="preserve">preluarea adăugirilor și sistarilor pe bănci; </w:t>
      </w:r>
    </w:p>
    <w:p w:rsidR="003234AB" w:rsidRPr="003234AB" w:rsidRDefault="003234AB" w:rsidP="00A77970">
      <w:pPr>
        <w:ind w:right="-180"/>
        <w:jc w:val="both"/>
        <w:rPr>
          <w:lang w:val="it-IT" w:eastAsia="en-US"/>
        </w:rPr>
      </w:pPr>
      <w:r>
        <w:rPr>
          <w:lang w:val="it-IT" w:eastAsia="en-US"/>
        </w:rPr>
        <w:lastRenderedPageBreak/>
        <w:t xml:space="preserve">- </w:t>
      </w:r>
      <w:r w:rsidRPr="003234AB">
        <w:rPr>
          <w:lang w:val="it-IT" w:eastAsia="en-US"/>
        </w:rPr>
        <w:t xml:space="preserve">transmiterea on-line a fișierelor la bănci; </w:t>
      </w:r>
    </w:p>
    <w:p w:rsidR="003234AB" w:rsidRPr="003234AB" w:rsidRDefault="003234AB" w:rsidP="00A77970">
      <w:pPr>
        <w:ind w:right="-180"/>
        <w:jc w:val="both"/>
        <w:rPr>
          <w:lang w:val="it-IT" w:eastAsia="en-US"/>
        </w:rPr>
      </w:pPr>
      <w:r>
        <w:rPr>
          <w:lang w:val="it-IT" w:eastAsia="en-US"/>
        </w:rPr>
        <w:t xml:space="preserve">- </w:t>
      </w:r>
      <w:r w:rsidRPr="003234AB">
        <w:rPr>
          <w:lang w:val="it-IT" w:eastAsia="en-US"/>
        </w:rPr>
        <w:t xml:space="preserve">corectarea erorilor  survenite în urma validărilor de la bănci; </w:t>
      </w:r>
    </w:p>
    <w:p w:rsidR="003234AB" w:rsidRPr="003234AB" w:rsidRDefault="003234AB" w:rsidP="00A77970">
      <w:pPr>
        <w:ind w:right="-180"/>
        <w:jc w:val="both"/>
        <w:rPr>
          <w:lang w:val="it-IT" w:eastAsia="en-US"/>
        </w:rPr>
      </w:pPr>
      <w:r>
        <w:rPr>
          <w:lang w:val="it-IT" w:eastAsia="en-US"/>
        </w:rPr>
        <w:t xml:space="preserve">- </w:t>
      </w:r>
      <w:r w:rsidRPr="003234AB">
        <w:rPr>
          <w:lang w:val="it-IT" w:eastAsia="en-US"/>
        </w:rPr>
        <w:t xml:space="preserve">retrasmitere on-line a fișierelor. </w:t>
      </w:r>
    </w:p>
    <w:p w:rsidR="003234AB" w:rsidRPr="003234AB" w:rsidRDefault="003234AB" w:rsidP="00A77970">
      <w:pPr>
        <w:ind w:right="-180"/>
        <w:jc w:val="both"/>
        <w:rPr>
          <w:lang w:val="it-IT" w:eastAsia="en-US"/>
        </w:rPr>
      </w:pPr>
      <w:r>
        <w:rPr>
          <w:lang w:val="it-IT" w:eastAsia="en-US"/>
        </w:rPr>
        <w:t xml:space="preserve">- </w:t>
      </w:r>
      <w:r w:rsidRPr="003234AB">
        <w:rPr>
          <w:lang w:val="it-IT" w:eastAsia="en-US"/>
        </w:rPr>
        <w:t xml:space="preserve">întreținerea și instalarea echipamentelor de calcul și a perifericelor aferente. </w:t>
      </w:r>
    </w:p>
    <w:p w:rsidR="003234AB" w:rsidRDefault="003234AB" w:rsidP="00A77970">
      <w:pPr>
        <w:ind w:right="-180"/>
        <w:jc w:val="both"/>
        <w:rPr>
          <w:i/>
          <w:lang w:val="it-IT" w:eastAsia="en-US"/>
        </w:rPr>
      </w:pPr>
    </w:p>
    <w:p w:rsidR="00976799" w:rsidRPr="00976799" w:rsidRDefault="003234AB" w:rsidP="00976799">
      <w:pPr>
        <w:ind w:right="-180"/>
        <w:jc w:val="both"/>
        <w:rPr>
          <w:lang w:val="it-IT" w:eastAsia="en-US"/>
        </w:rPr>
      </w:pPr>
      <w:r>
        <w:rPr>
          <w:i/>
          <w:lang w:val="it-IT" w:eastAsia="en-US"/>
        </w:rPr>
        <w:tab/>
      </w:r>
      <w:r w:rsidRPr="003234AB">
        <w:rPr>
          <w:i/>
          <w:lang w:val="it-IT" w:eastAsia="en-US"/>
        </w:rPr>
        <w:t xml:space="preserve">Serviciul Expertiză Medicală și Recuperarea Capacității de Muncă </w:t>
      </w:r>
      <w:r w:rsidR="00976799" w:rsidRPr="00976799">
        <w:rPr>
          <w:lang w:val="it-IT" w:eastAsia="en-US"/>
        </w:rPr>
        <w:t>a funcţionat în anul 2018, cu un număr de 20 medici, 18 asistenţi medicali şi 2 referenţi, activitatea fiind condusă de 2 şefi de serviciu şi 4 şefi de birou. Aceştia sunt repartizaţi la un număr de 20 de cabinete medicale în toate cele şase sectoare.</w:t>
      </w:r>
    </w:p>
    <w:p w:rsidR="00976799" w:rsidRPr="00976799" w:rsidRDefault="00976799" w:rsidP="00976799">
      <w:pPr>
        <w:ind w:right="-180"/>
        <w:jc w:val="both"/>
        <w:rPr>
          <w:lang w:val="it-IT" w:eastAsia="en-US"/>
        </w:rPr>
      </w:pPr>
      <w:r>
        <w:rPr>
          <w:lang w:val="it-IT" w:eastAsia="en-US"/>
        </w:rPr>
        <w:tab/>
        <w:t xml:space="preserve">În anul 2018, </w:t>
      </w:r>
      <w:r w:rsidRPr="00976799">
        <w:rPr>
          <w:lang w:val="it-IT" w:eastAsia="en-US"/>
        </w:rPr>
        <w:t>s-au înregistrat 3</w:t>
      </w:r>
      <w:r>
        <w:rPr>
          <w:lang w:val="it-IT" w:eastAsia="en-US"/>
        </w:rPr>
        <w:t>.</w:t>
      </w:r>
      <w:r w:rsidRPr="00976799">
        <w:rPr>
          <w:lang w:val="it-IT" w:eastAsia="en-US"/>
        </w:rPr>
        <w:t>542 cazuri noi de înscr</w:t>
      </w:r>
      <w:r>
        <w:rPr>
          <w:lang w:val="it-IT" w:eastAsia="en-US"/>
        </w:rPr>
        <w:t>iere la pensie de invaliditate</w:t>
      </w:r>
      <w:r w:rsidRPr="00976799">
        <w:rPr>
          <w:lang w:val="it-IT" w:eastAsia="en-US"/>
        </w:rPr>
        <w:t>:</w:t>
      </w:r>
    </w:p>
    <w:p w:rsidR="00976799" w:rsidRPr="00976799" w:rsidRDefault="00976799" w:rsidP="00976799">
      <w:pPr>
        <w:ind w:right="-180"/>
        <w:jc w:val="both"/>
        <w:rPr>
          <w:lang w:val="it-IT" w:eastAsia="en-US"/>
        </w:rPr>
      </w:pPr>
      <w:r w:rsidRPr="00976799">
        <w:rPr>
          <w:lang w:val="it-IT" w:eastAsia="en-US"/>
        </w:rPr>
        <w:t>- gradul  I    =   558</w:t>
      </w:r>
    </w:p>
    <w:p w:rsidR="00976799" w:rsidRPr="00976799" w:rsidRDefault="00976799" w:rsidP="00976799">
      <w:pPr>
        <w:ind w:right="-180"/>
        <w:jc w:val="both"/>
        <w:rPr>
          <w:lang w:val="it-IT" w:eastAsia="en-US"/>
        </w:rPr>
      </w:pPr>
      <w:r w:rsidRPr="00976799">
        <w:rPr>
          <w:lang w:val="it-IT" w:eastAsia="en-US"/>
        </w:rPr>
        <w:t>- gradul II    =  1615</w:t>
      </w:r>
    </w:p>
    <w:p w:rsidR="00976799" w:rsidRPr="00976799" w:rsidRDefault="00976799" w:rsidP="00976799">
      <w:pPr>
        <w:ind w:right="-180"/>
        <w:jc w:val="both"/>
        <w:rPr>
          <w:lang w:val="it-IT" w:eastAsia="en-US"/>
        </w:rPr>
      </w:pPr>
      <w:r w:rsidRPr="00976799">
        <w:rPr>
          <w:lang w:val="it-IT" w:eastAsia="en-US"/>
        </w:rPr>
        <w:t xml:space="preserve">- gradul III   =   1369                                             </w:t>
      </w:r>
    </w:p>
    <w:p w:rsidR="00976799" w:rsidRPr="00976799" w:rsidRDefault="00976799" w:rsidP="00976799">
      <w:pPr>
        <w:ind w:right="-180"/>
        <w:jc w:val="both"/>
        <w:rPr>
          <w:lang w:val="it-IT" w:eastAsia="en-US"/>
        </w:rPr>
      </w:pPr>
      <w:r>
        <w:rPr>
          <w:lang w:val="it-IT" w:eastAsia="en-US"/>
        </w:rPr>
        <w:tab/>
      </w:r>
      <w:r w:rsidRPr="00976799">
        <w:rPr>
          <w:lang w:val="it-IT" w:eastAsia="en-US"/>
        </w:rPr>
        <w:t>Comparativ cu anul 2017, în anul 2018 au fost înregistrate următoarele date statistice privind cazurile noi de înscriere la pensie de invaliditate:</w:t>
      </w:r>
    </w:p>
    <w:p w:rsidR="00976799" w:rsidRPr="00976799" w:rsidRDefault="00976799" w:rsidP="00976799">
      <w:pPr>
        <w:ind w:right="-180"/>
        <w:jc w:val="both"/>
        <w:rPr>
          <w:lang w:val="it-IT" w:eastAsia="en-US"/>
        </w:rPr>
      </w:pPr>
      <w:r w:rsidRPr="00976799">
        <w:rPr>
          <w:lang w:val="it-IT" w:eastAsia="en-US"/>
        </w:rPr>
        <w:t>- total           =      3276 scadere cu 266 de cazuri</w:t>
      </w:r>
      <w:r w:rsidRPr="00976799">
        <w:rPr>
          <w:lang w:val="it-IT" w:eastAsia="en-US"/>
        </w:rPr>
        <w:tab/>
      </w:r>
      <w:r w:rsidRPr="00976799">
        <w:rPr>
          <w:lang w:val="it-IT" w:eastAsia="en-US"/>
        </w:rPr>
        <w:tab/>
      </w:r>
    </w:p>
    <w:p w:rsidR="00976799" w:rsidRPr="00976799" w:rsidRDefault="00976799" w:rsidP="00976799">
      <w:pPr>
        <w:ind w:right="-180"/>
        <w:jc w:val="both"/>
        <w:rPr>
          <w:lang w:val="it-IT" w:eastAsia="en-US"/>
        </w:rPr>
      </w:pPr>
      <w:r w:rsidRPr="00976799">
        <w:rPr>
          <w:lang w:val="it-IT" w:eastAsia="en-US"/>
        </w:rPr>
        <w:t>- gradul I       =        498 scadere cu 60 de cazuri</w:t>
      </w:r>
    </w:p>
    <w:p w:rsidR="00976799" w:rsidRPr="00976799" w:rsidRDefault="00976799" w:rsidP="00976799">
      <w:pPr>
        <w:ind w:right="-180"/>
        <w:jc w:val="both"/>
        <w:rPr>
          <w:lang w:val="it-IT" w:eastAsia="en-US"/>
        </w:rPr>
      </w:pPr>
      <w:r w:rsidRPr="00976799">
        <w:rPr>
          <w:lang w:val="it-IT" w:eastAsia="en-US"/>
        </w:rPr>
        <w:t>- gradul II      =       1521 scadere cu 94 de cazuri</w:t>
      </w:r>
    </w:p>
    <w:p w:rsidR="00976799" w:rsidRPr="00976799" w:rsidRDefault="00976799" w:rsidP="00976799">
      <w:pPr>
        <w:ind w:right="-180"/>
        <w:jc w:val="both"/>
        <w:rPr>
          <w:lang w:val="it-IT" w:eastAsia="en-US"/>
        </w:rPr>
      </w:pPr>
      <w:r w:rsidRPr="00976799">
        <w:rPr>
          <w:lang w:val="it-IT" w:eastAsia="en-US"/>
        </w:rPr>
        <w:t>- gradul III     =       1257 scadere  cu 112 cazuri</w:t>
      </w:r>
    </w:p>
    <w:p w:rsidR="00976799" w:rsidRPr="00976799" w:rsidRDefault="00976799" w:rsidP="00976799">
      <w:pPr>
        <w:ind w:right="-180"/>
        <w:jc w:val="both"/>
        <w:rPr>
          <w:lang w:val="it-IT" w:eastAsia="en-US"/>
        </w:rPr>
      </w:pPr>
      <w:r>
        <w:rPr>
          <w:lang w:val="it-IT" w:eastAsia="en-US"/>
        </w:rPr>
        <w:tab/>
      </w:r>
      <w:r w:rsidRPr="00976799">
        <w:rPr>
          <w:lang w:val="it-IT" w:eastAsia="en-US"/>
        </w:rPr>
        <w:t>Cele mai frecvente grupe de boli au fost cod 4 = 67</w:t>
      </w:r>
      <w:r>
        <w:rPr>
          <w:lang w:val="it-IT" w:eastAsia="en-US"/>
        </w:rPr>
        <w:t xml:space="preserve">4; cod 15 = 303; cod 11 = 237; </w:t>
      </w:r>
      <w:r w:rsidRPr="00976799">
        <w:rPr>
          <w:lang w:val="it-IT" w:eastAsia="en-US"/>
        </w:rPr>
        <w:t>cod 20 = 229.</w:t>
      </w:r>
    </w:p>
    <w:p w:rsidR="00976799" w:rsidRDefault="00976799" w:rsidP="00976799">
      <w:pPr>
        <w:ind w:right="-180"/>
        <w:jc w:val="both"/>
        <w:rPr>
          <w:lang w:val="it-IT" w:eastAsia="en-US"/>
        </w:rPr>
      </w:pPr>
      <w:r>
        <w:rPr>
          <w:lang w:val="it-IT" w:eastAsia="en-US"/>
        </w:rPr>
        <w:tab/>
      </w:r>
      <w:r w:rsidRPr="00976799">
        <w:rPr>
          <w:lang w:val="it-IT" w:eastAsia="en-US"/>
        </w:rPr>
        <w:t>În perioada 01.01.2018-31.12.2018, s-au prezentat la cabinetele de expertiză medicală în vederea expertizarii 60</w:t>
      </w:r>
      <w:r>
        <w:rPr>
          <w:lang w:val="it-IT" w:eastAsia="en-US"/>
        </w:rPr>
        <w:t>.</w:t>
      </w:r>
      <w:r w:rsidRPr="00976799">
        <w:rPr>
          <w:lang w:val="it-IT" w:eastAsia="en-US"/>
        </w:rPr>
        <w:t>521 persoane, cu 3</w:t>
      </w:r>
      <w:r>
        <w:rPr>
          <w:lang w:val="it-IT" w:eastAsia="en-US"/>
        </w:rPr>
        <w:t>.</w:t>
      </w:r>
      <w:r w:rsidRPr="00976799">
        <w:rPr>
          <w:lang w:val="it-IT" w:eastAsia="en-US"/>
        </w:rPr>
        <w:t>449 persoane mai puţin faţă de anul 2017.</w:t>
      </w:r>
    </w:p>
    <w:p w:rsidR="00976799" w:rsidRDefault="00976799" w:rsidP="00976799">
      <w:pPr>
        <w:ind w:right="-180"/>
        <w:jc w:val="both"/>
        <w:rPr>
          <w:lang w:val="it-IT" w:eastAsia="en-US"/>
        </w:rPr>
      </w:pPr>
    </w:p>
    <w:p w:rsidR="00976799" w:rsidRPr="00976799" w:rsidRDefault="00976799" w:rsidP="00976799">
      <w:pPr>
        <w:ind w:right="-180"/>
        <w:jc w:val="both"/>
        <w:rPr>
          <w:lang w:val="it-IT" w:eastAsia="en-US"/>
        </w:rPr>
      </w:pPr>
      <w:r>
        <w:rPr>
          <w:lang w:val="it-IT" w:eastAsia="en-US"/>
        </w:rPr>
        <w:tab/>
      </w:r>
      <w:r w:rsidRPr="00976799">
        <w:rPr>
          <w:lang w:val="it-IT" w:eastAsia="en-US"/>
        </w:rPr>
        <w:t>Faţă de anul 2017, se înregistrează o scădere a numărului de dosare medicale aflate în evidenţă cu 3754 (adică 3460 revizuibile şi 294 nerevizuibile).</w:t>
      </w:r>
    </w:p>
    <w:p w:rsidR="003234AB" w:rsidRPr="0053067B" w:rsidRDefault="00976799" w:rsidP="00976799">
      <w:pPr>
        <w:ind w:right="-180"/>
        <w:jc w:val="both"/>
        <w:rPr>
          <w:lang w:val="it-IT" w:eastAsia="en-US"/>
        </w:rPr>
      </w:pPr>
      <w:r>
        <w:rPr>
          <w:lang w:val="it-IT" w:eastAsia="en-US"/>
        </w:rPr>
        <w:tab/>
      </w:r>
      <w:r w:rsidRPr="00976799">
        <w:rPr>
          <w:lang w:val="it-IT" w:eastAsia="en-US"/>
        </w:rPr>
        <w:t>În anul 2018, se constată o creştere atât a numărului de zile de concediu medical de peste 90 zile, cu 17.511 zile cât şi o creştere a numărului de zile de concediu medical de peste 183 de zile, cu 31.044  zile.</w:t>
      </w:r>
      <w:r w:rsidRPr="00976799">
        <w:rPr>
          <w:lang w:val="it-IT" w:eastAsia="en-US"/>
        </w:rPr>
        <w:tab/>
      </w:r>
      <w:r w:rsidR="003234AB" w:rsidRPr="003234AB">
        <w:rPr>
          <w:lang w:val="it-IT" w:eastAsia="en-US"/>
        </w:rPr>
        <w:t xml:space="preserve">  </w:t>
      </w:r>
      <w:r w:rsidR="003234AB" w:rsidRPr="003234AB">
        <w:rPr>
          <w:i/>
          <w:lang w:val="it-IT" w:eastAsia="en-US"/>
        </w:rPr>
        <w:t xml:space="preserve">  </w:t>
      </w:r>
      <w:r w:rsidR="0053067B" w:rsidRPr="0053067B">
        <w:rPr>
          <w:lang w:val="it-IT" w:eastAsia="en-US"/>
        </w:rPr>
        <w:tab/>
      </w:r>
    </w:p>
    <w:tbl>
      <w:tblPr>
        <w:tblpPr w:leftFromText="180" w:rightFromText="180" w:vertAnchor="text" w:horzAnchor="margin" w:tblpXSpec="center"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2126"/>
        <w:gridCol w:w="1984"/>
      </w:tblGrid>
      <w:tr w:rsidR="0053067B" w:rsidRPr="0053067B" w:rsidTr="003234AB">
        <w:trPr>
          <w:trHeight w:val="416"/>
        </w:trPr>
        <w:tc>
          <w:tcPr>
            <w:tcW w:w="3936" w:type="dxa"/>
            <w:tcBorders>
              <w:top w:val="single" w:sz="4" w:space="0" w:color="auto"/>
              <w:left w:val="single" w:sz="4" w:space="0" w:color="auto"/>
              <w:bottom w:val="single" w:sz="4" w:space="0" w:color="auto"/>
              <w:right w:val="single" w:sz="4" w:space="0" w:color="auto"/>
            </w:tcBorders>
            <w:hideMark/>
          </w:tcPr>
          <w:p w:rsidR="0053067B" w:rsidRPr="0053067B" w:rsidRDefault="0053067B" w:rsidP="00A77970">
            <w:pPr>
              <w:jc w:val="both"/>
              <w:rPr>
                <w:b/>
                <w:lang w:val="pt-BR" w:eastAsia="en-US"/>
              </w:rPr>
            </w:pPr>
          </w:p>
        </w:tc>
        <w:tc>
          <w:tcPr>
            <w:tcW w:w="2126" w:type="dxa"/>
            <w:tcBorders>
              <w:top w:val="single" w:sz="4" w:space="0" w:color="auto"/>
              <w:left w:val="single" w:sz="4" w:space="0" w:color="auto"/>
              <w:bottom w:val="single" w:sz="4" w:space="0" w:color="auto"/>
              <w:right w:val="single" w:sz="4" w:space="0" w:color="auto"/>
            </w:tcBorders>
            <w:vAlign w:val="center"/>
          </w:tcPr>
          <w:p w:rsidR="0053067B" w:rsidRPr="0053067B" w:rsidRDefault="00976799" w:rsidP="00A77970">
            <w:pPr>
              <w:jc w:val="center"/>
              <w:rPr>
                <w:b/>
                <w:lang w:val="pt-BR" w:eastAsia="en-US"/>
              </w:rPr>
            </w:pPr>
            <w:r>
              <w:rPr>
                <w:b/>
                <w:lang w:val="pt-BR" w:eastAsia="en-US"/>
              </w:rPr>
              <w:t>An 2017</w:t>
            </w:r>
          </w:p>
        </w:tc>
        <w:tc>
          <w:tcPr>
            <w:tcW w:w="1984" w:type="dxa"/>
            <w:tcBorders>
              <w:top w:val="single" w:sz="4" w:space="0" w:color="auto"/>
              <w:left w:val="single" w:sz="4" w:space="0" w:color="auto"/>
              <w:bottom w:val="single" w:sz="4" w:space="0" w:color="auto"/>
              <w:right w:val="single" w:sz="4" w:space="0" w:color="auto"/>
            </w:tcBorders>
            <w:vAlign w:val="center"/>
          </w:tcPr>
          <w:p w:rsidR="0053067B" w:rsidRPr="0053067B" w:rsidRDefault="00976799" w:rsidP="00A77970">
            <w:pPr>
              <w:jc w:val="center"/>
              <w:rPr>
                <w:b/>
                <w:lang w:val="pt-BR" w:eastAsia="en-US"/>
              </w:rPr>
            </w:pPr>
            <w:r>
              <w:rPr>
                <w:b/>
                <w:lang w:val="pt-BR" w:eastAsia="en-US"/>
              </w:rPr>
              <w:t>An 2018</w:t>
            </w:r>
          </w:p>
        </w:tc>
      </w:tr>
      <w:tr w:rsidR="0053067B" w:rsidRPr="0053067B" w:rsidTr="0053067B">
        <w:tc>
          <w:tcPr>
            <w:tcW w:w="3936" w:type="dxa"/>
            <w:tcBorders>
              <w:top w:val="single" w:sz="4" w:space="0" w:color="auto"/>
              <w:left w:val="single" w:sz="4" w:space="0" w:color="auto"/>
              <w:bottom w:val="single" w:sz="4" w:space="0" w:color="auto"/>
              <w:right w:val="single" w:sz="4" w:space="0" w:color="auto"/>
            </w:tcBorders>
            <w:hideMark/>
          </w:tcPr>
          <w:p w:rsidR="0053067B" w:rsidRPr="0053067B" w:rsidRDefault="003234AB" w:rsidP="00A77970">
            <w:pPr>
              <w:jc w:val="both"/>
              <w:rPr>
                <w:lang w:val="pt-BR" w:eastAsia="en-US"/>
              </w:rPr>
            </w:pPr>
            <w:r>
              <w:rPr>
                <w:lang w:val="pt-BR" w:eastAsia="en-US"/>
              </w:rPr>
              <w:t>Nr. zile de concedii</w:t>
            </w:r>
            <w:r w:rsidR="0053067B" w:rsidRPr="0053067B">
              <w:rPr>
                <w:lang w:val="pt-BR" w:eastAsia="en-US"/>
              </w:rPr>
              <w:t xml:space="preserve"> de peste 90 zile</w:t>
            </w:r>
          </w:p>
        </w:tc>
        <w:tc>
          <w:tcPr>
            <w:tcW w:w="2126" w:type="dxa"/>
            <w:tcBorders>
              <w:top w:val="single" w:sz="4" w:space="0" w:color="auto"/>
              <w:left w:val="single" w:sz="4" w:space="0" w:color="auto"/>
              <w:bottom w:val="single" w:sz="4" w:space="0" w:color="auto"/>
              <w:right w:val="single" w:sz="4" w:space="0" w:color="auto"/>
            </w:tcBorders>
            <w:vAlign w:val="center"/>
          </w:tcPr>
          <w:p w:rsidR="0053067B" w:rsidRPr="0053067B" w:rsidRDefault="00976799" w:rsidP="00A77970">
            <w:pPr>
              <w:jc w:val="center"/>
              <w:rPr>
                <w:lang w:val="pt-BR" w:eastAsia="en-US"/>
              </w:rPr>
            </w:pPr>
            <w:r w:rsidRPr="00976799">
              <w:rPr>
                <w:lang w:val="pt-BR" w:eastAsia="en-US"/>
              </w:rPr>
              <w:t>294.666</w:t>
            </w:r>
          </w:p>
        </w:tc>
        <w:tc>
          <w:tcPr>
            <w:tcW w:w="1984" w:type="dxa"/>
            <w:tcBorders>
              <w:top w:val="single" w:sz="4" w:space="0" w:color="auto"/>
              <w:left w:val="single" w:sz="4" w:space="0" w:color="auto"/>
              <w:bottom w:val="single" w:sz="4" w:space="0" w:color="auto"/>
              <w:right w:val="single" w:sz="4" w:space="0" w:color="auto"/>
            </w:tcBorders>
            <w:vAlign w:val="center"/>
          </w:tcPr>
          <w:p w:rsidR="0053067B" w:rsidRPr="0053067B" w:rsidRDefault="00976799" w:rsidP="00A77970">
            <w:pPr>
              <w:jc w:val="center"/>
              <w:rPr>
                <w:lang w:val="pt-BR" w:eastAsia="en-US"/>
              </w:rPr>
            </w:pPr>
            <w:r w:rsidRPr="00976799">
              <w:rPr>
                <w:lang w:val="pt-BR" w:eastAsia="en-US"/>
              </w:rPr>
              <w:t>312.177</w:t>
            </w:r>
          </w:p>
        </w:tc>
      </w:tr>
      <w:tr w:rsidR="0053067B" w:rsidRPr="0053067B" w:rsidTr="0053067B">
        <w:tc>
          <w:tcPr>
            <w:tcW w:w="3936" w:type="dxa"/>
            <w:tcBorders>
              <w:top w:val="single" w:sz="4" w:space="0" w:color="auto"/>
              <w:left w:val="single" w:sz="4" w:space="0" w:color="auto"/>
              <w:bottom w:val="single" w:sz="4" w:space="0" w:color="auto"/>
              <w:right w:val="single" w:sz="4" w:space="0" w:color="auto"/>
            </w:tcBorders>
            <w:hideMark/>
          </w:tcPr>
          <w:p w:rsidR="0053067B" w:rsidRPr="0053067B" w:rsidRDefault="0053067B" w:rsidP="00A77970">
            <w:pPr>
              <w:jc w:val="both"/>
              <w:rPr>
                <w:lang w:val="pt-BR" w:eastAsia="en-US"/>
              </w:rPr>
            </w:pPr>
            <w:r w:rsidRPr="0053067B">
              <w:rPr>
                <w:lang w:val="pt-BR" w:eastAsia="en-US"/>
              </w:rPr>
              <w:t>Nr. zile de concedii de peste 183 zile</w:t>
            </w:r>
          </w:p>
        </w:tc>
        <w:tc>
          <w:tcPr>
            <w:tcW w:w="2126" w:type="dxa"/>
            <w:tcBorders>
              <w:top w:val="single" w:sz="4" w:space="0" w:color="auto"/>
              <w:left w:val="single" w:sz="4" w:space="0" w:color="auto"/>
              <w:bottom w:val="single" w:sz="4" w:space="0" w:color="auto"/>
              <w:right w:val="single" w:sz="4" w:space="0" w:color="auto"/>
            </w:tcBorders>
            <w:vAlign w:val="center"/>
          </w:tcPr>
          <w:p w:rsidR="0053067B" w:rsidRPr="0053067B" w:rsidRDefault="00976799" w:rsidP="00A77970">
            <w:pPr>
              <w:jc w:val="center"/>
              <w:rPr>
                <w:lang w:val="pt-BR" w:eastAsia="en-US"/>
              </w:rPr>
            </w:pPr>
            <w:r w:rsidRPr="0053067B">
              <w:rPr>
                <w:lang w:val="pt-BR" w:eastAsia="en-US"/>
              </w:rPr>
              <w:t>164.495</w:t>
            </w:r>
          </w:p>
        </w:tc>
        <w:tc>
          <w:tcPr>
            <w:tcW w:w="1984" w:type="dxa"/>
            <w:tcBorders>
              <w:top w:val="single" w:sz="4" w:space="0" w:color="auto"/>
              <w:left w:val="single" w:sz="4" w:space="0" w:color="auto"/>
              <w:bottom w:val="single" w:sz="4" w:space="0" w:color="auto"/>
              <w:right w:val="single" w:sz="4" w:space="0" w:color="auto"/>
            </w:tcBorders>
            <w:vAlign w:val="center"/>
          </w:tcPr>
          <w:p w:rsidR="0053067B" w:rsidRPr="0053067B" w:rsidRDefault="00976799" w:rsidP="00A77970">
            <w:pPr>
              <w:jc w:val="center"/>
              <w:rPr>
                <w:lang w:val="pt-BR" w:eastAsia="en-US"/>
              </w:rPr>
            </w:pPr>
            <w:r w:rsidRPr="00976799">
              <w:rPr>
                <w:lang w:val="pt-BR" w:eastAsia="en-US"/>
              </w:rPr>
              <w:t>195.539</w:t>
            </w:r>
          </w:p>
        </w:tc>
      </w:tr>
    </w:tbl>
    <w:p w:rsidR="0053067B" w:rsidRPr="0053067B" w:rsidRDefault="0053067B" w:rsidP="00A77970">
      <w:pPr>
        <w:ind w:left="1920"/>
        <w:jc w:val="both"/>
        <w:rPr>
          <w:b/>
          <w:i/>
          <w:color w:val="0000FF"/>
          <w:lang w:val="it-IT" w:eastAsia="en-US"/>
        </w:rPr>
      </w:pPr>
    </w:p>
    <w:p w:rsidR="0053067B" w:rsidRPr="0053067B" w:rsidRDefault="0053067B" w:rsidP="00A77970">
      <w:pPr>
        <w:ind w:firstLine="720"/>
        <w:jc w:val="both"/>
        <w:rPr>
          <w:i/>
          <w:lang w:val="it-IT" w:eastAsia="en-US"/>
        </w:rPr>
      </w:pPr>
    </w:p>
    <w:p w:rsidR="0053067B" w:rsidRPr="0053067B" w:rsidRDefault="0053067B" w:rsidP="00A77970">
      <w:pPr>
        <w:ind w:firstLine="720"/>
        <w:jc w:val="both"/>
        <w:rPr>
          <w:i/>
          <w:lang w:val="it-IT" w:eastAsia="en-US"/>
        </w:rPr>
      </w:pPr>
    </w:p>
    <w:p w:rsidR="0053067B" w:rsidRPr="0053067B" w:rsidRDefault="0053067B" w:rsidP="00A77970">
      <w:pPr>
        <w:ind w:firstLine="720"/>
        <w:jc w:val="both"/>
        <w:rPr>
          <w:i/>
          <w:lang w:val="it-IT" w:eastAsia="en-US"/>
        </w:rPr>
      </w:pPr>
    </w:p>
    <w:p w:rsidR="003234AB" w:rsidRDefault="003234AB" w:rsidP="00A77970">
      <w:pPr>
        <w:ind w:firstLine="720"/>
        <w:jc w:val="both"/>
        <w:rPr>
          <w:i/>
          <w:lang w:val="it-IT" w:eastAsia="en-US"/>
        </w:rPr>
      </w:pPr>
    </w:p>
    <w:p w:rsidR="00976799" w:rsidRDefault="003234AB" w:rsidP="00A77970">
      <w:pPr>
        <w:ind w:firstLine="720"/>
        <w:jc w:val="both"/>
        <w:rPr>
          <w:lang w:val="it-IT" w:eastAsia="en-US"/>
        </w:rPr>
      </w:pPr>
      <w:r w:rsidRPr="003234AB">
        <w:rPr>
          <w:i/>
          <w:lang w:val="it-IT" w:eastAsia="en-US"/>
        </w:rPr>
        <w:t xml:space="preserve">Serviciul juridic și executare silită </w:t>
      </w:r>
      <w:r w:rsidRPr="003234AB">
        <w:rPr>
          <w:lang w:val="it-IT" w:eastAsia="en-US"/>
        </w:rPr>
        <w:t>a înregistrat, în anul 201</w:t>
      </w:r>
      <w:r w:rsidR="00976799">
        <w:rPr>
          <w:lang w:val="it-IT" w:eastAsia="en-US"/>
        </w:rPr>
        <w:t>8</w:t>
      </w:r>
      <w:r w:rsidRPr="003234AB">
        <w:rPr>
          <w:lang w:val="it-IT" w:eastAsia="en-US"/>
        </w:rPr>
        <w:t xml:space="preserve">, </w:t>
      </w:r>
      <w:r w:rsidR="00976799" w:rsidRPr="00976799">
        <w:rPr>
          <w:lang w:val="it-IT" w:eastAsia="en-US"/>
        </w:rPr>
        <w:t>un numar de 14.780 lucrări reprezentând citaţii, comunicări, petiţii, fiecare  lucrare necesitând  procesare,  executare, urmărire, arhivare şi clasificare, conform specificului</w:t>
      </w:r>
      <w:r w:rsidR="00976799">
        <w:rPr>
          <w:lang w:val="it-IT" w:eastAsia="en-US"/>
        </w:rPr>
        <w:t>.</w:t>
      </w:r>
      <w:r w:rsidR="00976799" w:rsidRPr="00976799">
        <w:rPr>
          <w:lang w:val="it-IT" w:eastAsia="en-US"/>
        </w:rPr>
        <w:t xml:space="preserve"> </w:t>
      </w:r>
    </w:p>
    <w:p w:rsidR="00976799" w:rsidRDefault="003234AB" w:rsidP="00A77970">
      <w:pPr>
        <w:ind w:firstLine="720"/>
        <w:jc w:val="both"/>
        <w:rPr>
          <w:lang w:val="it-IT" w:eastAsia="en-US"/>
        </w:rPr>
      </w:pPr>
      <w:r w:rsidRPr="003234AB">
        <w:rPr>
          <w:lang w:val="it-IT" w:eastAsia="en-US"/>
        </w:rPr>
        <w:t xml:space="preserve">Activitatea de reprezentare în instantă a fost realizată de </w:t>
      </w:r>
      <w:r w:rsidR="00976799">
        <w:rPr>
          <w:lang w:val="it-IT" w:eastAsia="en-US"/>
        </w:rPr>
        <w:t>5</w:t>
      </w:r>
      <w:r w:rsidRPr="003234AB">
        <w:rPr>
          <w:lang w:val="it-IT" w:eastAsia="en-US"/>
        </w:rPr>
        <w:t xml:space="preserve"> consilieri juridici, pe rolul instanțelor de judecată fiind instrumentate și urmărite statistic </w:t>
      </w:r>
      <w:r w:rsidR="00976799">
        <w:rPr>
          <w:lang w:val="it-IT" w:eastAsia="en-US"/>
        </w:rPr>
        <w:t>10.828 cauze.</w:t>
      </w:r>
    </w:p>
    <w:p w:rsidR="003234AB" w:rsidRPr="003234AB" w:rsidRDefault="003234AB" w:rsidP="00A77970">
      <w:pPr>
        <w:ind w:firstLine="720"/>
        <w:jc w:val="both"/>
        <w:rPr>
          <w:lang w:val="it-IT" w:eastAsia="en-US"/>
        </w:rPr>
      </w:pPr>
      <w:r w:rsidRPr="003234AB">
        <w:rPr>
          <w:lang w:val="it-IT" w:eastAsia="en-US"/>
        </w:rPr>
        <w:t>Acțiunile civile în care Casa de Pensii a Municipiului București este parte în calitate de pârâtă în contradictoriu cu persoane fizice sau juridice, au ca obiect contestarea deciziilor de pensionare pentru nevalorificarea tuturor veniturilor, contestații sub aspectul aplicării neadecvate a prevederilor legale sau decurgând din interpretarea diferită a t</w:t>
      </w:r>
      <w:r w:rsidR="000E665D">
        <w:rPr>
          <w:lang w:val="it-IT" w:eastAsia="en-US"/>
        </w:rPr>
        <w:t>extelor de lege.</w:t>
      </w:r>
    </w:p>
    <w:p w:rsidR="003234AB" w:rsidRPr="0053067B" w:rsidRDefault="003234AB" w:rsidP="00A77970">
      <w:pPr>
        <w:ind w:firstLine="720"/>
        <w:jc w:val="both"/>
        <w:rPr>
          <w:lang w:eastAsia="en-US"/>
        </w:rPr>
      </w:pPr>
      <w:r w:rsidRPr="003234AB">
        <w:rPr>
          <w:i/>
          <w:lang w:val="it-IT" w:eastAsia="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32"/>
        <w:gridCol w:w="1985"/>
      </w:tblGrid>
      <w:tr w:rsidR="0053067B" w:rsidRPr="0053067B" w:rsidTr="0053067B">
        <w:trPr>
          <w:trHeight w:val="288"/>
          <w:jc w:val="center"/>
        </w:trPr>
        <w:tc>
          <w:tcPr>
            <w:tcW w:w="5732" w:type="dxa"/>
            <w:vAlign w:val="center"/>
          </w:tcPr>
          <w:p w:rsidR="0053067B" w:rsidRPr="0053067B" w:rsidRDefault="0053067B" w:rsidP="00A77970">
            <w:pPr>
              <w:autoSpaceDE w:val="0"/>
              <w:autoSpaceDN w:val="0"/>
              <w:adjustRightInd w:val="0"/>
              <w:ind w:left="90" w:hanging="24"/>
              <w:rPr>
                <w:b/>
                <w:lang w:eastAsia="en-US"/>
              </w:rPr>
            </w:pPr>
            <w:r w:rsidRPr="0053067B">
              <w:rPr>
                <w:b/>
                <w:lang w:eastAsia="en-US"/>
              </w:rPr>
              <w:t>Cazuistică</w:t>
            </w:r>
          </w:p>
        </w:tc>
        <w:tc>
          <w:tcPr>
            <w:tcW w:w="1985" w:type="dxa"/>
          </w:tcPr>
          <w:p w:rsidR="0053067B" w:rsidRPr="0053067B" w:rsidRDefault="0053067B" w:rsidP="00A77970">
            <w:pPr>
              <w:autoSpaceDE w:val="0"/>
              <w:autoSpaceDN w:val="0"/>
              <w:adjustRightInd w:val="0"/>
              <w:jc w:val="center"/>
              <w:rPr>
                <w:b/>
                <w:lang w:eastAsia="en-US"/>
              </w:rPr>
            </w:pPr>
            <w:r w:rsidRPr="0053067B">
              <w:rPr>
                <w:b/>
                <w:lang w:eastAsia="en-US"/>
              </w:rPr>
              <w:t>Nr. dosare</w:t>
            </w:r>
          </w:p>
        </w:tc>
      </w:tr>
      <w:tr w:rsidR="00976799" w:rsidRPr="0053067B" w:rsidTr="00976799">
        <w:trPr>
          <w:trHeight w:val="288"/>
          <w:jc w:val="center"/>
        </w:trPr>
        <w:tc>
          <w:tcPr>
            <w:tcW w:w="5732" w:type="dxa"/>
          </w:tcPr>
          <w:p w:rsidR="00976799" w:rsidRPr="0053067B" w:rsidRDefault="00976799" w:rsidP="00A77970">
            <w:pPr>
              <w:autoSpaceDE w:val="0"/>
              <w:autoSpaceDN w:val="0"/>
              <w:adjustRightInd w:val="0"/>
              <w:ind w:left="90" w:hanging="24"/>
              <w:jc w:val="both"/>
              <w:rPr>
                <w:lang w:eastAsia="en-US"/>
              </w:rPr>
            </w:pPr>
            <w:r w:rsidRPr="0053067B">
              <w:rPr>
                <w:lang w:eastAsia="en-US"/>
              </w:rPr>
              <w:t>Recalculare cu valorificare de adeverinte</w:t>
            </w:r>
          </w:p>
        </w:tc>
        <w:tc>
          <w:tcPr>
            <w:tcW w:w="1985" w:type="dxa"/>
            <w:vAlign w:val="center"/>
          </w:tcPr>
          <w:p w:rsidR="00976799" w:rsidRPr="00B6671D" w:rsidRDefault="00976799" w:rsidP="00976799">
            <w:pPr>
              <w:jc w:val="center"/>
            </w:pPr>
            <w:r>
              <w:t>9.790</w:t>
            </w:r>
          </w:p>
        </w:tc>
      </w:tr>
      <w:tr w:rsidR="00976799" w:rsidRPr="0053067B" w:rsidTr="00976799">
        <w:trPr>
          <w:trHeight w:val="288"/>
          <w:jc w:val="center"/>
        </w:trPr>
        <w:tc>
          <w:tcPr>
            <w:tcW w:w="5732" w:type="dxa"/>
          </w:tcPr>
          <w:p w:rsidR="00976799" w:rsidRPr="0053067B" w:rsidRDefault="00976799" w:rsidP="00A77970">
            <w:pPr>
              <w:autoSpaceDE w:val="0"/>
              <w:autoSpaceDN w:val="0"/>
              <w:adjustRightInd w:val="0"/>
              <w:ind w:left="90" w:hanging="24"/>
              <w:jc w:val="both"/>
              <w:rPr>
                <w:lang w:eastAsia="en-US"/>
              </w:rPr>
            </w:pPr>
            <w:r w:rsidRPr="0053067B">
              <w:rPr>
                <w:lang w:eastAsia="en-US"/>
              </w:rPr>
              <w:t>Alte tipuri de cereri</w:t>
            </w:r>
          </w:p>
        </w:tc>
        <w:tc>
          <w:tcPr>
            <w:tcW w:w="1985" w:type="dxa"/>
            <w:vAlign w:val="center"/>
          </w:tcPr>
          <w:p w:rsidR="00976799" w:rsidRPr="00B6671D" w:rsidRDefault="00976799" w:rsidP="00976799">
            <w:pPr>
              <w:jc w:val="center"/>
            </w:pPr>
            <w:r>
              <w:t>1.396</w:t>
            </w:r>
          </w:p>
        </w:tc>
      </w:tr>
      <w:tr w:rsidR="00976799" w:rsidRPr="0053067B" w:rsidTr="00976799">
        <w:trPr>
          <w:trHeight w:val="288"/>
          <w:jc w:val="center"/>
        </w:trPr>
        <w:tc>
          <w:tcPr>
            <w:tcW w:w="5732" w:type="dxa"/>
          </w:tcPr>
          <w:p w:rsidR="00976799" w:rsidRPr="0053067B" w:rsidRDefault="00976799" w:rsidP="00A77970">
            <w:pPr>
              <w:autoSpaceDE w:val="0"/>
              <w:autoSpaceDN w:val="0"/>
              <w:adjustRightInd w:val="0"/>
              <w:ind w:left="90" w:hanging="24"/>
              <w:jc w:val="both"/>
              <w:rPr>
                <w:lang w:eastAsia="en-US"/>
              </w:rPr>
            </w:pPr>
            <w:r w:rsidRPr="0053067B">
              <w:rPr>
                <w:lang w:eastAsia="en-US"/>
              </w:rPr>
              <w:t xml:space="preserve">Contestatie executare debit </w:t>
            </w:r>
          </w:p>
        </w:tc>
        <w:tc>
          <w:tcPr>
            <w:tcW w:w="1985" w:type="dxa"/>
            <w:vAlign w:val="center"/>
          </w:tcPr>
          <w:p w:rsidR="00976799" w:rsidRPr="00B6671D" w:rsidRDefault="00976799" w:rsidP="00976799">
            <w:pPr>
              <w:jc w:val="center"/>
            </w:pPr>
            <w:r>
              <w:t>298</w:t>
            </w:r>
          </w:p>
        </w:tc>
      </w:tr>
      <w:tr w:rsidR="00976799" w:rsidRPr="0053067B" w:rsidTr="00976799">
        <w:trPr>
          <w:trHeight w:val="288"/>
          <w:jc w:val="center"/>
        </w:trPr>
        <w:tc>
          <w:tcPr>
            <w:tcW w:w="5732" w:type="dxa"/>
          </w:tcPr>
          <w:p w:rsidR="00976799" w:rsidRPr="0053067B" w:rsidRDefault="00976799" w:rsidP="00A77970">
            <w:pPr>
              <w:autoSpaceDE w:val="0"/>
              <w:autoSpaceDN w:val="0"/>
              <w:adjustRightInd w:val="0"/>
              <w:ind w:left="90" w:hanging="24"/>
              <w:jc w:val="both"/>
              <w:rPr>
                <w:lang w:eastAsia="en-US"/>
              </w:rPr>
            </w:pPr>
            <w:r w:rsidRPr="0053067B">
              <w:rPr>
                <w:lang w:eastAsia="en-US"/>
              </w:rPr>
              <w:t>Contestaţie la executare</w:t>
            </w:r>
          </w:p>
        </w:tc>
        <w:tc>
          <w:tcPr>
            <w:tcW w:w="1985" w:type="dxa"/>
            <w:vAlign w:val="center"/>
          </w:tcPr>
          <w:p w:rsidR="00976799" w:rsidRPr="00B6671D" w:rsidRDefault="00976799" w:rsidP="00976799">
            <w:pPr>
              <w:jc w:val="center"/>
            </w:pPr>
            <w:r>
              <w:t>512</w:t>
            </w:r>
          </w:p>
        </w:tc>
      </w:tr>
      <w:tr w:rsidR="00976799" w:rsidRPr="0053067B" w:rsidTr="00976799">
        <w:trPr>
          <w:trHeight w:val="288"/>
          <w:jc w:val="center"/>
        </w:trPr>
        <w:tc>
          <w:tcPr>
            <w:tcW w:w="5732" w:type="dxa"/>
          </w:tcPr>
          <w:p w:rsidR="00976799" w:rsidRPr="0053067B" w:rsidRDefault="00976799" w:rsidP="00A77970">
            <w:pPr>
              <w:autoSpaceDE w:val="0"/>
              <w:autoSpaceDN w:val="0"/>
              <w:adjustRightInd w:val="0"/>
              <w:ind w:left="90" w:hanging="24"/>
              <w:jc w:val="both"/>
              <w:rPr>
                <w:lang w:eastAsia="en-US"/>
              </w:rPr>
            </w:pPr>
            <w:r w:rsidRPr="0053067B">
              <w:rPr>
                <w:lang w:eastAsia="en-US"/>
              </w:rPr>
              <w:t>Legi speciale (DL 118/2000, L 189/2000)</w:t>
            </w:r>
          </w:p>
        </w:tc>
        <w:tc>
          <w:tcPr>
            <w:tcW w:w="1985" w:type="dxa"/>
            <w:vAlign w:val="center"/>
          </w:tcPr>
          <w:p w:rsidR="00976799" w:rsidRPr="00B6671D" w:rsidRDefault="00976799" w:rsidP="00976799">
            <w:pPr>
              <w:jc w:val="center"/>
            </w:pPr>
            <w:r w:rsidRPr="00B6671D">
              <w:t>61</w:t>
            </w:r>
          </w:p>
        </w:tc>
      </w:tr>
      <w:tr w:rsidR="00976799" w:rsidRPr="0053067B" w:rsidTr="00976799">
        <w:trPr>
          <w:trHeight w:val="288"/>
          <w:jc w:val="center"/>
        </w:trPr>
        <w:tc>
          <w:tcPr>
            <w:tcW w:w="5732" w:type="dxa"/>
          </w:tcPr>
          <w:p w:rsidR="00976799" w:rsidRPr="0053067B" w:rsidRDefault="00976799" w:rsidP="00A77970">
            <w:pPr>
              <w:autoSpaceDE w:val="0"/>
              <w:autoSpaceDN w:val="0"/>
              <w:adjustRightInd w:val="0"/>
              <w:ind w:left="90" w:hanging="24"/>
              <w:jc w:val="both"/>
              <w:rPr>
                <w:lang w:eastAsia="en-US"/>
              </w:rPr>
            </w:pPr>
            <w:r w:rsidRPr="0053067B">
              <w:rPr>
                <w:lang w:eastAsia="en-US"/>
              </w:rPr>
              <w:t xml:space="preserve">Recalculare </w:t>
            </w:r>
          </w:p>
        </w:tc>
        <w:tc>
          <w:tcPr>
            <w:tcW w:w="1985" w:type="dxa"/>
            <w:vAlign w:val="center"/>
          </w:tcPr>
          <w:p w:rsidR="00976799" w:rsidRPr="00B6671D" w:rsidRDefault="00976799" w:rsidP="00976799">
            <w:pPr>
              <w:jc w:val="center"/>
            </w:pPr>
            <w:r w:rsidRPr="00B6671D">
              <w:t>17</w:t>
            </w:r>
          </w:p>
        </w:tc>
      </w:tr>
      <w:tr w:rsidR="00976799" w:rsidRPr="0053067B" w:rsidTr="00976799">
        <w:trPr>
          <w:trHeight w:val="288"/>
          <w:jc w:val="center"/>
        </w:trPr>
        <w:tc>
          <w:tcPr>
            <w:tcW w:w="5732" w:type="dxa"/>
          </w:tcPr>
          <w:p w:rsidR="00976799" w:rsidRPr="0053067B" w:rsidRDefault="00976799" w:rsidP="00A77970">
            <w:pPr>
              <w:autoSpaceDE w:val="0"/>
              <w:autoSpaceDN w:val="0"/>
              <w:adjustRightInd w:val="0"/>
              <w:ind w:left="90" w:hanging="24"/>
              <w:jc w:val="both"/>
              <w:rPr>
                <w:lang w:eastAsia="en-US"/>
              </w:rPr>
            </w:pPr>
            <w:r w:rsidRPr="0053067B">
              <w:rPr>
                <w:lang w:eastAsia="en-US"/>
              </w:rPr>
              <w:lastRenderedPageBreak/>
              <w:t xml:space="preserve">Pensii speciale </w:t>
            </w:r>
          </w:p>
        </w:tc>
        <w:tc>
          <w:tcPr>
            <w:tcW w:w="1985" w:type="dxa"/>
            <w:vAlign w:val="center"/>
          </w:tcPr>
          <w:p w:rsidR="00976799" w:rsidRPr="00B6671D" w:rsidRDefault="00976799" w:rsidP="00976799">
            <w:pPr>
              <w:jc w:val="center"/>
            </w:pPr>
            <w:r w:rsidRPr="00B6671D">
              <w:t>39</w:t>
            </w:r>
          </w:p>
        </w:tc>
      </w:tr>
      <w:tr w:rsidR="00976799" w:rsidRPr="0053067B" w:rsidTr="00976799">
        <w:trPr>
          <w:trHeight w:val="288"/>
          <w:jc w:val="center"/>
        </w:trPr>
        <w:tc>
          <w:tcPr>
            <w:tcW w:w="5732" w:type="dxa"/>
          </w:tcPr>
          <w:p w:rsidR="00976799" w:rsidRPr="0053067B" w:rsidRDefault="00976799" w:rsidP="00A77970">
            <w:pPr>
              <w:autoSpaceDE w:val="0"/>
              <w:autoSpaceDN w:val="0"/>
              <w:adjustRightInd w:val="0"/>
              <w:ind w:left="90" w:hanging="24"/>
              <w:jc w:val="both"/>
              <w:rPr>
                <w:lang w:eastAsia="en-US"/>
              </w:rPr>
            </w:pPr>
            <w:r w:rsidRPr="0053067B">
              <w:rPr>
                <w:lang w:eastAsia="en-US"/>
              </w:rPr>
              <w:t xml:space="preserve">Litigii muncă </w:t>
            </w:r>
          </w:p>
        </w:tc>
        <w:tc>
          <w:tcPr>
            <w:tcW w:w="1985" w:type="dxa"/>
            <w:vAlign w:val="center"/>
          </w:tcPr>
          <w:p w:rsidR="00976799" w:rsidRPr="00B6671D" w:rsidRDefault="00976799" w:rsidP="00976799">
            <w:pPr>
              <w:jc w:val="center"/>
            </w:pPr>
            <w:r w:rsidRPr="00B6671D">
              <w:t>11</w:t>
            </w:r>
          </w:p>
        </w:tc>
      </w:tr>
      <w:tr w:rsidR="00976799" w:rsidRPr="0053067B" w:rsidTr="00976799">
        <w:trPr>
          <w:trHeight w:val="288"/>
          <w:jc w:val="center"/>
        </w:trPr>
        <w:tc>
          <w:tcPr>
            <w:tcW w:w="5732" w:type="dxa"/>
          </w:tcPr>
          <w:p w:rsidR="00976799" w:rsidRPr="0053067B" w:rsidRDefault="00976799" w:rsidP="00A77970">
            <w:pPr>
              <w:autoSpaceDE w:val="0"/>
              <w:autoSpaceDN w:val="0"/>
              <w:adjustRightInd w:val="0"/>
              <w:ind w:left="90" w:hanging="24"/>
              <w:jc w:val="both"/>
              <w:rPr>
                <w:lang w:eastAsia="en-US"/>
              </w:rPr>
            </w:pPr>
            <w:r w:rsidRPr="0053067B">
              <w:rPr>
                <w:lang w:eastAsia="en-US"/>
              </w:rPr>
              <w:t xml:space="preserve">Limita de varstă </w:t>
            </w:r>
          </w:p>
        </w:tc>
        <w:tc>
          <w:tcPr>
            <w:tcW w:w="1985" w:type="dxa"/>
            <w:vAlign w:val="center"/>
          </w:tcPr>
          <w:p w:rsidR="00976799" w:rsidRPr="00B6671D" w:rsidRDefault="00976799" w:rsidP="00976799">
            <w:pPr>
              <w:jc w:val="center"/>
            </w:pPr>
            <w:r w:rsidRPr="00B6671D">
              <w:t>23</w:t>
            </w:r>
          </w:p>
        </w:tc>
      </w:tr>
      <w:tr w:rsidR="00976799" w:rsidRPr="0053067B" w:rsidTr="00976799">
        <w:trPr>
          <w:trHeight w:val="288"/>
          <w:jc w:val="center"/>
        </w:trPr>
        <w:tc>
          <w:tcPr>
            <w:tcW w:w="5732" w:type="dxa"/>
          </w:tcPr>
          <w:p w:rsidR="00976799" w:rsidRPr="0053067B" w:rsidRDefault="00976799" w:rsidP="00A77970">
            <w:pPr>
              <w:autoSpaceDE w:val="0"/>
              <w:autoSpaceDN w:val="0"/>
              <w:adjustRightInd w:val="0"/>
              <w:ind w:left="90" w:hanging="24"/>
              <w:jc w:val="both"/>
              <w:rPr>
                <w:lang w:eastAsia="en-US"/>
              </w:rPr>
            </w:pPr>
            <w:r w:rsidRPr="0053067B">
              <w:rPr>
                <w:lang w:eastAsia="en-US"/>
              </w:rPr>
              <w:t xml:space="preserve">Stagii complete de cotizare </w:t>
            </w:r>
          </w:p>
        </w:tc>
        <w:tc>
          <w:tcPr>
            <w:tcW w:w="1985" w:type="dxa"/>
            <w:vAlign w:val="center"/>
          </w:tcPr>
          <w:p w:rsidR="00976799" w:rsidRPr="00B6671D" w:rsidRDefault="00976799" w:rsidP="00976799">
            <w:pPr>
              <w:jc w:val="center"/>
            </w:pPr>
            <w:r w:rsidRPr="00B6671D">
              <w:t>81</w:t>
            </w:r>
          </w:p>
        </w:tc>
      </w:tr>
      <w:tr w:rsidR="00976799" w:rsidRPr="0053067B" w:rsidTr="00976799">
        <w:trPr>
          <w:trHeight w:val="288"/>
          <w:jc w:val="center"/>
        </w:trPr>
        <w:tc>
          <w:tcPr>
            <w:tcW w:w="5732" w:type="dxa"/>
          </w:tcPr>
          <w:p w:rsidR="00976799" w:rsidRPr="0053067B" w:rsidRDefault="00976799" w:rsidP="00A77970">
            <w:pPr>
              <w:autoSpaceDE w:val="0"/>
              <w:autoSpaceDN w:val="0"/>
              <w:adjustRightInd w:val="0"/>
              <w:ind w:left="90" w:hanging="24"/>
              <w:jc w:val="both"/>
              <w:rPr>
                <w:lang w:eastAsia="en-US"/>
              </w:rPr>
            </w:pPr>
            <w:r w:rsidRPr="0053067B">
              <w:rPr>
                <w:lang w:eastAsia="en-US"/>
              </w:rPr>
              <w:t xml:space="preserve">Punere in executare defectuoasa </w:t>
            </w:r>
          </w:p>
        </w:tc>
        <w:tc>
          <w:tcPr>
            <w:tcW w:w="1985" w:type="dxa"/>
            <w:vAlign w:val="center"/>
          </w:tcPr>
          <w:p w:rsidR="00976799" w:rsidRPr="00B6671D" w:rsidRDefault="00976799" w:rsidP="00976799">
            <w:pPr>
              <w:jc w:val="center"/>
            </w:pPr>
            <w:r w:rsidRPr="00B6671D">
              <w:t>19</w:t>
            </w:r>
          </w:p>
        </w:tc>
      </w:tr>
      <w:tr w:rsidR="00976799" w:rsidRPr="0053067B" w:rsidTr="00976799">
        <w:trPr>
          <w:trHeight w:val="288"/>
          <w:jc w:val="center"/>
        </w:trPr>
        <w:tc>
          <w:tcPr>
            <w:tcW w:w="5732" w:type="dxa"/>
          </w:tcPr>
          <w:p w:rsidR="00976799" w:rsidRPr="0053067B" w:rsidRDefault="00976799" w:rsidP="00A77970">
            <w:pPr>
              <w:autoSpaceDE w:val="0"/>
              <w:autoSpaceDN w:val="0"/>
              <w:adjustRightInd w:val="0"/>
              <w:ind w:left="90" w:hanging="24"/>
              <w:jc w:val="both"/>
              <w:rPr>
                <w:lang w:eastAsia="en-US"/>
              </w:rPr>
            </w:pPr>
            <w:r w:rsidRPr="0053067B">
              <w:rPr>
                <w:lang w:eastAsia="en-US"/>
              </w:rPr>
              <w:t>Penal</w:t>
            </w:r>
          </w:p>
        </w:tc>
        <w:tc>
          <w:tcPr>
            <w:tcW w:w="1985" w:type="dxa"/>
            <w:vAlign w:val="center"/>
          </w:tcPr>
          <w:p w:rsidR="00976799" w:rsidRPr="00B6671D" w:rsidRDefault="00976799" w:rsidP="00976799">
            <w:pPr>
              <w:jc w:val="center"/>
            </w:pPr>
            <w:r w:rsidRPr="00B6671D">
              <w:t>3</w:t>
            </w:r>
          </w:p>
        </w:tc>
      </w:tr>
      <w:tr w:rsidR="00976799" w:rsidRPr="0053067B" w:rsidTr="00976799">
        <w:trPr>
          <w:trHeight w:val="288"/>
          <w:jc w:val="center"/>
        </w:trPr>
        <w:tc>
          <w:tcPr>
            <w:tcW w:w="5732" w:type="dxa"/>
          </w:tcPr>
          <w:p w:rsidR="00976799" w:rsidRPr="0053067B" w:rsidRDefault="00976799" w:rsidP="00A77970">
            <w:pPr>
              <w:autoSpaceDE w:val="0"/>
              <w:autoSpaceDN w:val="0"/>
              <w:adjustRightInd w:val="0"/>
              <w:ind w:left="90" w:hanging="24"/>
              <w:jc w:val="both"/>
              <w:rPr>
                <w:lang w:eastAsia="en-US"/>
              </w:rPr>
            </w:pPr>
            <w:r w:rsidRPr="0053067B">
              <w:rPr>
                <w:lang w:eastAsia="en-US"/>
              </w:rPr>
              <w:t>Legea 341/2004</w:t>
            </w:r>
          </w:p>
        </w:tc>
        <w:tc>
          <w:tcPr>
            <w:tcW w:w="1985" w:type="dxa"/>
            <w:vAlign w:val="center"/>
          </w:tcPr>
          <w:p w:rsidR="00976799" w:rsidRDefault="00976799" w:rsidP="00976799">
            <w:pPr>
              <w:jc w:val="center"/>
            </w:pPr>
            <w:r w:rsidRPr="00B6671D">
              <w:t>179</w:t>
            </w:r>
          </w:p>
        </w:tc>
      </w:tr>
    </w:tbl>
    <w:p w:rsidR="0053067B" w:rsidRPr="0053067B" w:rsidRDefault="0053067B" w:rsidP="00A77970">
      <w:pPr>
        <w:ind w:firstLine="720"/>
        <w:jc w:val="both"/>
        <w:rPr>
          <w:lang w:eastAsia="en-US"/>
        </w:rPr>
      </w:pPr>
    </w:p>
    <w:p w:rsidR="0053067B" w:rsidRDefault="0053067B" w:rsidP="00A77970">
      <w:pPr>
        <w:ind w:firstLine="720"/>
        <w:jc w:val="both"/>
        <w:rPr>
          <w:lang w:eastAsia="en-US"/>
        </w:rPr>
      </w:pPr>
      <w:r w:rsidRPr="0053067B">
        <w:rPr>
          <w:lang w:eastAsia="en-US"/>
        </w:rPr>
        <w:t xml:space="preserve">Activitatea de executare silită  în anul 2017 a constat </w:t>
      </w:r>
      <w:r w:rsidR="003234AB">
        <w:rPr>
          <w:lang w:eastAsia="en-US"/>
        </w:rPr>
        <w:t>î</w:t>
      </w:r>
      <w:r w:rsidRPr="0053067B">
        <w:rPr>
          <w:lang w:eastAsia="en-US"/>
        </w:rPr>
        <w:t>n prelucrarea bazelor de date aferente celor dou</w:t>
      </w:r>
      <w:r w:rsidR="003234AB">
        <w:rPr>
          <w:lang w:eastAsia="en-US"/>
        </w:rPr>
        <w:t>ă</w:t>
      </w:r>
      <w:r w:rsidRPr="0053067B">
        <w:rPr>
          <w:lang w:eastAsia="en-US"/>
        </w:rPr>
        <w:t xml:space="preserve"> categorii de debitori din pensii </w:t>
      </w:r>
      <w:r w:rsidR="003234AB">
        <w:rPr>
          <w:lang w:eastAsia="en-US"/>
        </w:rPr>
        <w:t>ș</w:t>
      </w:r>
      <w:r w:rsidRPr="0053067B">
        <w:rPr>
          <w:lang w:eastAsia="en-US"/>
        </w:rPr>
        <w:t>i indemniza</w:t>
      </w:r>
      <w:r w:rsidR="003234AB">
        <w:rPr>
          <w:lang w:eastAsia="en-US"/>
        </w:rPr>
        <w:t>ț</w:t>
      </w:r>
      <w:r w:rsidRPr="0053067B">
        <w:rPr>
          <w:lang w:eastAsia="en-US"/>
        </w:rPr>
        <w:t>ii din Bugetul Asigur</w:t>
      </w:r>
      <w:r w:rsidR="003234AB">
        <w:rPr>
          <w:lang w:eastAsia="en-US"/>
        </w:rPr>
        <w:t>ăr</w:t>
      </w:r>
      <w:r w:rsidRPr="0053067B">
        <w:rPr>
          <w:lang w:eastAsia="en-US"/>
        </w:rPr>
        <w:t xml:space="preserve">ilor Sociale de Stat </w:t>
      </w:r>
      <w:r w:rsidR="003234AB">
        <w:rPr>
          <w:lang w:eastAsia="en-US"/>
        </w:rPr>
        <w:t>ș</w:t>
      </w:r>
      <w:r w:rsidRPr="0053067B">
        <w:rPr>
          <w:lang w:eastAsia="en-US"/>
        </w:rPr>
        <w:t>i Bugetul de Stat:</w:t>
      </w:r>
    </w:p>
    <w:p w:rsidR="0053067B" w:rsidRPr="0053067B" w:rsidRDefault="0053067B" w:rsidP="00A77970">
      <w:pPr>
        <w:ind w:firstLine="720"/>
        <w:jc w:val="both"/>
        <w:rPr>
          <w:lang w:eastAsia="en-US"/>
        </w:rPr>
      </w:pPr>
    </w:p>
    <w:tbl>
      <w:tblPr>
        <w:tblW w:w="0" w:type="auto"/>
        <w:jc w:val="center"/>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8"/>
        <w:gridCol w:w="1870"/>
        <w:gridCol w:w="1701"/>
        <w:gridCol w:w="1861"/>
        <w:gridCol w:w="2136"/>
      </w:tblGrid>
      <w:tr w:rsidR="0053067B" w:rsidRPr="0053067B" w:rsidTr="0053067B">
        <w:trPr>
          <w:jc w:val="center"/>
        </w:trPr>
        <w:tc>
          <w:tcPr>
            <w:tcW w:w="2128" w:type="dxa"/>
            <w:tcBorders>
              <w:top w:val="single" w:sz="4" w:space="0" w:color="auto"/>
              <w:left w:val="single" w:sz="4" w:space="0" w:color="auto"/>
              <w:bottom w:val="single" w:sz="4" w:space="0" w:color="auto"/>
              <w:right w:val="single" w:sz="4" w:space="0" w:color="auto"/>
            </w:tcBorders>
          </w:tcPr>
          <w:p w:rsidR="0053067B" w:rsidRPr="0053067B" w:rsidRDefault="0053067B" w:rsidP="00A77970">
            <w:pPr>
              <w:autoSpaceDE w:val="0"/>
              <w:autoSpaceDN w:val="0"/>
              <w:adjustRightInd w:val="0"/>
              <w:ind w:left="90" w:firstLine="270"/>
              <w:jc w:val="both"/>
              <w:rPr>
                <w:b/>
                <w:lang w:eastAsia="en-US"/>
              </w:rPr>
            </w:pPr>
          </w:p>
        </w:tc>
        <w:tc>
          <w:tcPr>
            <w:tcW w:w="1870" w:type="dxa"/>
            <w:tcBorders>
              <w:top w:val="single" w:sz="4" w:space="0" w:color="auto"/>
              <w:left w:val="single" w:sz="4" w:space="0" w:color="auto"/>
              <w:bottom w:val="single" w:sz="4" w:space="0" w:color="auto"/>
              <w:right w:val="single" w:sz="4" w:space="0" w:color="auto"/>
            </w:tcBorders>
            <w:vAlign w:val="center"/>
            <w:hideMark/>
          </w:tcPr>
          <w:p w:rsidR="0053067B" w:rsidRPr="0053067B" w:rsidRDefault="0053067B" w:rsidP="00A77970">
            <w:pPr>
              <w:autoSpaceDE w:val="0"/>
              <w:autoSpaceDN w:val="0"/>
              <w:adjustRightInd w:val="0"/>
              <w:ind w:left="64" w:hanging="141"/>
              <w:jc w:val="center"/>
              <w:rPr>
                <w:b/>
                <w:lang w:eastAsia="en-US"/>
              </w:rPr>
            </w:pPr>
            <w:r w:rsidRPr="0053067B">
              <w:rPr>
                <w:b/>
                <w:lang w:eastAsia="en-US"/>
              </w:rPr>
              <w:t>Sold ini</w:t>
            </w:r>
            <w:r w:rsidR="003234AB">
              <w:rPr>
                <w:b/>
                <w:lang w:eastAsia="en-US"/>
              </w:rPr>
              <w:t>ț</w:t>
            </w:r>
            <w:r w:rsidRPr="0053067B">
              <w:rPr>
                <w:b/>
                <w:lang w:eastAsia="en-US"/>
              </w:rPr>
              <w:t>ial la 01.01.2017</w:t>
            </w:r>
          </w:p>
        </w:tc>
        <w:tc>
          <w:tcPr>
            <w:tcW w:w="1701" w:type="dxa"/>
            <w:tcBorders>
              <w:top w:val="single" w:sz="4" w:space="0" w:color="auto"/>
              <w:left w:val="single" w:sz="4" w:space="0" w:color="auto"/>
              <w:bottom w:val="single" w:sz="4" w:space="0" w:color="auto"/>
              <w:right w:val="single" w:sz="4" w:space="0" w:color="auto"/>
            </w:tcBorders>
            <w:vAlign w:val="center"/>
            <w:hideMark/>
          </w:tcPr>
          <w:p w:rsidR="0053067B" w:rsidRPr="0053067B" w:rsidRDefault="0053067B" w:rsidP="00A77970">
            <w:pPr>
              <w:autoSpaceDE w:val="0"/>
              <w:autoSpaceDN w:val="0"/>
              <w:adjustRightInd w:val="0"/>
              <w:jc w:val="center"/>
              <w:rPr>
                <w:b/>
                <w:lang w:eastAsia="en-US"/>
              </w:rPr>
            </w:pPr>
            <w:r w:rsidRPr="0053067B">
              <w:rPr>
                <w:b/>
                <w:lang w:eastAsia="en-US"/>
              </w:rPr>
              <w:t>Intr</w:t>
            </w:r>
            <w:r w:rsidR="003234AB">
              <w:rPr>
                <w:b/>
                <w:lang w:eastAsia="en-US"/>
              </w:rPr>
              <w:t>ă</w:t>
            </w:r>
            <w:r w:rsidRPr="0053067B">
              <w:rPr>
                <w:b/>
                <w:lang w:eastAsia="en-US"/>
              </w:rPr>
              <w:t>ri</w:t>
            </w:r>
          </w:p>
        </w:tc>
        <w:tc>
          <w:tcPr>
            <w:tcW w:w="1861" w:type="dxa"/>
            <w:tcBorders>
              <w:top w:val="single" w:sz="4" w:space="0" w:color="auto"/>
              <w:left w:val="single" w:sz="4" w:space="0" w:color="auto"/>
              <w:bottom w:val="single" w:sz="4" w:space="0" w:color="auto"/>
              <w:right w:val="single" w:sz="4" w:space="0" w:color="auto"/>
            </w:tcBorders>
            <w:vAlign w:val="center"/>
            <w:hideMark/>
          </w:tcPr>
          <w:p w:rsidR="0053067B" w:rsidRPr="0053067B" w:rsidRDefault="0053067B" w:rsidP="00A77970">
            <w:pPr>
              <w:autoSpaceDE w:val="0"/>
              <w:autoSpaceDN w:val="0"/>
              <w:adjustRightInd w:val="0"/>
              <w:jc w:val="center"/>
              <w:rPr>
                <w:b/>
                <w:lang w:eastAsia="en-US"/>
              </w:rPr>
            </w:pPr>
            <w:r w:rsidRPr="0053067B">
              <w:rPr>
                <w:b/>
                <w:lang w:eastAsia="en-US"/>
              </w:rPr>
              <w:t>Stinse</w:t>
            </w:r>
          </w:p>
        </w:tc>
        <w:tc>
          <w:tcPr>
            <w:tcW w:w="2136" w:type="dxa"/>
            <w:tcBorders>
              <w:top w:val="single" w:sz="4" w:space="0" w:color="auto"/>
              <w:left w:val="single" w:sz="4" w:space="0" w:color="auto"/>
              <w:bottom w:val="single" w:sz="4" w:space="0" w:color="auto"/>
              <w:right w:val="single" w:sz="4" w:space="0" w:color="auto"/>
            </w:tcBorders>
            <w:vAlign w:val="center"/>
            <w:hideMark/>
          </w:tcPr>
          <w:p w:rsidR="0053067B" w:rsidRPr="0053067B" w:rsidRDefault="000E665D" w:rsidP="00A77970">
            <w:pPr>
              <w:autoSpaceDE w:val="0"/>
              <w:autoSpaceDN w:val="0"/>
              <w:adjustRightInd w:val="0"/>
              <w:ind w:firstLine="19"/>
              <w:jc w:val="center"/>
              <w:rPr>
                <w:b/>
                <w:lang w:eastAsia="en-US"/>
              </w:rPr>
            </w:pPr>
            <w:r>
              <w:rPr>
                <w:b/>
                <w:lang w:eastAsia="en-US"/>
              </w:rPr>
              <w:t>Sold final la 30.11.2018</w:t>
            </w:r>
          </w:p>
        </w:tc>
      </w:tr>
      <w:tr w:rsidR="000E665D" w:rsidRPr="0053067B" w:rsidTr="000E665D">
        <w:trPr>
          <w:jc w:val="center"/>
        </w:trPr>
        <w:tc>
          <w:tcPr>
            <w:tcW w:w="2128" w:type="dxa"/>
            <w:tcBorders>
              <w:top w:val="single" w:sz="4" w:space="0" w:color="auto"/>
              <w:left w:val="single" w:sz="4" w:space="0" w:color="auto"/>
              <w:bottom w:val="single" w:sz="4" w:space="0" w:color="auto"/>
              <w:right w:val="single" w:sz="4" w:space="0" w:color="auto"/>
            </w:tcBorders>
            <w:hideMark/>
          </w:tcPr>
          <w:p w:rsidR="000E665D" w:rsidRPr="0053067B" w:rsidRDefault="000E665D" w:rsidP="00A77970">
            <w:pPr>
              <w:autoSpaceDE w:val="0"/>
              <w:autoSpaceDN w:val="0"/>
              <w:adjustRightInd w:val="0"/>
              <w:ind w:right="34"/>
              <w:rPr>
                <w:lang w:eastAsia="en-US"/>
              </w:rPr>
            </w:pPr>
            <w:r w:rsidRPr="0053067B">
              <w:rPr>
                <w:lang w:eastAsia="en-US"/>
              </w:rPr>
              <w:t>Nr. cazuri (dosare)</w:t>
            </w:r>
          </w:p>
        </w:tc>
        <w:tc>
          <w:tcPr>
            <w:tcW w:w="1870" w:type="dxa"/>
            <w:tcBorders>
              <w:top w:val="single" w:sz="4" w:space="0" w:color="auto"/>
              <w:left w:val="single" w:sz="4" w:space="0" w:color="auto"/>
              <w:bottom w:val="single" w:sz="4" w:space="0" w:color="auto"/>
              <w:right w:val="single" w:sz="4" w:space="0" w:color="auto"/>
            </w:tcBorders>
            <w:vAlign w:val="center"/>
            <w:hideMark/>
          </w:tcPr>
          <w:p w:rsidR="000E665D" w:rsidRPr="00A00459" w:rsidRDefault="000E665D" w:rsidP="000E665D">
            <w:pPr>
              <w:jc w:val="center"/>
            </w:pPr>
            <w:r w:rsidRPr="00A00459">
              <w:t>578</w:t>
            </w:r>
          </w:p>
        </w:tc>
        <w:tc>
          <w:tcPr>
            <w:tcW w:w="1701" w:type="dxa"/>
            <w:tcBorders>
              <w:top w:val="single" w:sz="4" w:space="0" w:color="auto"/>
              <w:left w:val="single" w:sz="4" w:space="0" w:color="auto"/>
              <w:bottom w:val="single" w:sz="4" w:space="0" w:color="auto"/>
              <w:right w:val="single" w:sz="4" w:space="0" w:color="auto"/>
            </w:tcBorders>
            <w:vAlign w:val="center"/>
            <w:hideMark/>
          </w:tcPr>
          <w:p w:rsidR="000E665D" w:rsidRPr="00A00459" w:rsidRDefault="000E665D" w:rsidP="000E665D">
            <w:pPr>
              <w:jc w:val="center"/>
            </w:pPr>
            <w:r w:rsidRPr="00A00459">
              <w:t>150</w:t>
            </w:r>
          </w:p>
        </w:tc>
        <w:tc>
          <w:tcPr>
            <w:tcW w:w="1861" w:type="dxa"/>
            <w:tcBorders>
              <w:top w:val="single" w:sz="4" w:space="0" w:color="auto"/>
              <w:left w:val="single" w:sz="4" w:space="0" w:color="auto"/>
              <w:bottom w:val="single" w:sz="4" w:space="0" w:color="auto"/>
              <w:right w:val="single" w:sz="4" w:space="0" w:color="auto"/>
            </w:tcBorders>
            <w:vAlign w:val="center"/>
            <w:hideMark/>
          </w:tcPr>
          <w:p w:rsidR="000E665D" w:rsidRPr="00A00459" w:rsidRDefault="000E665D" w:rsidP="000E665D">
            <w:pPr>
              <w:jc w:val="center"/>
            </w:pPr>
            <w:r w:rsidRPr="00A00459">
              <w:t>358</w:t>
            </w:r>
          </w:p>
        </w:tc>
        <w:tc>
          <w:tcPr>
            <w:tcW w:w="2136" w:type="dxa"/>
            <w:tcBorders>
              <w:top w:val="single" w:sz="4" w:space="0" w:color="auto"/>
              <w:left w:val="single" w:sz="4" w:space="0" w:color="auto"/>
              <w:bottom w:val="single" w:sz="4" w:space="0" w:color="auto"/>
              <w:right w:val="single" w:sz="4" w:space="0" w:color="auto"/>
            </w:tcBorders>
            <w:vAlign w:val="center"/>
            <w:hideMark/>
          </w:tcPr>
          <w:p w:rsidR="000E665D" w:rsidRPr="00A00459" w:rsidRDefault="000E665D" w:rsidP="000E665D">
            <w:pPr>
              <w:jc w:val="center"/>
            </w:pPr>
            <w:r w:rsidRPr="00A00459">
              <w:t>470</w:t>
            </w:r>
          </w:p>
        </w:tc>
      </w:tr>
      <w:tr w:rsidR="000E665D" w:rsidRPr="0053067B" w:rsidTr="000E665D">
        <w:trPr>
          <w:jc w:val="center"/>
        </w:trPr>
        <w:tc>
          <w:tcPr>
            <w:tcW w:w="2128" w:type="dxa"/>
            <w:tcBorders>
              <w:top w:val="single" w:sz="4" w:space="0" w:color="auto"/>
              <w:left w:val="single" w:sz="4" w:space="0" w:color="auto"/>
              <w:bottom w:val="single" w:sz="4" w:space="0" w:color="auto"/>
              <w:right w:val="single" w:sz="4" w:space="0" w:color="auto"/>
            </w:tcBorders>
            <w:hideMark/>
          </w:tcPr>
          <w:p w:rsidR="000E665D" w:rsidRPr="0053067B" w:rsidRDefault="000E665D" w:rsidP="00A77970">
            <w:pPr>
              <w:autoSpaceDE w:val="0"/>
              <w:autoSpaceDN w:val="0"/>
              <w:adjustRightInd w:val="0"/>
              <w:ind w:right="34"/>
              <w:rPr>
                <w:lang w:eastAsia="en-US"/>
              </w:rPr>
            </w:pPr>
            <w:r w:rsidRPr="0053067B">
              <w:rPr>
                <w:lang w:eastAsia="en-US"/>
              </w:rPr>
              <w:t>Sume datorate (lei)</w:t>
            </w:r>
          </w:p>
        </w:tc>
        <w:tc>
          <w:tcPr>
            <w:tcW w:w="1870" w:type="dxa"/>
            <w:tcBorders>
              <w:top w:val="single" w:sz="4" w:space="0" w:color="auto"/>
              <w:left w:val="single" w:sz="4" w:space="0" w:color="auto"/>
              <w:bottom w:val="single" w:sz="4" w:space="0" w:color="auto"/>
              <w:right w:val="single" w:sz="4" w:space="0" w:color="auto"/>
            </w:tcBorders>
            <w:vAlign w:val="center"/>
            <w:hideMark/>
          </w:tcPr>
          <w:p w:rsidR="000E665D" w:rsidRPr="00A00459" w:rsidRDefault="000E665D" w:rsidP="000E665D">
            <w:pPr>
              <w:jc w:val="center"/>
            </w:pPr>
            <w:r w:rsidRPr="00A00459">
              <w:t>2.630.395</w:t>
            </w:r>
          </w:p>
        </w:tc>
        <w:tc>
          <w:tcPr>
            <w:tcW w:w="1701" w:type="dxa"/>
            <w:tcBorders>
              <w:top w:val="single" w:sz="4" w:space="0" w:color="auto"/>
              <w:left w:val="single" w:sz="4" w:space="0" w:color="auto"/>
              <w:bottom w:val="single" w:sz="4" w:space="0" w:color="auto"/>
              <w:right w:val="single" w:sz="4" w:space="0" w:color="auto"/>
            </w:tcBorders>
            <w:vAlign w:val="center"/>
            <w:hideMark/>
          </w:tcPr>
          <w:p w:rsidR="000E665D" w:rsidRPr="00A00459" w:rsidRDefault="000E665D" w:rsidP="000E665D">
            <w:pPr>
              <w:jc w:val="center"/>
            </w:pPr>
            <w:r w:rsidRPr="00A00459">
              <w:t>496.458</w:t>
            </w:r>
          </w:p>
        </w:tc>
        <w:tc>
          <w:tcPr>
            <w:tcW w:w="1861" w:type="dxa"/>
            <w:tcBorders>
              <w:top w:val="single" w:sz="4" w:space="0" w:color="auto"/>
              <w:left w:val="single" w:sz="4" w:space="0" w:color="auto"/>
              <w:bottom w:val="single" w:sz="4" w:space="0" w:color="auto"/>
              <w:right w:val="single" w:sz="4" w:space="0" w:color="auto"/>
            </w:tcBorders>
            <w:vAlign w:val="center"/>
            <w:hideMark/>
          </w:tcPr>
          <w:p w:rsidR="000E665D" w:rsidRPr="00A00459" w:rsidRDefault="000E665D" w:rsidP="000E665D">
            <w:pPr>
              <w:jc w:val="center"/>
            </w:pPr>
            <w:r w:rsidRPr="00A00459">
              <w:t>619.988</w:t>
            </w:r>
          </w:p>
        </w:tc>
        <w:tc>
          <w:tcPr>
            <w:tcW w:w="2136" w:type="dxa"/>
            <w:tcBorders>
              <w:top w:val="single" w:sz="4" w:space="0" w:color="auto"/>
              <w:left w:val="single" w:sz="4" w:space="0" w:color="auto"/>
              <w:bottom w:val="single" w:sz="4" w:space="0" w:color="auto"/>
              <w:right w:val="single" w:sz="4" w:space="0" w:color="auto"/>
            </w:tcBorders>
            <w:vAlign w:val="center"/>
            <w:hideMark/>
          </w:tcPr>
          <w:p w:rsidR="000E665D" w:rsidRDefault="000E665D" w:rsidP="000E665D">
            <w:pPr>
              <w:jc w:val="center"/>
            </w:pPr>
            <w:r w:rsidRPr="00A00459">
              <w:t>2.506.865</w:t>
            </w:r>
          </w:p>
        </w:tc>
      </w:tr>
    </w:tbl>
    <w:p w:rsidR="0053067B" w:rsidRPr="0053067B" w:rsidRDefault="0053067B" w:rsidP="00A77970">
      <w:pPr>
        <w:ind w:left="1080"/>
        <w:jc w:val="right"/>
        <w:rPr>
          <w:i/>
          <w:color w:val="0000FF"/>
          <w:lang w:eastAsia="en-US"/>
        </w:rPr>
      </w:pPr>
    </w:p>
    <w:p w:rsidR="003234AB" w:rsidRDefault="003234AB" w:rsidP="00A77970">
      <w:pPr>
        <w:jc w:val="both"/>
        <w:rPr>
          <w:lang w:eastAsia="en-US"/>
        </w:rPr>
      </w:pPr>
      <w:r>
        <w:rPr>
          <w:lang w:eastAsia="en-US"/>
        </w:rPr>
        <w:t xml:space="preserve">  </w:t>
      </w:r>
      <w:r>
        <w:rPr>
          <w:lang w:eastAsia="en-US"/>
        </w:rPr>
        <w:tab/>
        <w:t>Activitate</w:t>
      </w:r>
      <w:r w:rsidR="00746527">
        <w:rPr>
          <w:lang w:eastAsia="en-US"/>
        </w:rPr>
        <w:t>a</w:t>
      </w:r>
      <w:r>
        <w:rPr>
          <w:lang w:eastAsia="en-US"/>
        </w:rPr>
        <w:t xml:space="preserve"> desfăsurată de către </w:t>
      </w:r>
      <w:r w:rsidRPr="00746527">
        <w:rPr>
          <w:i/>
          <w:lang w:eastAsia="en-US"/>
        </w:rPr>
        <w:t>Serviciul Accidente de Muncă și Boli Profesionale</w:t>
      </w:r>
      <w:r>
        <w:rPr>
          <w:lang w:eastAsia="en-US"/>
        </w:rPr>
        <w:t xml:space="preserve"> este destinată prevenirii accidentelor de muncă și boli profesionale, precum și </w:t>
      </w:r>
      <w:r w:rsidR="00746527">
        <w:rPr>
          <w:lang w:eastAsia="en-US"/>
        </w:rPr>
        <w:t>î</w:t>
      </w:r>
      <w:r>
        <w:rPr>
          <w:lang w:eastAsia="en-US"/>
        </w:rPr>
        <w:t>mbunătă</w:t>
      </w:r>
      <w:r w:rsidR="00746527">
        <w:rPr>
          <w:lang w:eastAsia="en-US"/>
        </w:rPr>
        <w:t>ț</w:t>
      </w:r>
      <w:r>
        <w:rPr>
          <w:lang w:eastAsia="en-US"/>
        </w:rPr>
        <w:t>irii condițiilor de muncă la angajatorii care au sediul s</w:t>
      </w:r>
      <w:r w:rsidR="000E665D">
        <w:rPr>
          <w:lang w:eastAsia="en-US"/>
        </w:rPr>
        <w:t xml:space="preserve">ocial în Municipiul București. </w:t>
      </w:r>
      <w:r>
        <w:rPr>
          <w:lang w:eastAsia="en-US"/>
        </w:rPr>
        <w:t xml:space="preserve"> </w:t>
      </w:r>
    </w:p>
    <w:p w:rsidR="003234AB" w:rsidRDefault="003234AB" w:rsidP="00A77970">
      <w:pPr>
        <w:jc w:val="both"/>
        <w:rPr>
          <w:lang w:eastAsia="en-US"/>
        </w:rPr>
      </w:pPr>
      <w:r>
        <w:rPr>
          <w:lang w:eastAsia="en-US"/>
        </w:rPr>
        <w:t xml:space="preserve">  </w:t>
      </w:r>
      <w:r>
        <w:rPr>
          <w:lang w:eastAsia="en-US"/>
        </w:rPr>
        <w:tab/>
        <w:t>În anul 201</w:t>
      </w:r>
      <w:r w:rsidR="000E665D">
        <w:rPr>
          <w:lang w:eastAsia="en-US"/>
        </w:rPr>
        <w:t>8</w:t>
      </w:r>
      <w:r>
        <w:rPr>
          <w:lang w:eastAsia="en-US"/>
        </w:rPr>
        <w:t xml:space="preserve"> au fost luate în evidentă: </w:t>
      </w:r>
    </w:p>
    <w:p w:rsidR="000E665D" w:rsidRDefault="000E665D" w:rsidP="00980D72">
      <w:pPr>
        <w:pStyle w:val="ListParagraph"/>
        <w:numPr>
          <w:ilvl w:val="0"/>
          <w:numId w:val="32"/>
        </w:numPr>
        <w:ind w:left="0" w:firstLine="360"/>
        <w:jc w:val="both"/>
        <w:rPr>
          <w:lang w:eastAsia="en-US"/>
        </w:rPr>
      </w:pPr>
      <w:r>
        <w:rPr>
          <w:lang w:eastAsia="en-US"/>
        </w:rPr>
        <w:t xml:space="preserve">Dosare de accidente de muncă depuse şi înregistrate 1405 cu incapacitate temporară de muncă, 77 invalidităţi şi mortale;  </w:t>
      </w:r>
    </w:p>
    <w:p w:rsidR="000E665D" w:rsidRDefault="000E665D" w:rsidP="00980D72">
      <w:pPr>
        <w:pStyle w:val="ListParagraph"/>
        <w:numPr>
          <w:ilvl w:val="0"/>
          <w:numId w:val="32"/>
        </w:numPr>
        <w:ind w:left="0" w:firstLine="360"/>
        <w:jc w:val="both"/>
        <w:rPr>
          <w:lang w:eastAsia="en-US"/>
        </w:rPr>
      </w:pPr>
      <w:r>
        <w:rPr>
          <w:lang w:eastAsia="en-US"/>
        </w:rPr>
        <w:t>Accidente în afara muncii - 94;</w:t>
      </w:r>
    </w:p>
    <w:p w:rsidR="000E665D" w:rsidRDefault="000E665D" w:rsidP="00980D72">
      <w:pPr>
        <w:pStyle w:val="ListParagraph"/>
        <w:numPr>
          <w:ilvl w:val="0"/>
          <w:numId w:val="32"/>
        </w:numPr>
        <w:ind w:left="0" w:firstLine="360"/>
        <w:jc w:val="both"/>
        <w:rPr>
          <w:lang w:eastAsia="en-US"/>
        </w:rPr>
      </w:pPr>
      <w:r>
        <w:rPr>
          <w:lang w:eastAsia="en-US"/>
        </w:rPr>
        <w:t>Accidente uşoare -111;</w:t>
      </w:r>
    </w:p>
    <w:p w:rsidR="000E665D" w:rsidRDefault="000E665D" w:rsidP="00980D72">
      <w:pPr>
        <w:pStyle w:val="ListParagraph"/>
        <w:numPr>
          <w:ilvl w:val="0"/>
          <w:numId w:val="32"/>
        </w:numPr>
        <w:ind w:left="0" w:firstLine="360"/>
        <w:jc w:val="both"/>
        <w:rPr>
          <w:lang w:eastAsia="en-US"/>
        </w:rPr>
      </w:pPr>
      <w:r>
        <w:rPr>
          <w:lang w:eastAsia="en-US"/>
        </w:rPr>
        <w:t>Boli profesionale înregistrate  -54;</w:t>
      </w:r>
    </w:p>
    <w:p w:rsidR="000E665D" w:rsidRDefault="000E665D" w:rsidP="00980D72">
      <w:pPr>
        <w:pStyle w:val="ListParagraph"/>
        <w:numPr>
          <w:ilvl w:val="0"/>
          <w:numId w:val="32"/>
        </w:numPr>
        <w:ind w:left="0" w:firstLine="360"/>
        <w:jc w:val="both"/>
        <w:rPr>
          <w:lang w:eastAsia="en-US"/>
        </w:rPr>
      </w:pPr>
      <w:r>
        <w:rPr>
          <w:lang w:eastAsia="en-US"/>
        </w:rPr>
        <w:t>Comunicări ale evenimentelor -914;</w:t>
      </w:r>
    </w:p>
    <w:p w:rsidR="000E665D" w:rsidRDefault="000E665D" w:rsidP="00980D72">
      <w:pPr>
        <w:pStyle w:val="ListParagraph"/>
        <w:numPr>
          <w:ilvl w:val="0"/>
          <w:numId w:val="32"/>
        </w:numPr>
        <w:ind w:left="0" w:firstLine="360"/>
        <w:jc w:val="both"/>
        <w:rPr>
          <w:lang w:eastAsia="en-US"/>
        </w:rPr>
      </w:pPr>
      <w:r>
        <w:rPr>
          <w:lang w:eastAsia="en-US"/>
        </w:rPr>
        <w:t>Reluări de activitate -910;</w:t>
      </w:r>
    </w:p>
    <w:p w:rsidR="000E665D" w:rsidRDefault="000E665D" w:rsidP="00980D72">
      <w:pPr>
        <w:pStyle w:val="ListParagraph"/>
        <w:numPr>
          <w:ilvl w:val="0"/>
          <w:numId w:val="32"/>
        </w:numPr>
        <w:ind w:left="0" w:firstLine="360"/>
        <w:jc w:val="both"/>
        <w:rPr>
          <w:lang w:eastAsia="en-US"/>
        </w:rPr>
      </w:pPr>
      <w:r>
        <w:rPr>
          <w:lang w:eastAsia="en-US"/>
        </w:rPr>
        <w:t>Concedii medicale avizate -2200;</w:t>
      </w:r>
    </w:p>
    <w:p w:rsidR="000E665D" w:rsidRDefault="000E665D" w:rsidP="00980D72">
      <w:pPr>
        <w:pStyle w:val="ListParagraph"/>
        <w:numPr>
          <w:ilvl w:val="0"/>
          <w:numId w:val="32"/>
        </w:numPr>
        <w:ind w:left="0" w:firstLine="360"/>
        <w:jc w:val="both"/>
        <w:rPr>
          <w:lang w:eastAsia="en-US"/>
        </w:rPr>
      </w:pPr>
      <w:r>
        <w:rPr>
          <w:lang w:eastAsia="en-US"/>
        </w:rPr>
        <w:t>Întocmirea documentelor europene pentru avizarea şi punerea în plată a accidentelor de muncă şi a bolilor profesionale suferite pe teritoriul altor state europene  de către lucrătorii români care lucrează prin firme autorizate şi de către lucrătorii  independenţi care desfăşoară activităţi în acestea - 46.</w:t>
      </w:r>
    </w:p>
    <w:p w:rsidR="003234AB" w:rsidRDefault="00746527" w:rsidP="00A77970">
      <w:pPr>
        <w:jc w:val="both"/>
        <w:rPr>
          <w:lang w:eastAsia="en-US"/>
        </w:rPr>
      </w:pPr>
      <w:r>
        <w:rPr>
          <w:lang w:eastAsia="en-US"/>
        </w:rPr>
        <w:tab/>
      </w:r>
      <w:r w:rsidR="003234AB">
        <w:rPr>
          <w:lang w:eastAsia="en-US"/>
        </w:rPr>
        <w:t xml:space="preserve">Au fost acordate următoarele prestații și servicii de asigurare pentru accidente de muncă și boli profesionale: </w:t>
      </w:r>
    </w:p>
    <w:p w:rsidR="003234AB" w:rsidRDefault="003234AB" w:rsidP="00980D72">
      <w:pPr>
        <w:pStyle w:val="ListParagraph"/>
        <w:numPr>
          <w:ilvl w:val="0"/>
          <w:numId w:val="26"/>
        </w:numPr>
        <w:jc w:val="both"/>
        <w:rPr>
          <w:lang w:eastAsia="en-US"/>
        </w:rPr>
      </w:pPr>
      <w:r>
        <w:rPr>
          <w:lang w:eastAsia="en-US"/>
        </w:rPr>
        <w:t xml:space="preserve">reabilitare medicală și recuperarea capacitătii de muncă – </w:t>
      </w:r>
      <w:r w:rsidR="000E665D" w:rsidRPr="000E665D">
        <w:rPr>
          <w:lang w:eastAsia="en-US"/>
        </w:rPr>
        <w:t>2.688.308 lei (905 cazuri) din care 459.662,98 lei (9 cazuri) prestații și servicii acordate pentru lucratorii</w:t>
      </w:r>
      <w:r w:rsidR="000E665D">
        <w:rPr>
          <w:lang w:eastAsia="en-US"/>
        </w:rPr>
        <w:t xml:space="preserve"> migranți si 1700 lei  (proteza)</w:t>
      </w:r>
      <w:r>
        <w:rPr>
          <w:lang w:eastAsia="en-US"/>
        </w:rPr>
        <w:t xml:space="preserve">; </w:t>
      </w:r>
    </w:p>
    <w:p w:rsidR="000E665D" w:rsidRDefault="003234AB" w:rsidP="00980D72">
      <w:pPr>
        <w:pStyle w:val="ListParagraph"/>
        <w:numPr>
          <w:ilvl w:val="0"/>
          <w:numId w:val="26"/>
        </w:numPr>
        <w:jc w:val="both"/>
        <w:rPr>
          <w:lang w:eastAsia="en-US"/>
        </w:rPr>
      </w:pPr>
      <w:r>
        <w:rPr>
          <w:lang w:eastAsia="en-US"/>
        </w:rPr>
        <w:t xml:space="preserve">indemnizație pentru incapacitate temporară de muncă platită către angajatori </w:t>
      </w:r>
      <w:r w:rsidR="000E665D" w:rsidRPr="000E665D">
        <w:rPr>
          <w:lang w:eastAsia="en-US"/>
        </w:rPr>
        <w:t>(diferenţa de indemnizaţie pentru anii anteriori) – 133.229 lei (191 cazuri</w:t>
      </w:r>
      <w:r w:rsidR="000E665D">
        <w:rPr>
          <w:lang w:eastAsia="en-US"/>
        </w:rPr>
        <w:t>);</w:t>
      </w:r>
    </w:p>
    <w:p w:rsidR="003234AB" w:rsidRDefault="000E665D" w:rsidP="00980D72">
      <w:pPr>
        <w:pStyle w:val="ListParagraph"/>
        <w:numPr>
          <w:ilvl w:val="0"/>
          <w:numId w:val="26"/>
        </w:numPr>
        <w:rPr>
          <w:lang w:eastAsia="en-US"/>
        </w:rPr>
      </w:pPr>
      <w:r>
        <w:rPr>
          <w:lang w:eastAsia="en-US"/>
        </w:rPr>
        <w:t>i</w:t>
      </w:r>
      <w:r w:rsidRPr="000E665D">
        <w:rPr>
          <w:lang w:eastAsia="en-US"/>
        </w:rPr>
        <w:t>ndemnizaţie pentru incapacitate temporară de muncă platită către angajatori aferentă anului 2018 – 1.875.771 lei (1063 cazuri);</w:t>
      </w:r>
      <w:r w:rsidR="003234AB">
        <w:rPr>
          <w:lang w:eastAsia="en-US"/>
        </w:rPr>
        <w:t xml:space="preserve"> </w:t>
      </w:r>
    </w:p>
    <w:p w:rsidR="003234AB" w:rsidRDefault="003234AB" w:rsidP="00980D72">
      <w:pPr>
        <w:pStyle w:val="ListParagraph"/>
        <w:numPr>
          <w:ilvl w:val="0"/>
          <w:numId w:val="26"/>
        </w:numPr>
        <w:jc w:val="both"/>
        <w:rPr>
          <w:lang w:eastAsia="en-US"/>
        </w:rPr>
      </w:pPr>
      <w:r>
        <w:rPr>
          <w:lang w:eastAsia="en-US"/>
        </w:rPr>
        <w:t>despăgubiri în caz de deces -</w:t>
      </w:r>
      <w:r w:rsidR="000E665D" w:rsidRPr="000E665D">
        <w:rPr>
          <w:lang w:eastAsia="en-US"/>
        </w:rPr>
        <w:t>250.568  lei (19 cazuri)</w:t>
      </w:r>
      <w:r w:rsidR="000E665D">
        <w:rPr>
          <w:lang w:eastAsia="en-US"/>
        </w:rPr>
        <w:t>;</w:t>
      </w:r>
    </w:p>
    <w:p w:rsidR="003234AB" w:rsidRDefault="003234AB" w:rsidP="00980D72">
      <w:pPr>
        <w:pStyle w:val="ListParagraph"/>
        <w:numPr>
          <w:ilvl w:val="0"/>
          <w:numId w:val="26"/>
        </w:numPr>
        <w:ind w:left="0" w:firstLine="284"/>
        <w:jc w:val="both"/>
        <w:rPr>
          <w:lang w:eastAsia="en-US"/>
        </w:rPr>
      </w:pPr>
      <w:r>
        <w:rPr>
          <w:lang w:eastAsia="en-US"/>
        </w:rPr>
        <w:t>cereri de dispozitive medicale ca urmare a unui accident de muncă-</w:t>
      </w:r>
      <w:r w:rsidR="000E665D">
        <w:rPr>
          <w:lang w:eastAsia="en-US"/>
        </w:rPr>
        <w:t>7</w:t>
      </w:r>
      <w:r>
        <w:rPr>
          <w:lang w:eastAsia="en-US"/>
        </w:rPr>
        <w:t xml:space="preserve">; </w:t>
      </w:r>
    </w:p>
    <w:p w:rsidR="003234AB" w:rsidRDefault="003234AB" w:rsidP="00980D72">
      <w:pPr>
        <w:pStyle w:val="ListParagraph"/>
        <w:numPr>
          <w:ilvl w:val="0"/>
          <w:numId w:val="26"/>
        </w:numPr>
        <w:jc w:val="both"/>
        <w:rPr>
          <w:lang w:eastAsia="en-US"/>
        </w:rPr>
      </w:pPr>
      <w:r>
        <w:rPr>
          <w:lang w:eastAsia="en-US"/>
        </w:rPr>
        <w:t>compensații pentru atingerea integritătii -</w:t>
      </w:r>
      <w:r w:rsidR="000E665D" w:rsidRPr="000E665D">
        <w:rPr>
          <w:lang w:eastAsia="en-US"/>
        </w:rPr>
        <w:t>232.808  lei (25 cazuri).</w:t>
      </w:r>
    </w:p>
    <w:p w:rsidR="003234AB" w:rsidRDefault="00746527" w:rsidP="00A77970">
      <w:pPr>
        <w:jc w:val="both"/>
        <w:rPr>
          <w:lang w:eastAsia="en-US"/>
        </w:rPr>
      </w:pPr>
      <w:r>
        <w:rPr>
          <w:lang w:eastAsia="en-US"/>
        </w:rPr>
        <w:tab/>
      </w:r>
      <w:r w:rsidR="000E665D" w:rsidRPr="000E665D">
        <w:rPr>
          <w:lang w:eastAsia="en-US"/>
        </w:rPr>
        <w:t>S-au verificat şi s-a efectuat plata a 55 dosare decontări pentru prestaţii şi servicii de asigurare pentru accidente de muncă şi boli profesionale către casele judeţene de pensii pentru un număr de 142 de cazuri, 4 dosare de compensaţii pentru atingerea integrităţii, 18 dosare de despăgubiri în caz de deces. S-a recuperat de la casele judeţene de pensii suma de 337.590 lei decontată către Spitalul Clinic Colentina pentru un număr de 178 de cazuri pentru angajatorii care nu au sediul în Municipiul Bucureşti.</w:t>
      </w:r>
      <w:r w:rsidR="003234AB">
        <w:rPr>
          <w:lang w:eastAsia="en-US"/>
        </w:rPr>
        <w:t xml:space="preserve"> </w:t>
      </w:r>
    </w:p>
    <w:p w:rsidR="0053067B" w:rsidRPr="0053067B" w:rsidRDefault="003234AB" w:rsidP="00A77970">
      <w:pPr>
        <w:jc w:val="both"/>
        <w:rPr>
          <w:b/>
          <w:lang w:val="it-IT" w:eastAsia="en-US"/>
        </w:rPr>
      </w:pPr>
      <w:r>
        <w:rPr>
          <w:lang w:eastAsia="en-US"/>
        </w:rPr>
        <w:lastRenderedPageBreak/>
        <w:t xml:space="preserve">  </w:t>
      </w:r>
    </w:p>
    <w:p w:rsidR="0053067B" w:rsidRPr="0053067B" w:rsidRDefault="0053067B" w:rsidP="00A77970">
      <w:pPr>
        <w:jc w:val="both"/>
        <w:rPr>
          <w:i/>
          <w:lang w:eastAsia="en-US"/>
        </w:rPr>
      </w:pPr>
      <w:r w:rsidRPr="0053067B">
        <w:rPr>
          <w:i/>
          <w:lang w:eastAsia="en-US"/>
        </w:rPr>
        <w:tab/>
        <w:t>Activitatea desf</w:t>
      </w:r>
      <w:r w:rsidR="00746527">
        <w:rPr>
          <w:i/>
          <w:lang w:eastAsia="en-US"/>
        </w:rPr>
        <w:t>ăș</w:t>
      </w:r>
      <w:r w:rsidRPr="0053067B">
        <w:rPr>
          <w:i/>
          <w:lang w:eastAsia="en-US"/>
        </w:rPr>
        <w:t>urat</w:t>
      </w:r>
      <w:r w:rsidR="00746527">
        <w:rPr>
          <w:i/>
          <w:lang w:eastAsia="en-US"/>
        </w:rPr>
        <w:t>ă</w:t>
      </w:r>
      <w:r w:rsidRPr="0053067B">
        <w:rPr>
          <w:i/>
          <w:lang w:eastAsia="en-US"/>
        </w:rPr>
        <w:t xml:space="preserve"> </w:t>
      </w:r>
      <w:r w:rsidR="00746527">
        <w:rPr>
          <w:i/>
          <w:lang w:eastAsia="en-US"/>
        </w:rPr>
        <w:t>î</w:t>
      </w:r>
      <w:r w:rsidRPr="0053067B">
        <w:rPr>
          <w:i/>
          <w:lang w:eastAsia="en-US"/>
        </w:rPr>
        <w:t>n domeniul pensiilor</w:t>
      </w:r>
    </w:p>
    <w:p w:rsidR="000E665D" w:rsidRDefault="000E665D" w:rsidP="000E665D">
      <w:pPr>
        <w:ind w:firstLine="540"/>
        <w:jc w:val="both"/>
        <w:rPr>
          <w:lang w:eastAsia="en-US"/>
        </w:rPr>
      </w:pPr>
      <w:r>
        <w:rPr>
          <w:lang w:eastAsia="en-US"/>
        </w:rPr>
        <w:tab/>
        <w:t>La sfârsitul anului 2018, în evidenţa Casei de Pensii a Municipiului Bucureşti se regăseau:</w:t>
      </w:r>
    </w:p>
    <w:p w:rsidR="000E665D" w:rsidRDefault="000E665D" w:rsidP="00980D72">
      <w:pPr>
        <w:pStyle w:val="ListParagraph"/>
        <w:numPr>
          <w:ilvl w:val="0"/>
          <w:numId w:val="36"/>
        </w:numPr>
        <w:tabs>
          <w:tab w:val="left" w:pos="360"/>
        </w:tabs>
        <w:ind w:left="0" w:firstLine="0"/>
        <w:jc w:val="both"/>
        <w:rPr>
          <w:lang w:eastAsia="en-US"/>
        </w:rPr>
      </w:pPr>
      <w:r>
        <w:rPr>
          <w:lang w:eastAsia="en-US"/>
        </w:rPr>
        <w:t>486.592 beneficiari de pensie de asigurări sociale;</w:t>
      </w:r>
    </w:p>
    <w:p w:rsidR="000E665D" w:rsidRDefault="000E665D" w:rsidP="00980D72">
      <w:pPr>
        <w:pStyle w:val="ListParagraph"/>
        <w:numPr>
          <w:ilvl w:val="0"/>
          <w:numId w:val="36"/>
        </w:numPr>
        <w:tabs>
          <w:tab w:val="left" w:pos="360"/>
        </w:tabs>
        <w:ind w:left="0" w:firstLine="0"/>
        <w:jc w:val="both"/>
        <w:rPr>
          <w:lang w:eastAsia="en-US"/>
        </w:rPr>
      </w:pPr>
      <w:r>
        <w:rPr>
          <w:lang w:eastAsia="en-US"/>
        </w:rPr>
        <w:t>5.190  beneficiari de indemnizaţii acordate în baza Legii nr.341/2004;</w:t>
      </w:r>
    </w:p>
    <w:p w:rsidR="000E665D" w:rsidRDefault="000E665D" w:rsidP="00980D72">
      <w:pPr>
        <w:pStyle w:val="ListParagraph"/>
        <w:numPr>
          <w:ilvl w:val="0"/>
          <w:numId w:val="36"/>
        </w:numPr>
        <w:tabs>
          <w:tab w:val="left" w:pos="360"/>
        </w:tabs>
        <w:ind w:left="0" w:firstLine="0"/>
        <w:jc w:val="both"/>
        <w:rPr>
          <w:lang w:eastAsia="en-US"/>
        </w:rPr>
      </w:pPr>
      <w:r>
        <w:rPr>
          <w:lang w:eastAsia="en-US"/>
        </w:rPr>
        <w:t>5.573  pensie de agricultori;</w:t>
      </w:r>
    </w:p>
    <w:p w:rsidR="000E665D" w:rsidRDefault="000E665D" w:rsidP="00980D72">
      <w:pPr>
        <w:pStyle w:val="ListParagraph"/>
        <w:numPr>
          <w:ilvl w:val="0"/>
          <w:numId w:val="36"/>
        </w:numPr>
        <w:tabs>
          <w:tab w:val="left" w:pos="360"/>
        </w:tabs>
        <w:ind w:left="0" w:firstLine="0"/>
        <w:jc w:val="both"/>
        <w:rPr>
          <w:lang w:eastAsia="en-US"/>
        </w:rPr>
      </w:pPr>
      <w:r>
        <w:rPr>
          <w:lang w:eastAsia="en-US"/>
        </w:rPr>
        <w:t>3.594 beneficiari de indemnizaţii acordate în baza Decretului Lege  nr.118/1990;</w:t>
      </w:r>
    </w:p>
    <w:p w:rsidR="000E665D" w:rsidRDefault="000E665D" w:rsidP="00980D72">
      <w:pPr>
        <w:pStyle w:val="ListParagraph"/>
        <w:numPr>
          <w:ilvl w:val="0"/>
          <w:numId w:val="36"/>
        </w:numPr>
        <w:tabs>
          <w:tab w:val="left" w:pos="360"/>
        </w:tabs>
        <w:ind w:left="0" w:firstLine="0"/>
        <w:jc w:val="both"/>
        <w:rPr>
          <w:lang w:eastAsia="en-US"/>
        </w:rPr>
      </w:pPr>
      <w:r>
        <w:rPr>
          <w:lang w:eastAsia="en-US"/>
        </w:rPr>
        <w:t>8.653 beneficiari de indemnizaţii acordate în baza Legii nr.189/2000;</w:t>
      </w:r>
    </w:p>
    <w:p w:rsidR="000E665D" w:rsidRDefault="000E665D" w:rsidP="00980D72">
      <w:pPr>
        <w:pStyle w:val="ListParagraph"/>
        <w:numPr>
          <w:ilvl w:val="0"/>
          <w:numId w:val="36"/>
        </w:numPr>
        <w:tabs>
          <w:tab w:val="left" w:pos="360"/>
        </w:tabs>
        <w:ind w:left="0" w:firstLine="0"/>
        <w:jc w:val="both"/>
        <w:rPr>
          <w:lang w:eastAsia="en-US"/>
        </w:rPr>
      </w:pPr>
      <w:r>
        <w:rPr>
          <w:lang w:eastAsia="en-US"/>
        </w:rPr>
        <w:t>2.977 beneficiari de indemnizaţii acordate în baza Legii nr.309/2002;</w:t>
      </w:r>
    </w:p>
    <w:p w:rsidR="000E665D" w:rsidRDefault="000E665D" w:rsidP="00980D72">
      <w:pPr>
        <w:pStyle w:val="ListParagraph"/>
        <w:numPr>
          <w:ilvl w:val="0"/>
          <w:numId w:val="36"/>
        </w:numPr>
        <w:tabs>
          <w:tab w:val="left" w:pos="360"/>
        </w:tabs>
        <w:ind w:left="0" w:firstLine="0"/>
        <w:jc w:val="both"/>
        <w:rPr>
          <w:lang w:eastAsia="en-US"/>
        </w:rPr>
      </w:pPr>
      <w:r>
        <w:rPr>
          <w:lang w:eastAsia="en-US"/>
        </w:rPr>
        <w:t>293 beneficiari de indemnizaţii acordate în baza Legii nr.109/2005;</w:t>
      </w:r>
    </w:p>
    <w:p w:rsidR="000E665D" w:rsidRDefault="000E665D" w:rsidP="00980D72">
      <w:pPr>
        <w:pStyle w:val="ListParagraph"/>
        <w:numPr>
          <w:ilvl w:val="0"/>
          <w:numId w:val="36"/>
        </w:numPr>
        <w:tabs>
          <w:tab w:val="left" w:pos="360"/>
        </w:tabs>
        <w:ind w:left="0" w:firstLine="0"/>
        <w:jc w:val="both"/>
        <w:rPr>
          <w:lang w:eastAsia="en-US"/>
        </w:rPr>
      </w:pPr>
      <w:r>
        <w:rPr>
          <w:lang w:eastAsia="en-US"/>
        </w:rPr>
        <w:t>4.567 beneficiari de indemnizaţii acordate în baza Legii nr.8/2006;</w:t>
      </w:r>
    </w:p>
    <w:p w:rsidR="000E665D" w:rsidRDefault="000E665D" w:rsidP="00980D72">
      <w:pPr>
        <w:pStyle w:val="ListParagraph"/>
        <w:numPr>
          <w:ilvl w:val="0"/>
          <w:numId w:val="36"/>
        </w:numPr>
        <w:tabs>
          <w:tab w:val="left" w:pos="360"/>
        </w:tabs>
        <w:ind w:left="0" w:firstLine="0"/>
        <w:jc w:val="both"/>
        <w:rPr>
          <w:lang w:eastAsia="en-US"/>
        </w:rPr>
      </w:pPr>
      <w:r>
        <w:rPr>
          <w:lang w:eastAsia="en-US"/>
        </w:rPr>
        <w:t>2.282 beneficiari ai Legii nr.578/2004;</w:t>
      </w:r>
    </w:p>
    <w:p w:rsidR="000E665D" w:rsidRDefault="000E665D" w:rsidP="00980D72">
      <w:pPr>
        <w:pStyle w:val="ListParagraph"/>
        <w:numPr>
          <w:ilvl w:val="0"/>
          <w:numId w:val="36"/>
        </w:numPr>
        <w:tabs>
          <w:tab w:val="left" w:pos="360"/>
        </w:tabs>
        <w:ind w:left="0" w:firstLine="0"/>
        <w:jc w:val="both"/>
        <w:rPr>
          <w:lang w:eastAsia="en-US"/>
        </w:rPr>
      </w:pPr>
      <w:r>
        <w:rPr>
          <w:lang w:eastAsia="en-US"/>
        </w:rPr>
        <w:t>725 pensionari cf Legii nr.303/2004;</w:t>
      </w:r>
    </w:p>
    <w:p w:rsidR="000E665D" w:rsidRDefault="000E665D" w:rsidP="00980D72">
      <w:pPr>
        <w:pStyle w:val="ListParagraph"/>
        <w:numPr>
          <w:ilvl w:val="0"/>
          <w:numId w:val="36"/>
        </w:numPr>
        <w:tabs>
          <w:tab w:val="left" w:pos="360"/>
        </w:tabs>
        <w:ind w:left="0" w:firstLine="0"/>
        <w:jc w:val="both"/>
        <w:rPr>
          <w:lang w:eastAsia="en-US"/>
        </w:rPr>
      </w:pPr>
      <w:r>
        <w:rPr>
          <w:lang w:eastAsia="en-US"/>
        </w:rPr>
        <w:t>230 beneficiari de pensie de serviciu, cf Legii nr.130/2015 (personal auxiliar judecătoresc);</w:t>
      </w:r>
    </w:p>
    <w:p w:rsidR="000E665D" w:rsidRDefault="000E665D" w:rsidP="00980D72">
      <w:pPr>
        <w:pStyle w:val="ListParagraph"/>
        <w:numPr>
          <w:ilvl w:val="0"/>
          <w:numId w:val="36"/>
        </w:numPr>
        <w:tabs>
          <w:tab w:val="left" w:pos="360"/>
        </w:tabs>
        <w:ind w:left="0" w:firstLine="0"/>
        <w:jc w:val="both"/>
        <w:rPr>
          <w:lang w:eastAsia="en-US"/>
        </w:rPr>
      </w:pPr>
      <w:r>
        <w:rPr>
          <w:lang w:eastAsia="en-US"/>
        </w:rPr>
        <w:t>781 beneficiari de pensie de serviciu, cf Legii nr.216/2015 (personal diplomatic şi consular);</w:t>
      </w:r>
    </w:p>
    <w:p w:rsidR="000E665D" w:rsidRDefault="000E665D" w:rsidP="00980D72">
      <w:pPr>
        <w:pStyle w:val="ListParagraph"/>
        <w:numPr>
          <w:ilvl w:val="0"/>
          <w:numId w:val="36"/>
        </w:numPr>
        <w:tabs>
          <w:tab w:val="left" w:pos="360"/>
        </w:tabs>
        <w:ind w:left="0" w:firstLine="0"/>
        <w:jc w:val="both"/>
        <w:rPr>
          <w:lang w:eastAsia="en-US"/>
        </w:rPr>
      </w:pPr>
      <w:r>
        <w:rPr>
          <w:lang w:eastAsia="en-US"/>
        </w:rPr>
        <w:t>982 beneficiari de pensie de serviciu, cf Legii nr.83/2015 (personal aeronautic civil);</w:t>
      </w:r>
    </w:p>
    <w:p w:rsidR="000E665D" w:rsidRDefault="000E665D" w:rsidP="00980D72">
      <w:pPr>
        <w:pStyle w:val="ListParagraph"/>
        <w:numPr>
          <w:ilvl w:val="0"/>
          <w:numId w:val="36"/>
        </w:numPr>
        <w:tabs>
          <w:tab w:val="left" w:pos="360"/>
        </w:tabs>
        <w:ind w:left="0" w:firstLine="0"/>
        <w:jc w:val="both"/>
        <w:rPr>
          <w:lang w:eastAsia="en-US"/>
        </w:rPr>
      </w:pPr>
      <w:r>
        <w:rPr>
          <w:lang w:eastAsia="en-US"/>
        </w:rPr>
        <w:t>706 beneficiari de pensie de serviciu, cf Legii nr.215/2015 (funcţionar public parlamentar);</w:t>
      </w:r>
    </w:p>
    <w:p w:rsidR="000E665D" w:rsidRDefault="000E665D" w:rsidP="00980D72">
      <w:pPr>
        <w:pStyle w:val="ListParagraph"/>
        <w:numPr>
          <w:ilvl w:val="0"/>
          <w:numId w:val="36"/>
        </w:numPr>
        <w:tabs>
          <w:tab w:val="left" w:pos="360"/>
        </w:tabs>
        <w:ind w:left="0" w:firstLine="0"/>
        <w:jc w:val="both"/>
        <w:rPr>
          <w:lang w:eastAsia="en-US"/>
        </w:rPr>
      </w:pPr>
      <w:r>
        <w:rPr>
          <w:lang w:eastAsia="en-US"/>
        </w:rPr>
        <w:t>140 beneficiari de pensie de serviciu, cf Legii nr.217/2015 ( funcţionar Curtea de Conturi) ;</w:t>
      </w:r>
    </w:p>
    <w:p w:rsidR="000E665D" w:rsidRDefault="000E665D" w:rsidP="00980D72">
      <w:pPr>
        <w:pStyle w:val="ListParagraph"/>
        <w:numPr>
          <w:ilvl w:val="0"/>
          <w:numId w:val="36"/>
        </w:numPr>
        <w:tabs>
          <w:tab w:val="left" w:pos="360"/>
        </w:tabs>
        <w:ind w:left="0" w:firstLine="0"/>
        <w:jc w:val="both"/>
        <w:rPr>
          <w:lang w:eastAsia="en-US"/>
        </w:rPr>
      </w:pPr>
      <w:r>
        <w:rPr>
          <w:lang w:eastAsia="en-US"/>
        </w:rPr>
        <w:t>39.478 beneficiari de pensie socială;</w:t>
      </w:r>
    </w:p>
    <w:p w:rsidR="000E665D" w:rsidRDefault="000E665D" w:rsidP="00980D72">
      <w:pPr>
        <w:pStyle w:val="ListParagraph"/>
        <w:numPr>
          <w:ilvl w:val="0"/>
          <w:numId w:val="36"/>
        </w:numPr>
        <w:tabs>
          <w:tab w:val="left" w:pos="360"/>
        </w:tabs>
        <w:ind w:left="0" w:firstLine="0"/>
        <w:jc w:val="both"/>
        <w:rPr>
          <w:lang w:eastAsia="en-US"/>
        </w:rPr>
      </w:pPr>
      <w:r>
        <w:rPr>
          <w:lang w:eastAsia="en-US"/>
        </w:rPr>
        <w:t>77 beneficiari de pensie IOVR;</w:t>
      </w:r>
    </w:p>
    <w:p w:rsidR="000E665D" w:rsidRDefault="000E665D" w:rsidP="00980D72">
      <w:pPr>
        <w:pStyle w:val="ListParagraph"/>
        <w:numPr>
          <w:ilvl w:val="0"/>
          <w:numId w:val="36"/>
        </w:numPr>
        <w:tabs>
          <w:tab w:val="left" w:pos="360"/>
        </w:tabs>
        <w:ind w:left="0" w:firstLine="0"/>
        <w:jc w:val="both"/>
        <w:rPr>
          <w:lang w:eastAsia="en-US"/>
        </w:rPr>
      </w:pPr>
      <w:r>
        <w:rPr>
          <w:lang w:eastAsia="en-US"/>
        </w:rPr>
        <w:t>5.547 beneficiari de indemnizaţie veterani şi văduve de razboi cf. Legii nr.49/1991 şi Legii nr. 44/1994.</w:t>
      </w:r>
    </w:p>
    <w:p w:rsidR="0053067B" w:rsidRDefault="000E665D" w:rsidP="00A77970">
      <w:pPr>
        <w:ind w:firstLine="540"/>
        <w:jc w:val="both"/>
        <w:rPr>
          <w:lang w:eastAsia="en-US"/>
        </w:rPr>
      </w:pPr>
      <w:r w:rsidRPr="000E665D">
        <w:rPr>
          <w:lang w:eastAsia="en-US"/>
        </w:rPr>
        <w:t>În cursul anului 2018, s-au înregistrat un număr total de 23.474 cereri noi de pensionare (aici incluzându-se cererile de pensie tip limită de vârstă, pensie anticipată, pensie anticipată parţială, pensie de urmaş, dosare preluate prin transfer şi cazuri noi privind diferite legi speciale). Din acestea, au fost soluţionate până la sfârşitul anului un număr total de 22.832 cazuri rezultând un procent de soluţionare de 97,26%.</w:t>
      </w:r>
    </w:p>
    <w:p w:rsidR="0053067B" w:rsidRPr="0053067B" w:rsidRDefault="0053067B" w:rsidP="00A77970">
      <w:pPr>
        <w:ind w:firstLine="540"/>
        <w:jc w:val="both"/>
        <w:rPr>
          <w:lang w:eastAsia="en-US"/>
        </w:rPr>
      </w:pPr>
    </w:p>
    <w:p w:rsidR="0053067B" w:rsidRDefault="0022585A" w:rsidP="000E665D">
      <w:pPr>
        <w:jc w:val="both"/>
        <w:rPr>
          <w:lang w:eastAsia="en-US"/>
        </w:rPr>
      </w:pPr>
      <w:r>
        <w:rPr>
          <w:lang w:eastAsia="en-US"/>
        </w:rPr>
        <w:tab/>
      </w:r>
      <w:r w:rsidR="000E665D" w:rsidRPr="000E665D">
        <w:rPr>
          <w:lang w:eastAsia="en-US"/>
        </w:rPr>
        <w:t>În anul 2018, s-au înregistrat 64.083 de cereri de recalculare a pensiilor, modificări din oficiu, suspendări din care 58.344 de cereri soluţionate, ceea ce reprezintă un grad de soluţionare de  91,04%.</w:t>
      </w:r>
    </w:p>
    <w:p w:rsidR="000E665D" w:rsidRPr="000E665D" w:rsidRDefault="000E665D" w:rsidP="000E665D">
      <w:pPr>
        <w:jc w:val="both"/>
        <w:rPr>
          <w:lang w:eastAsia="en-US"/>
        </w:rPr>
      </w:pPr>
    </w:p>
    <w:p w:rsidR="0022585A" w:rsidRDefault="0022585A" w:rsidP="000E665D">
      <w:pPr>
        <w:jc w:val="both"/>
        <w:rPr>
          <w:lang w:eastAsia="en-US"/>
        </w:rPr>
      </w:pPr>
      <w:r>
        <w:rPr>
          <w:lang w:eastAsia="en-US"/>
        </w:rPr>
        <w:tab/>
      </w:r>
      <w:r w:rsidR="000E665D">
        <w:rPr>
          <w:lang w:eastAsia="en-US"/>
        </w:rPr>
        <w:t>Din totalul de 9.981 contestaţii înaintate Comisiei Centrale de Contestaţii un număr de 2.741 dosare au fost restituite ca urmare a punerii în executare a sentinţelor judecătoreşti. Din numărul total de 79.033 decizii emise, în intervalul 01.01.2018 – 31.12.2018 (22.832 înscrieri noi + 58.344 cereri de modificare drepturi), au fost contestate un numar de 173. Cca. 90% din numărul contestaţiilor înregistrate se referă la nevalorificarea sporurilor şi a altor venituri suplimentare realizate anterior datei de 1 aprilie 2001, reprezentând prime, sume încasate ca urmare a prestării activitaţii în acord global.</w:t>
      </w:r>
      <w:r w:rsidR="00E639D5">
        <w:rPr>
          <w:lang w:eastAsia="en-US"/>
        </w:rPr>
        <w:tab/>
      </w:r>
      <w:r w:rsidR="000E665D" w:rsidRPr="000E665D">
        <w:rPr>
          <w:lang w:eastAsia="en-US"/>
        </w:rPr>
        <w:t>La data de 31.12.2018, Casa de Pensii a  Municipiului Bucureşti a asigurat plata unui număr de 509.461 beneficiari (asigurări sociale-legi speciale), din care  pentru 248.920 persoane, plata s-a efectuat prin intermediul Companiei Naţionale Poşta Română, iar pentru 260.541 persoane plata drepturilor s-a efectuat în conturi curente sau conturi de card.</w:t>
      </w:r>
      <w:r>
        <w:rPr>
          <w:lang w:eastAsia="en-US"/>
        </w:rPr>
        <w:t xml:space="preserve"> </w:t>
      </w:r>
    </w:p>
    <w:p w:rsidR="002B0BC6" w:rsidRDefault="002B0BC6" w:rsidP="000E665D">
      <w:pPr>
        <w:jc w:val="both"/>
        <w:rPr>
          <w:lang w:eastAsia="en-US"/>
        </w:rPr>
      </w:pPr>
    </w:p>
    <w:p w:rsidR="0053067B" w:rsidRPr="0053067B" w:rsidRDefault="0022585A" w:rsidP="00A77970">
      <w:pPr>
        <w:suppressAutoHyphens/>
        <w:jc w:val="both"/>
        <w:rPr>
          <w:i/>
          <w:lang w:eastAsia="en-US"/>
        </w:rPr>
      </w:pPr>
      <w:r>
        <w:rPr>
          <w:i/>
          <w:lang w:eastAsia="en-US"/>
        </w:rPr>
        <w:tab/>
      </w:r>
      <w:r w:rsidR="0053067B" w:rsidRPr="0053067B">
        <w:rPr>
          <w:i/>
          <w:lang w:eastAsia="en-US"/>
        </w:rPr>
        <w:t>Exportul în străinătate al pensiilor şi altor drepturi de asigurări sociale</w:t>
      </w:r>
    </w:p>
    <w:p w:rsidR="0053067B" w:rsidRPr="001E2B78" w:rsidRDefault="0053067B" w:rsidP="00A77970">
      <w:pPr>
        <w:jc w:val="both"/>
        <w:rPr>
          <w:b/>
          <w:lang w:eastAsia="en-US"/>
        </w:rPr>
      </w:pPr>
      <w:r w:rsidRPr="001E2B78">
        <w:rPr>
          <w:b/>
          <w:lang w:eastAsia="en-US"/>
        </w:rPr>
        <w:t>Situa</w:t>
      </w:r>
      <w:r w:rsidR="00801B84" w:rsidRPr="001E2B78">
        <w:rPr>
          <w:b/>
          <w:lang w:eastAsia="en-US"/>
        </w:rPr>
        <w:t>ț</w:t>
      </w:r>
      <w:r w:rsidRPr="001E2B78">
        <w:rPr>
          <w:b/>
          <w:lang w:eastAsia="en-US"/>
        </w:rPr>
        <w:t>ia num</w:t>
      </w:r>
      <w:r w:rsidR="00801B84" w:rsidRPr="001E2B78">
        <w:rPr>
          <w:b/>
          <w:lang w:eastAsia="en-US"/>
        </w:rPr>
        <w:t>ă</w:t>
      </w:r>
      <w:r w:rsidRPr="001E2B78">
        <w:rPr>
          <w:b/>
          <w:lang w:eastAsia="en-US"/>
        </w:rPr>
        <w:t xml:space="preserve">rului de pensionari </w:t>
      </w:r>
      <w:r w:rsidR="00801B84" w:rsidRPr="001E2B78">
        <w:rPr>
          <w:b/>
          <w:lang w:eastAsia="en-US"/>
        </w:rPr>
        <w:t>ș</w:t>
      </w:r>
      <w:r w:rsidRPr="001E2B78">
        <w:rPr>
          <w:b/>
          <w:lang w:eastAsia="en-US"/>
        </w:rPr>
        <w:t>i a sumelor pl</w:t>
      </w:r>
      <w:r w:rsidR="00801B84" w:rsidRPr="001E2B78">
        <w:rPr>
          <w:b/>
          <w:lang w:eastAsia="en-US"/>
        </w:rPr>
        <w:t>ă</w:t>
      </w:r>
      <w:r w:rsidRPr="001E2B78">
        <w:rPr>
          <w:b/>
          <w:lang w:eastAsia="en-US"/>
        </w:rPr>
        <w:t>tite,</w:t>
      </w:r>
      <w:r w:rsidR="001E2B78" w:rsidRPr="001E2B78">
        <w:rPr>
          <w:b/>
          <w:lang w:eastAsia="en-US"/>
        </w:rPr>
        <w:t xml:space="preserve"> la data de 31.12.201</w:t>
      </w:r>
      <w:r w:rsidR="007218B3">
        <w:rPr>
          <w:b/>
          <w:lang w:eastAsia="en-US"/>
        </w:rPr>
        <w:t>8</w:t>
      </w:r>
    </w:p>
    <w:tbl>
      <w:tblPr>
        <w:tblStyle w:val="TableGrid14"/>
        <w:tblW w:w="0" w:type="auto"/>
        <w:jc w:val="center"/>
        <w:tblInd w:w="392" w:type="dxa"/>
        <w:tblLook w:val="04A0"/>
      </w:tblPr>
      <w:tblGrid>
        <w:gridCol w:w="2127"/>
        <w:gridCol w:w="1701"/>
        <w:gridCol w:w="2409"/>
      </w:tblGrid>
      <w:tr w:rsidR="0053067B" w:rsidRPr="00801B84" w:rsidTr="0053067B">
        <w:trPr>
          <w:jc w:val="center"/>
        </w:trPr>
        <w:tc>
          <w:tcPr>
            <w:tcW w:w="2127" w:type="dxa"/>
          </w:tcPr>
          <w:p w:rsidR="0053067B" w:rsidRPr="00801B84" w:rsidRDefault="0053067B" w:rsidP="00A77970">
            <w:pPr>
              <w:suppressAutoHyphens/>
              <w:jc w:val="both"/>
              <w:rPr>
                <w:rFonts w:eastAsia="Calibri"/>
                <w:lang w:eastAsia="en-US"/>
              </w:rPr>
            </w:pPr>
          </w:p>
        </w:tc>
        <w:tc>
          <w:tcPr>
            <w:tcW w:w="1701" w:type="dxa"/>
          </w:tcPr>
          <w:p w:rsidR="0053067B" w:rsidRPr="00801B84" w:rsidRDefault="0053067B" w:rsidP="00A77970">
            <w:pPr>
              <w:suppressAutoHyphens/>
              <w:jc w:val="center"/>
              <w:rPr>
                <w:rFonts w:eastAsia="Calibri"/>
                <w:lang w:eastAsia="en-US"/>
              </w:rPr>
            </w:pPr>
            <w:r w:rsidRPr="00801B84">
              <w:rPr>
                <w:rFonts w:eastAsia="Calibri"/>
                <w:bCs/>
                <w:i/>
                <w:iCs/>
                <w:lang w:val="en-US" w:eastAsia="en-US"/>
              </w:rPr>
              <w:t>Sume (Lei)</w:t>
            </w:r>
          </w:p>
        </w:tc>
        <w:tc>
          <w:tcPr>
            <w:tcW w:w="2409" w:type="dxa"/>
          </w:tcPr>
          <w:p w:rsidR="0053067B" w:rsidRPr="00801B84" w:rsidRDefault="0053067B" w:rsidP="00A77970">
            <w:pPr>
              <w:suppressAutoHyphens/>
              <w:jc w:val="center"/>
              <w:rPr>
                <w:rFonts w:eastAsia="Calibri"/>
                <w:lang w:eastAsia="en-US"/>
              </w:rPr>
            </w:pPr>
            <w:r w:rsidRPr="00801B84">
              <w:rPr>
                <w:rFonts w:eastAsia="Calibri"/>
                <w:bCs/>
                <w:i/>
                <w:iCs/>
                <w:lang w:val="en-US" w:eastAsia="en-US"/>
              </w:rPr>
              <w:t>Num</w:t>
            </w:r>
            <w:r w:rsidR="00801B84">
              <w:rPr>
                <w:rFonts w:eastAsia="Calibri"/>
                <w:bCs/>
                <w:i/>
                <w:iCs/>
                <w:lang w:val="en-US" w:eastAsia="en-US"/>
              </w:rPr>
              <w:t>ă</w:t>
            </w:r>
            <w:r w:rsidRPr="00801B84">
              <w:rPr>
                <w:rFonts w:eastAsia="Calibri"/>
                <w:bCs/>
                <w:i/>
                <w:iCs/>
                <w:lang w:val="en-US" w:eastAsia="en-US"/>
              </w:rPr>
              <w:t>r pensionari</w:t>
            </w:r>
          </w:p>
        </w:tc>
      </w:tr>
      <w:tr w:rsidR="0053067B" w:rsidRPr="00801B84" w:rsidTr="0053067B">
        <w:trPr>
          <w:jc w:val="center"/>
        </w:trPr>
        <w:tc>
          <w:tcPr>
            <w:tcW w:w="2127" w:type="dxa"/>
            <w:vAlign w:val="bottom"/>
          </w:tcPr>
          <w:p w:rsidR="0053067B" w:rsidRPr="00801B84" w:rsidRDefault="0053067B" w:rsidP="00A77970">
            <w:pPr>
              <w:jc w:val="both"/>
              <w:rPr>
                <w:rFonts w:eastAsia="Calibri"/>
                <w:lang w:val="en-US" w:eastAsia="en-US"/>
              </w:rPr>
            </w:pPr>
            <w:r w:rsidRPr="00801B84">
              <w:rPr>
                <w:rFonts w:eastAsia="Calibri"/>
                <w:lang w:val="en-US" w:eastAsia="en-US"/>
              </w:rPr>
              <w:t>Sector 1</w:t>
            </w:r>
          </w:p>
        </w:tc>
        <w:tc>
          <w:tcPr>
            <w:tcW w:w="1701" w:type="dxa"/>
            <w:vAlign w:val="center"/>
          </w:tcPr>
          <w:p w:rsidR="0053067B" w:rsidRPr="00801B84" w:rsidRDefault="0053067B" w:rsidP="00A77970">
            <w:pPr>
              <w:jc w:val="center"/>
              <w:rPr>
                <w:rFonts w:eastAsia="Calibri"/>
                <w:bCs/>
                <w:lang w:val="en-US" w:eastAsia="en-US"/>
              </w:rPr>
            </w:pPr>
            <w:r w:rsidRPr="00801B84">
              <w:rPr>
                <w:rFonts w:eastAsia="Calibri"/>
                <w:bCs/>
                <w:lang w:val="en-US" w:eastAsia="en-US"/>
              </w:rPr>
              <w:t>1.058.565</w:t>
            </w:r>
          </w:p>
        </w:tc>
        <w:tc>
          <w:tcPr>
            <w:tcW w:w="2409" w:type="dxa"/>
            <w:vAlign w:val="center"/>
          </w:tcPr>
          <w:p w:rsidR="0053067B" w:rsidRPr="00801B84" w:rsidRDefault="0053067B" w:rsidP="00A77970">
            <w:pPr>
              <w:jc w:val="center"/>
              <w:rPr>
                <w:rFonts w:eastAsia="Calibri"/>
                <w:bCs/>
                <w:lang w:val="en-US" w:eastAsia="en-US"/>
              </w:rPr>
            </w:pPr>
            <w:r w:rsidRPr="00801B84">
              <w:rPr>
                <w:rFonts w:eastAsia="Calibri"/>
                <w:bCs/>
                <w:lang w:val="en-US" w:eastAsia="en-US"/>
              </w:rPr>
              <w:t>1.047</w:t>
            </w:r>
          </w:p>
        </w:tc>
      </w:tr>
      <w:tr w:rsidR="0053067B" w:rsidRPr="00801B84" w:rsidTr="0053067B">
        <w:trPr>
          <w:jc w:val="center"/>
        </w:trPr>
        <w:tc>
          <w:tcPr>
            <w:tcW w:w="2127" w:type="dxa"/>
            <w:vAlign w:val="bottom"/>
          </w:tcPr>
          <w:p w:rsidR="0053067B" w:rsidRPr="00801B84" w:rsidRDefault="0053067B" w:rsidP="00A77970">
            <w:pPr>
              <w:jc w:val="both"/>
              <w:rPr>
                <w:rFonts w:eastAsia="Calibri"/>
                <w:lang w:val="en-US" w:eastAsia="en-US"/>
              </w:rPr>
            </w:pPr>
            <w:r w:rsidRPr="00801B84">
              <w:rPr>
                <w:rFonts w:eastAsia="Calibri"/>
                <w:lang w:val="en-US" w:eastAsia="en-US"/>
              </w:rPr>
              <w:t>Sector 2</w:t>
            </w:r>
          </w:p>
        </w:tc>
        <w:tc>
          <w:tcPr>
            <w:tcW w:w="1701" w:type="dxa"/>
            <w:vAlign w:val="center"/>
          </w:tcPr>
          <w:p w:rsidR="0053067B" w:rsidRPr="00801B84" w:rsidRDefault="0053067B" w:rsidP="00A77970">
            <w:pPr>
              <w:jc w:val="center"/>
              <w:rPr>
                <w:rFonts w:eastAsia="Calibri"/>
                <w:bCs/>
                <w:lang w:val="en-US" w:eastAsia="en-US"/>
              </w:rPr>
            </w:pPr>
            <w:r w:rsidRPr="00801B84">
              <w:rPr>
                <w:rFonts w:eastAsia="Calibri"/>
                <w:bCs/>
                <w:lang w:val="en-US" w:eastAsia="en-US"/>
              </w:rPr>
              <w:t>1.235.387</w:t>
            </w:r>
          </w:p>
        </w:tc>
        <w:tc>
          <w:tcPr>
            <w:tcW w:w="2409" w:type="dxa"/>
            <w:vAlign w:val="center"/>
          </w:tcPr>
          <w:p w:rsidR="0053067B" w:rsidRPr="00801B84" w:rsidRDefault="0053067B" w:rsidP="00A77970">
            <w:pPr>
              <w:jc w:val="center"/>
              <w:rPr>
                <w:rFonts w:eastAsia="Calibri"/>
                <w:bCs/>
                <w:lang w:val="en-US" w:eastAsia="en-US"/>
              </w:rPr>
            </w:pPr>
            <w:r w:rsidRPr="00801B84">
              <w:rPr>
                <w:rFonts w:eastAsia="Calibri"/>
                <w:bCs/>
                <w:lang w:val="en-US" w:eastAsia="en-US"/>
              </w:rPr>
              <w:t>1.184</w:t>
            </w:r>
          </w:p>
        </w:tc>
      </w:tr>
      <w:tr w:rsidR="0053067B" w:rsidRPr="00801B84" w:rsidTr="0053067B">
        <w:trPr>
          <w:jc w:val="center"/>
        </w:trPr>
        <w:tc>
          <w:tcPr>
            <w:tcW w:w="2127" w:type="dxa"/>
            <w:vAlign w:val="bottom"/>
          </w:tcPr>
          <w:p w:rsidR="0053067B" w:rsidRPr="00801B84" w:rsidRDefault="0053067B" w:rsidP="00A77970">
            <w:pPr>
              <w:jc w:val="both"/>
              <w:rPr>
                <w:rFonts w:eastAsia="Calibri"/>
                <w:lang w:val="en-US" w:eastAsia="en-US"/>
              </w:rPr>
            </w:pPr>
            <w:r w:rsidRPr="00801B84">
              <w:rPr>
                <w:rFonts w:eastAsia="Calibri"/>
                <w:lang w:val="en-US" w:eastAsia="en-US"/>
              </w:rPr>
              <w:t>Sector 3</w:t>
            </w:r>
          </w:p>
        </w:tc>
        <w:tc>
          <w:tcPr>
            <w:tcW w:w="1701" w:type="dxa"/>
            <w:vAlign w:val="center"/>
          </w:tcPr>
          <w:p w:rsidR="0053067B" w:rsidRPr="00801B84" w:rsidRDefault="0053067B" w:rsidP="00A77970">
            <w:pPr>
              <w:jc w:val="center"/>
              <w:rPr>
                <w:rFonts w:eastAsia="Calibri"/>
                <w:bCs/>
                <w:lang w:val="en-US" w:eastAsia="en-US"/>
              </w:rPr>
            </w:pPr>
            <w:r w:rsidRPr="00801B84">
              <w:rPr>
                <w:rFonts w:eastAsia="Calibri"/>
                <w:bCs/>
                <w:lang w:val="en-US" w:eastAsia="en-US"/>
              </w:rPr>
              <w:t>896.336</w:t>
            </w:r>
          </w:p>
        </w:tc>
        <w:tc>
          <w:tcPr>
            <w:tcW w:w="2409" w:type="dxa"/>
            <w:vAlign w:val="center"/>
          </w:tcPr>
          <w:p w:rsidR="0053067B" w:rsidRPr="00801B84" w:rsidRDefault="0053067B" w:rsidP="00A77970">
            <w:pPr>
              <w:jc w:val="center"/>
              <w:rPr>
                <w:rFonts w:eastAsia="Calibri"/>
                <w:bCs/>
                <w:lang w:val="en-US" w:eastAsia="en-US"/>
              </w:rPr>
            </w:pPr>
            <w:r w:rsidRPr="00801B84">
              <w:rPr>
                <w:rFonts w:eastAsia="Calibri"/>
                <w:bCs/>
                <w:lang w:val="en-US" w:eastAsia="en-US"/>
              </w:rPr>
              <w:t>890</w:t>
            </w:r>
          </w:p>
        </w:tc>
      </w:tr>
      <w:tr w:rsidR="0053067B" w:rsidRPr="00801B84" w:rsidTr="0053067B">
        <w:trPr>
          <w:jc w:val="center"/>
        </w:trPr>
        <w:tc>
          <w:tcPr>
            <w:tcW w:w="2127" w:type="dxa"/>
            <w:vAlign w:val="bottom"/>
          </w:tcPr>
          <w:p w:rsidR="0053067B" w:rsidRPr="00801B84" w:rsidRDefault="0053067B" w:rsidP="00A77970">
            <w:pPr>
              <w:jc w:val="both"/>
              <w:rPr>
                <w:rFonts w:eastAsia="Calibri"/>
                <w:lang w:val="en-US" w:eastAsia="en-US"/>
              </w:rPr>
            </w:pPr>
            <w:r w:rsidRPr="00801B84">
              <w:rPr>
                <w:rFonts w:eastAsia="Calibri"/>
                <w:lang w:val="en-US" w:eastAsia="en-US"/>
              </w:rPr>
              <w:t>Sector 4</w:t>
            </w:r>
          </w:p>
        </w:tc>
        <w:tc>
          <w:tcPr>
            <w:tcW w:w="1701" w:type="dxa"/>
            <w:vAlign w:val="center"/>
          </w:tcPr>
          <w:p w:rsidR="0053067B" w:rsidRPr="00801B84" w:rsidRDefault="0053067B" w:rsidP="00A77970">
            <w:pPr>
              <w:jc w:val="center"/>
              <w:rPr>
                <w:rFonts w:eastAsia="Calibri"/>
                <w:bCs/>
                <w:lang w:val="en-US" w:eastAsia="en-US"/>
              </w:rPr>
            </w:pPr>
            <w:r w:rsidRPr="00801B84">
              <w:rPr>
                <w:rFonts w:eastAsia="Calibri"/>
                <w:bCs/>
                <w:lang w:val="en-US" w:eastAsia="en-US"/>
              </w:rPr>
              <w:t>732.452</w:t>
            </w:r>
          </w:p>
        </w:tc>
        <w:tc>
          <w:tcPr>
            <w:tcW w:w="2409" w:type="dxa"/>
            <w:vAlign w:val="center"/>
          </w:tcPr>
          <w:p w:rsidR="0053067B" w:rsidRPr="00801B84" w:rsidRDefault="0053067B" w:rsidP="00A77970">
            <w:pPr>
              <w:jc w:val="center"/>
              <w:rPr>
                <w:rFonts w:eastAsia="Calibri"/>
                <w:bCs/>
                <w:lang w:val="en-US" w:eastAsia="en-US"/>
              </w:rPr>
            </w:pPr>
            <w:r w:rsidRPr="00801B84">
              <w:rPr>
                <w:rFonts w:eastAsia="Calibri"/>
                <w:bCs/>
                <w:lang w:val="en-US" w:eastAsia="en-US"/>
              </w:rPr>
              <w:t>819</w:t>
            </w:r>
          </w:p>
        </w:tc>
      </w:tr>
      <w:tr w:rsidR="0053067B" w:rsidRPr="00801B84" w:rsidTr="0053067B">
        <w:trPr>
          <w:jc w:val="center"/>
        </w:trPr>
        <w:tc>
          <w:tcPr>
            <w:tcW w:w="2127" w:type="dxa"/>
            <w:vAlign w:val="bottom"/>
          </w:tcPr>
          <w:p w:rsidR="0053067B" w:rsidRPr="00801B84" w:rsidRDefault="0053067B" w:rsidP="00A77970">
            <w:pPr>
              <w:jc w:val="both"/>
              <w:rPr>
                <w:rFonts w:eastAsia="Calibri"/>
                <w:lang w:val="en-US" w:eastAsia="en-US"/>
              </w:rPr>
            </w:pPr>
            <w:r w:rsidRPr="00801B84">
              <w:rPr>
                <w:rFonts w:eastAsia="Calibri"/>
                <w:lang w:val="en-US" w:eastAsia="en-US"/>
              </w:rPr>
              <w:lastRenderedPageBreak/>
              <w:t>Sector 5</w:t>
            </w:r>
          </w:p>
        </w:tc>
        <w:tc>
          <w:tcPr>
            <w:tcW w:w="1701" w:type="dxa"/>
            <w:vAlign w:val="center"/>
          </w:tcPr>
          <w:p w:rsidR="0053067B" w:rsidRPr="00801B84" w:rsidRDefault="0053067B" w:rsidP="00A77970">
            <w:pPr>
              <w:jc w:val="center"/>
              <w:rPr>
                <w:rFonts w:eastAsia="Calibri"/>
                <w:bCs/>
                <w:lang w:val="en-US" w:eastAsia="en-US"/>
              </w:rPr>
            </w:pPr>
            <w:r w:rsidRPr="00801B84">
              <w:rPr>
                <w:rFonts w:eastAsia="Calibri"/>
                <w:bCs/>
                <w:lang w:val="en-US" w:eastAsia="en-US"/>
              </w:rPr>
              <w:t>585.393</w:t>
            </w:r>
          </w:p>
        </w:tc>
        <w:tc>
          <w:tcPr>
            <w:tcW w:w="2409" w:type="dxa"/>
            <w:vAlign w:val="center"/>
          </w:tcPr>
          <w:p w:rsidR="0053067B" w:rsidRPr="00801B84" w:rsidRDefault="0053067B" w:rsidP="00A77970">
            <w:pPr>
              <w:jc w:val="center"/>
              <w:rPr>
                <w:rFonts w:eastAsia="Calibri"/>
                <w:bCs/>
                <w:lang w:val="en-US" w:eastAsia="en-US"/>
              </w:rPr>
            </w:pPr>
            <w:r w:rsidRPr="00801B84">
              <w:rPr>
                <w:rFonts w:eastAsia="Calibri"/>
                <w:bCs/>
                <w:lang w:val="en-US" w:eastAsia="en-US"/>
              </w:rPr>
              <w:t>645</w:t>
            </w:r>
          </w:p>
        </w:tc>
      </w:tr>
      <w:tr w:rsidR="0053067B" w:rsidRPr="00801B84" w:rsidTr="0053067B">
        <w:trPr>
          <w:jc w:val="center"/>
        </w:trPr>
        <w:tc>
          <w:tcPr>
            <w:tcW w:w="2127" w:type="dxa"/>
            <w:vAlign w:val="bottom"/>
          </w:tcPr>
          <w:p w:rsidR="0053067B" w:rsidRPr="00801B84" w:rsidRDefault="0053067B" w:rsidP="00A77970">
            <w:pPr>
              <w:jc w:val="both"/>
              <w:rPr>
                <w:rFonts w:eastAsia="Calibri"/>
                <w:lang w:val="en-US" w:eastAsia="en-US"/>
              </w:rPr>
            </w:pPr>
            <w:r w:rsidRPr="00801B84">
              <w:rPr>
                <w:rFonts w:eastAsia="Calibri"/>
                <w:lang w:val="en-US" w:eastAsia="en-US"/>
              </w:rPr>
              <w:t>Sector 6</w:t>
            </w:r>
          </w:p>
        </w:tc>
        <w:tc>
          <w:tcPr>
            <w:tcW w:w="1701" w:type="dxa"/>
            <w:vAlign w:val="center"/>
          </w:tcPr>
          <w:p w:rsidR="0053067B" w:rsidRPr="00801B84" w:rsidRDefault="0053067B" w:rsidP="00A77970">
            <w:pPr>
              <w:jc w:val="center"/>
              <w:rPr>
                <w:rFonts w:eastAsia="Calibri"/>
                <w:bCs/>
                <w:lang w:val="en-US" w:eastAsia="en-US"/>
              </w:rPr>
            </w:pPr>
            <w:r w:rsidRPr="00801B84">
              <w:rPr>
                <w:rFonts w:eastAsia="Calibri"/>
                <w:bCs/>
                <w:lang w:val="en-US" w:eastAsia="en-US"/>
              </w:rPr>
              <w:t>858.191</w:t>
            </w:r>
          </w:p>
        </w:tc>
        <w:tc>
          <w:tcPr>
            <w:tcW w:w="2409" w:type="dxa"/>
            <w:vAlign w:val="center"/>
          </w:tcPr>
          <w:p w:rsidR="0053067B" w:rsidRPr="00801B84" w:rsidRDefault="0053067B" w:rsidP="00A77970">
            <w:pPr>
              <w:jc w:val="center"/>
              <w:rPr>
                <w:rFonts w:eastAsia="Calibri"/>
                <w:bCs/>
                <w:lang w:val="en-US" w:eastAsia="en-US"/>
              </w:rPr>
            </w:pPr>
            <w:r w:rsidRPr="00801B84">
              <w:rPr>
                <w:rFonts w:eastAsia="Calibri"/>
                <w:bCs/>
                <w:lang w:val="en-US" w:eastAsia="en-US"/>
              </w:rPr>
              <w:t>831</w:t>
            </w:r>
          </w:p>
        </w:tc>
      </w:tr>
      <w:tr w:rsidR="0053067B" w:rsidRPr="00801B84" w:rsidTr="0053067B">
        <w:trPr>
          <w:jc w:val="center"/>
        </w:trPr>
        <w:tc>
          <w:tcPr>
            <w:tcW w:w="2127" w:type="dxa"/>
          </w:tcPr>
          <w:p w:rsidR="0053067B" w:rsidRPr="00801B84" w:rsidRDefault="0053067B" w:rsidP="00A77970">
            <w:pPr>
              <w:suppressAutoHyphens/>
              <w:jc w:val="both"/>
              <w:rPr>
                <w:rFonts w:eastAsia="Calibri"/>
                <w:b/>
                <w:lang w:eastAsia="en-US"/>
              </w:rPr>
            </w:pPr>
            <w:r w:rsidRPr="00801B84">
              <w:rPr>
                <w:rFonts w:eastAsia="Calibri"/>
                <w:b/>
                <w:lang w:eastAsia="en-US"/>
              </w:rPr>
              <w:t>TOTAL București</w:t>
            </w:r>
          </w:p>
        </w:tc>
        <w:tc>
          <w:tcPr>
            <w:tcW w:w="1701" w:type="dxa"/>
            <w:vAlign w:val="center"/>
          </w:tcPr>
          <w:p w:rsidR="0053067B" w:rsidRPr="00801B84" w:rsidRDefault="0053067B" w:rsidP="00A77970">
            <w:pPr>
              <w:suppressAutoHyphens/>
              <w:jc w:val="center"/>
              <w:rPr>
                <w:rFonts w:eastAsia="Calibri"/>
                <w:b/>
                <w:lang w:eastAsia="en-US"/>
              </w:rPr>
            </w:pPr>
            <w:r w:rsidRPr="00801B84">
              <w:rPr>
                <w:rFonts w:eastAsia="Calibri"/>
                <w:b/>
                <w:bCs/>
                <w:lang w:val="en-US" w:eastAsia="en-US"/>
              </w:rPr>
              <w:t>5.366.324</w:t>
            </w:r>
          </w:p>
        </w:tc>
        <w:tc>
          <w:tcPr>
            <w:tcW w:w="2409" w:type="dxa"/>
            <w:vAlign w:val="center"/>
          </w:tcPr>
          <w:p w:rsidR="0053067B" w:rsidRPr="00801B84" w:rsidRDefault="0053067B" w:rsidP="00A77970">
            <w:pPr>
              <w:suppressAutoHyphens/>
              <w:jc w:val="center"/>
              <w:rPr>
                <w:rFonts w:eastAsia="Calibri"/>
                <w:b/>
                <w:lang w:eastAsia="en-US"/>
              </w:rPr>
            </w:pPr>
            <w:r w:rsidRPr="00801B84">
              <w:rPr>
                <w:rFonts w:eastAsia="Calibri"/>
                <w:b/>
                <w:bCs/>
                <w:lang w:val="en-US" w:eastAsia="en-US"/>
              </w:rPr>
              <w:t>5.416</w:t>
            </w:r>
          </w:p>
        </w:tc>
      </w:tr>
    </w:tbl>
    <w:p w:rsidR="0053067B" w:rsidRPr="0053067B" w:rsidRDefault="0053067B" w:rsidP="00A77970">
      <w:pPr>
        <w:suppressAutoHyphens/>
        <w:jc w:val="both"/>
        <w:rPr>
          <w:lang w:eastAsia="en-US"/>
        </w:rPr>
      </w:pPr>
    </w:p>
    <w:p w:rsidR="0053067B" w:rsidRDefault="00801B84" w:rsidP="00A77970">
      <w:pPr>
        <w:jc w:val="both"/>
        <w:rPr>
          <w:lang w:eastAsia="en-US"/>
        </w:rPr>
      </w:pPr>
      <w:r>
        <w:rPr>
          <w:lang w:eastAsia="en-US"/>
        </w:rPr>
        <w:t xml:space="preserve">  </w:t>
      </w:r>
      <w:r>
        <w:rPr>
          <w:lang w:eastAsia="en-US"/>
        </w:rPr>
        <w:tab/>
      </w:r>
      <w:r w:rsidRPr="00801B84">
        <w:rPr>
          <w:lang w:eastAsia="en-US"/>
        </w:rPr>
        <w:t>Situația numărului total de pensionari care au făcut dovada că sunt asigurați pentru asigurările sociale de sănătate în statul de resedintă sau într-un alt stat membru al Uniunii Europene, al Spațiului Economic European sau în Elveția și care au fost exceptați de la plata contribuțiilor la Fond prevăzute de lege și valoarea totală a pensiilor aferente acestora, la data de 31.12.201</w:t>
      </w:r>
      <w:r w:rsidR="007218B3">
        <w:rPr>
          <w:lang w:eastAsia="en-US"/>
        </w:rPr>
        <w:t>8</w:t>
      </w:r>
      <w:r w:rsidRPr="00801B84">
        <w:rPr>
          <w:lang w:eastAsia="en-US"/>
        </w:rPr>
        <w:t>, se prezintă astfel:</w:t>
      </w:r>
    </w:p>
    <w:p w:rsidR="00801B84" w:rsidRPr="0053067B" w:rsidRDefault="00801B84" w:rsidP="00A77970">
      <w:pPr>
        <w:jc w:val="both"/>
        <w:rPr>
          <w:lang w:val="it-IT" w:eastAsia="en-US"/>
        </w:rPr>
      </w:pPr>
    </w:p>
    <w:tbl>
      <w:tblPr>
        <w:tblW w:w="10092" w:type="dxa"/>
        <w:jc w:val="center"/>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5"/>
        <w:gridCol w:w="3350"/>
        <w:gridCol w:w="3402"/>
        <w:gridCol w:w="1985"/>
      </w:tblGrid>
      <w:tr w:rsidR="0053067B" w:rsidRPr="0053067B" w:rsidTr="0053067B">
        <w:trPr>
          <w:trHeight w:val="719"/>
          <w:jc w:val="center"/>
        </w:trPr>
        <w:tc>
          <w:tcPr>
            <w:tcW w:w="1355" w:type="dxa"/>
            <w:vAlign w:val="center"/>
          </w:tcPr>
          <w:p w:rsidR="0053067B" w:rsidRPr="0053067B" w:rsidRDefault="0053067B" w:rsidP="00A77970">
            <w:pPr>
              <w:rPr>
                <w:lang w:val="en-US" w:eastAsia="en-US"/>
              </w:rPr>
            </w:pPr>
            <w:r w:rsidRPr="0053067B">
              <w:rPr>
                <w:lang w:val="en-US" w:eastAsia="en-US"/>
              </w:rPr>
              <w:t>Casa local</w:t>
            </w:r>
            <w:r w:rsidR="00801B84">
              <w:rPr>
                <w:lang w:val="en-US" w:eastAsia="en-US"/>
              </w:rPr>
              <w:t>ă</w:t>
            </w:r>
          </w:p>
          <w:p w:rsidR="0053067B" w:rsidRPr="0053067B" w:rsidRDefault="0053067B" w:rsidP="00A77970">
            <w:pPr>
              <w:rPr>
                <w:lang w:val="en-US" w:eastAsia="en-US"/>
              </w:rPr>
            </w:pPr>
            <w:r w:rsidRPr="0053067B">
              <w:rPr>
                <w:lang w:val="en-US" w:eastAsia="en-US"/>
              </w:rPr>
              <w:t>de pensii</w:t>
            </w:r>
          </w:p>
        </w:tc>
        <w:tc>
          <w:tcPr>
            <w:tcW w:w="3350" w:type="dxa"/>
            <w:vAlign w:val="center"/>
          </w:tcPr>
          <w:p w:rsidR="0053067B" w:rsidRPr="0053067B" w:rsidRDefault="0053067B" w:rsidP="00A77970">
            <w:pPr>
              <w:jc w:val="center"/>
              <w:rPr>
                <w:lang w:val="it-IT" w:eastAsia="en-US"/>
              </w:rPr>
            </w:pPr>
            <w:r w:rsidRPr="0053067B">
              <w:rPr>
                <w:lang w:val="it-IT" w:eastAsia="en-US"/>
              </w:rPr>
              <w:t>Număr beneficiari de pensie asigurări sociale în plată*</w:t>
            </w:r>
          </w:p>
        </w:tc>
        <w:tc>
          <w:tcPr>
            <w:tcW w:w="3402" w:type="dxa"/>
            <w:vAlign w:val="center"/>
          </w:tcPr>
          <w:p w:rsidR="0053067B" w:rsidRPr="0053067B" w:rsidRDefault="0053067B" w:rsidP="00A77970">
            <w:pPr>
              <w:jc w:val="center"/>
              <w:rPr>
                <w:lang w:val="it-IT" w:eastAsia="en-US"/>
              </w:rPr>
            </w:pPr>
            <w:r w:rsidRPr="0053067B">
              <w:rPr>
                <w:lang w:val="it-IT" w:eastAsia="en-US"/>
              </w:rPr>
              <w:t>Număr pensionari scutiți de la plata contribuției de sănătate</w:t>
            </w:r>
          </w:p>
        </w:tc>
        <w:tc>
          <w:tcPr>
            <w:tcW w:w="1985" w:type="dxa"/>
            <w:vAlign w:val="center"/>
          </w:tcPr>
          <w:p w:rsidR="0053067B" w:rsidRPr="0053067B" w:rsidRDefault="0053067B" w:rsidP="00A77970">
            <w:pPr>
              <w:jc w:val="center"/>
              <w:rPr>
                <w:lang w:val="it-IT" w:eastAsia="en-US"/>
              </w:rPr>
            </w:pPr>
            <w:r w:rsidRPr="0053067B">
              <w:rPr>
                <w:lang w:val="it-IT" w:eastAsia="en-US"/>
              </w:rPr>
              <w:t>Valoarea totală a pensiilor aferente</w:t>
            </w:r>
          </w:p>
        </w:tc>
      </w:tr>
      <w:tr w:rsidR="0053067B" w:rsidRPr="0053067B" w:rsidTr="0053067B">
        <w:trPr>
          <w:trHeight w:val="302"/>
          <w:jc w:val="center"/>
        </w:trPr>
        <w:tc>
          <w:tcPr>
            <w:tcW w:w="1355" w:type="dxa"/>
          </w:tcPr>
          <w:p w:rsidR="0053067B" w:rsidRPr="0053067B" w:rsidRDefault="0053067B" w:rsidP="00A77970">
            <w:pPr>
              <w:rPr>
                <w:lang w:val="en-US" w:eastAsia="en-US"/>
              </w:rPr>
            </w:pPr>
            <w:r w:rsidRPr="0053067B">
              <w:rPr>
                <w:rFonts w:eastAsia="Calibri"/>
                <w:bCs/>
                <w:lang w:val="en-US" w:eastAsia="en-US"/>
              </w:rPr>
              <w:t>Sector 1</w:t>
            </w:r>
          </w:p>
        </w:tc>
        <w:tc>
          <w:tcPr>
            <w:tcW w:w="3350" w:type="dxa"/>
            <w:vAlign w:val="center"/>
          </w:tcPr>
          <w:p w:rsidR="0053067B" w:rsidRPr="0053067B" w:rsidRDefault="0053067B" w:rsidP="00A77970">
            <w:pPr>
              <w:jc w:val="center"/>
              <w:rPr>
                <w:lang w:val="it-IT" w:eastAsia="en-US"/>
              </w:rPr>
            </w:pPr>
            <w:r w:rsidRPr="0053067B">
              <w:rPr>
                <w:rFonts w:eastAsia="Calibri"/>
                <w:bCs/>
                <w:lang w:val="en-US" w:eastAsia="en-US"/>
              </w:rPr>
              <w:t>61.841</w:t>
            </w:r>
          </w:p>
        </w:tc>
        <w:tc>
          <w:tcPr>
            <w:tcW w:w="3402" w:type="dxa"/>
            <w:vAlign w:val="center"/>
          </w:tcPr>
          <w:p w:rsidR="0053067B" w:rsidRPr="0053067B" w:rsidRDefault="0053067B" w:rsidP="00A77970">
            <w:pPr>
              <w:jc w:val="center"/>
              <w:rPr>
                <w:lang w:val="it-IT" w:eastAsia="en-US"/>
              </w:rPr>
            </w:pPr>
            <w:r w:rsidRPr="0053067B">
              <w:rPr>
                <w:rFonts w:eastAsia="Calibri"/>
                <w:lang w:val="en-US" w:eastAsia="en-US"/>
              </w:rPr>
              <w:t>451</w:t>
            </w:r>
          </w:p>
        </w:tc>
        <w:tc>
          <w:tcPr>
            <w:tcW w:w="1985" w:type="dxa"/>
            <w:vAlign w:val="center"/>
          </w:tcPr>
          <w:p w:rsidR="0053067B" w:rsidRPr="0053067B" w:rsidRDefault="0053067B" w:rsidP="00A77970">
            <w:pPr>
              <w:jc w:val="center"/>
              <w:rPr>
                <w:lang w:val="it-IT" w:eastAsia="en-US"/>
              </w:rPr>
            </w:pPr>
            <w:r w:rsidRPr="0053067B">
              <w:rPr>
                <w:rFonts w:eastAsia="Calibri"/>
                <w:lang w:val="en-US" w:eastAsia="en-US"/>
              </w:rPr>
              <w:t>470.754</w:t>
            </w:r>
          </w:p>
        </w:tc>
      </w:tr>
      <w:tr w:rsidR="0053067B" w:rsidRPr="0053067B" w:rsidTr="0053067B">
        <w:trPr>
          <w:jc w:val="center"/>
        </w:trPr>
        <w:tc>
          <w:tcPr>
            <w:tcW w:w="1355" w:type="dxa"/>
          </w:tcPr>
          <w:p w:rsidR="0053067B" w:rsidRPr="0053067B" w:rsidRDefault="0053067B" w:rsidP="00A77970">
            <w:pPr>
              <w:rPr>
                <w:rFonts w:eastAsia="Calibri"/>
                <w:bCs/>
                <w:lang w:val="en-US" w:eastAsia="en-US"/>
              </w:rPr>
            </w:pPr>
            <w:r w:rsidRPr="0053067B">
              <w:rPr>
                <w:rFonts w:eastAsia="Calibri"/>
                <w:bCs/>
                <w:lang w:val="en-US" w:eastAsia="en-US"/>
              </w:rPr>
              <w:t>Sector 2</w:t>
            </w:r>
          </w:p>
        </w:tc>
        <w:tc>
          <w:tcPr>
            <w:tcW w:w="3350" w:type="dxa"/>
            <w:vAlign w:val="center"/>
          </w:tcPr>
          <w:p w:rsidR="0053067B" w:rsidRPr="0053067B" w:rsidRDefault="0053067B" w:rsidP="00A77970">
            <w:pPr>
              <w:jc w:val="center"/>
              <w:rPr>
                <w:rFonts w:eastAsia="Calibri"/>
                <w:bCs/>
                <w:lang w:val="en-US" w:eastAsia="en-US"/>
              </w:rPr>
            </w:pPr>
            <w:r w:rsidRPr="0053067B">
              <w:rPr>
                <w:rFonts w:eastAsia="Calibri"/>
                <w:bCs/>
                <w:lang w:val="en-US" w:eastAsia="en-US"/>
              </w:rPr>
              <w:t>97.369</w:t>
            </w:r>
          </w:p>
        </w:tc>
        <w:tc>
          <w:tcPr>
            <w:tcW w:w="3402" w:type="dxa"/>
            <w:vAlign w:val="center"/>
          </w:tcPr>
          <w:p w:rsidR="0053067B" w:rsidRPr="0053067B" w:rsidRDefault="0053067B" w:rsidP="00A77970">
            <w:pPr>
              <w:jc w:val="center"/>
              <w:rPr>
                <w:rFonts w:eastAsia="Calibri"/>
                <w:lang w:val="en-US" w:eastAsia="en-US"/>
              </w:rPr>
            </w:pPr>
            <w:r w:rsidRPr="0053067B">
              <w:rPr>
                <w:rFonts w:eastAsia="Calibri"/>
                <w:lang w:val="en-US" w:eastAsia="en-US"/>
              </w:rPr>
              <w:t>584</w:t>
            </w:r>
          </w:p>
        </w:tc>
        <w:tc>
          <w:tcPr>
            <w:tcW w:w="1985" w:type="dxa"/>
            <w:vAlign w:val="center"/>
          </w:tcPr>
          <w:p w:rsidR="0053067B" w:rsidRPr="0053067B" w:rsidRDefault="0053067B" w:rsidP="00A77970">
            <w:pPr>
              <w:jc w:val="center"/>
              <w:rPr>
                <w:rFonts w:eastAsia="Calibri"/>
                <w:lang w:val="en-US" w:eastAsia="en-US"/>
              </w:rPr>
            </w:pPr>
            <w:r w:rsidRPr="0053067B">
              <w:rPr>
                <w:rFonts w:eastAsia="Calibri"/>
                <w:lang w:val="en-US" w:eastAsia="en-US"/>
              </w:rPr>
              <w:t>662.188</w:t>
            </w:r>
          </w:p>
        </w:tc>
      </w:tr>
      <w:tr w:rsidR="0053067B" w:rsidRPr="0053067B" w:rsidTr="0053067B">
        <w:trPr>
          <w:jc w:val="center"/>
        </w:trPr>
        <w:tc>
          <w:tcPr>
            <w:tcW w:w="1355" w:type="dxa"/>
          </w:tcPr>
          <w:p w:rsidR="0053067B" w:rsidRPr="0053067B" w:rsidRDefault="0053067B" w:rsidP="00A77970">
            <w:pPr>
              <w:rPr>
                <w:rFonts w:eastAsia="Calibri"/>
                <w:bCs/>
                <w:lang w:val="en-US" w:eastAsia="en-US"/>
              </w:rPr>
            </w:pPr>
            <w:r w:rsidRPr="0053067B">
              <w:rPr>
                <w:rFonts w:eastAsia="Calibri"/>
                <w:bCs/>
                <w:lang w:val="en-US" w:eastAsia="en-US"/>
              </w:rPr>
              <w:t>Sector 3</w:t>
            </w:r>
          </w:p>
        </w:tc>
        <w:tc>
          <w:tcPr>
            <w:tcW w:w="3350" w:type="dxa"/>
            <w:vAlign w:val="center"/>
          </w:tcPr>
          <w:p w:rsidR="0053067B" w:rsidRPr="0053067B" w:rsidRDefault="0053067B" w:rsidP="00A77970">
            <w:pPr>
              <w:jc w:val="center"/>
              <w:rPr>
                <w:rFonts w:eastAsia="Calibri"/>
                <w:bCs/>
                <w:lang w:val="en-US" w:eastAsia="en-US"/>
              </w:rPr>
            </w:pPr>
            <w:r w:rsidRPr="0053067B">
              <w:rPr>
                <w:rFonts w:eastAsia="Calibri"/>
                <w:bCs/>
                <w:lang w:val="en-US" w:eastAsia="en-US"/>
              </w:rPr>
              <w:t>98.991</w:t>
            </w:r>
          </w:p>
        </w:tc>
        <w:tc>
          <w:tcPr>
            <w:tcW w:w="3402" w:type="dxa"/>
            <w:vAlign w:val="center"/>
          </w:tcPr>
          <w:p w:rsidR="0053067B" w:rsidRPr="0053067B" w:rsidRDefault="0053067B" w:rsidP="00A77970">
            <w:pPr>
              <w:jc w:val="center"/>
              <w:rPr>
                <w:rFonts w:eastAsia="Calibri"/>
                <w:lang w:val="en-US" w:eastAsia="en-US"/>
              </w:rPr>
            </w:pPr>
            <w:r w:rsidRPr="0053067B">
              <w:rPr>
                <w:rFonts w:eastAsia="Calibri"/>
                <w:lang w:val="en-US" w:eastAsia="en-US"/>
              </w:rPr>
              <w:t>516</w:t>
            </w:r>
          </w:p>
        </w:tc>
        <w:tc>
          <w:tcPr>
            <w:tcW w:w="1985" w:type="dxa"/>
            <w:vAlign w:val="center"/>
          </w:tcPr>
          <w:p w:rsidR="0053067B" w:rsidRPr="0053067B" w:rsidRDefault="0053067B" w:rsidP="00A77970">
            <w:pPr>
              <w:jc w:val="center"/>
              <w:rPr>
                <w:rFonts w:eastAsia="Calibri"/>
                <w:lang w:val="en-US" w:eastAsia="en-US"/>
              </w:rPr>
            </w:pPr>
            <w:r w:rsidRPr="0053067B">
              <w:rPr>
                <w:rFonts w:eastAsia="Calibri"/>
                <w:lang w:val="en-US" w:eastAsia="en-US"/>
              </w:rPr>
              <w:t>555.565</w:t>
            </w:r>
          </w:p>
        </w:tc>
      </w:tr>
      <w:tr w:rsidR="0053067B" w:rsidRPr="0053067B" w:rsidTr="0053067B">
        <w:trPr>
          <w:jc w:val="center"/>
        </w:trPr>
        <w:tc>
          <w:tcPr>
            <w:tcW w:w="1355" w:type="dxa"/>
          </w:tcPr>
          <w:p w:rsidR="0053067B" w:rsidRPr="0053067B" w:rsidRDefault="0053067B" w:rsidP="00A77970">
            <w:pPr>
              <w:rPr>
                <w:rFonts w:eastAsia="Calibri"/>
                <w:bCs/>
                <w:lang w:val="en-US" w:eastAsia="en-US"/>
              </w:rPr>
            </w:pPr>
            <w:r w:rsidRPr="0053067B">
              <w:rPr>
                <w:rFonts w:eastAsia="Calibri"/>
                <w:bCs/>
                <w:lang w:val="en-US" w:eastAsia="en-US"/>
              </w:rPr>
              <w:t>Sector 4</w:t>
            </w:r>
          </w:p>
        </w:tc>
        <w:tc>
          <w:tcPr>
            <w:tcW w:w="3350" w:type="dxa"/>
            <w:vAlign w:val="center"/>
          </w:tcPr>
          <w:p w:rsidR="0053067B" w:rsidRPr="0053067B" w:rsidRDefault="0053067B" w:rsidP="00A77970">
            <w:pPr>
              <w:jc w:val="center"/>
              <w:rPr>
                <w:rFonts w:eastAsia="Calibri"/>
                <w:bCs/>
                <w:lang w:val="en-US" w:eastAsia="en-US"/>
              </w:rPr>
            </w:pPr>
            <w:r w:rsidRPr="0053067B">
              <w:rPr>
                <w:rFonts w:eastAsia="Calibri"/>
                <w:bCs/>
                <w:lang w:val="en-US" w:eastAsia="en-US"/>
              </w:rPr>
              <w:t>74.362</w:t>
            </w:r>
          </w:p>
        </w:tc>
        <w:tc>
          <w:tcPr>
            <w:tcW w:w="3402" w:type="dxa"/>
            <w:vAlign w:val="center"/>
          </w:tcPr>
          <w:p w:rsidR="0053067B" w:rsidRPr="0053067B" w:rsidRDefault="0053067B" w:rsidP="00A77970">
            <w:pPr>
              <w:jc w:val="center"/>
              <w:rPr>
                <w:rFonts w:eastAsia="Calibri"/>
                <w:lang w:val="en-US" w:eastAsia="en-US"/>
              </w:rPr>
            </w:pPr>
            <w:r w:rsidRPr="0053067B">
              <w:rPr>
                <w:rFonts w:eastAsia="Calibri"/>
                <w:lang w:val="en-US" w:eastAsia="en-US"/>
              </w:rPr>
              <w:t>439</w:t>
            </w:r>
          </w:p>
        </w:tc>
        <w:tc>
          <w:tcPr>
            <w:tcW w:w="1985" w:type="dxa"/>
            <w:vAlign w:val="center"/>
          </w:tcPr>
          <w:p w:rsidR="0053067B" w:rsidRPr="0053067B" w:rsidRDefault="0053067B" w:rsidP="00A77970">
            <w:pPr>
              <w:jc w:val="center"/>
              <w:rPr>
                <w:rFonts w:eastAsia="Calibri"/>
                <w:lang w:val="en-US" w:eastAsia="en-US"/>
              </w:rPr>
            </w:pPr>
            <w:r w:rsidRPr="0053067B">
              <w:rPr>
                <w:rFonts w:eastAsia="Calibri"/>
                <w:lang w:val="en-US" w:eastAsia="en-US"/>
              </w:rPr>
              <w:t>380.986</w:t>
            </w:r>
          </w:p>
        </w:tc>
      </w:tr>
      <w:tr w:rsidR="0053067B" w:rsidRPr="0053067B" w:rsidTr="0053067B">
        <w:trPr>
          <w:jc w:val="center"/>
        </w:trPr>
        <w:tc>
          <w:tcPr>
            <w:tcW w:w="1355" w:type="dxa"/>
          </w:tcPr>
          <w:p w:rsidR="0053067B" w:rsidRPr="0053067B" w:rsidRDefault="0053067B" w:rsidP="00A77970">
            <w:pPr>
              <w:rPr>
                <w:rFonts w:eastAsia="Calibri"/>
                <w:bCs/>
                <w:lang w:val="en-US" w:eastAsia="en-US"/>
              </w:rPr>
            </w:pPr>
            <w:r w:rsidRPr="0053067B">
              <w:rPr>
                <w:rFonts w:eastAsia="Calibri"/>
                <w:bCs/>
                <w:lang w:val="en-US" w:eastAsia="en-US"/>
              </w:rPr>
              <w:t>Sector 5</w:t>
            </w:r>
          </w:p>
        </w:tc>
        <w:tc>
          <w:tcPr>
            <w:tcW w:w="3350" w:type="dxa"/>
            <w:vAlign w:val="center"/>
          </w:tcPr>
          <w:p w:rsidR="0053067B" w:rsidRPr="0053067B" w:rsidRDefault="0053067B" w:rsidP="00A77970">
            <w:pPr>
              <w:jc w:val="center"/>
              <w:rPr>
                <w:rFonts w:eastAsia="Calibri"/>
                <w:bCs/>
                <w:lang w:val="en-US" w:eastAsia="en-US"/>
              </w:rPr>
            </w:pPr>
            <w:r w:rsidRPr="0053067B">
              <w:rPr>
                <w:rFonts w:eastAsia="Calibri"/>
                <w:bCs/>
                <w:lang w:val="en-US" w:eastAsia="en-US"/>
              </w:rPr>
              <w:t>60.760</w:t>
            </w:r>
          </w:p>
        </w:tc>
        <w:tc>
          <w:tcPr>
            <w:tcW w:w="3402" w:type="dxa"/>
            <w:vAlign w:val="center"/>
          </w:tcPr>
          <w:p w:rsidR="0053067B" w:rsidRPr="0053067B" w:rsidRDefault="0053067B" w:rsidP="00A77970">
            <w:pPr>
              <w:jc w:val="center"/>
              <w:rPr>
                <w:rFonts w:eastAsia="Calibri"/>
                <w:lang w:val="en-US" w:eastAsia="en-US"/>
              </w:rPr>
            </w:pPr>
            <w:r w:rsidRPr="0053067B">
              <w:rPr>
                <w:rFonts w:eastAsia="Calibri"/>
                <w:lang w:val="en-US" w:eastAsia="en-US"/>
              </w:rPr>
              <w:t>291</w:t>
            </w:r>
          </w:p>
        </w:tc>
        <w:tc>
          <w:tcPr>
            <w:tcW w:w="1985" w:type="dxa"/>
            <w:vAlign w:val="center"/>
          </w:tcPr>
          <w:p w:rsidR="0053067B" w:rsidRPr="0053067B" w:rsidRDefault="0053067B" w:rsidP="00A77970">
            <w:pPr>
              <w:jc w:val="center"/>
              <w:rPr>
                <w:rFonts w:eastAsia="Calibri"/>
                <w:lang w:val="en-US" w:eastAsia="en-US"/>
              </w:rPr>
            </w:pPr>
            <w:r w:rsidRPr="0053067B">
              <w:rPr>
                <w:rFonts w:eastAsia="Calibri"/>
                <w:lang w:val="en-US" w:eastAsia="en-US"/>
              </w:rPr>
              <w:t>244.899</w:t>
            </w:r>
          </w:p>
        </w:tc>
      </w:tr>
      <w:tr w:rsidR="0053067B" w:rsidRPr="0053067B" w:rsidTr="0053067B">
        <w:trPr>
          <w:jc w:val="center"/>
        </w:trPr>
        <w:tc>
          <w:tcPr>
            <w:tcW w:w="1355" w:type="dxa"/>
          </w:tcPr>
          <w:p w:rsidR="0053067B" w:rsidRPr="0053067B" w:rsidRDefault="0053067B" w:rsidP="00A77970">
            <w:pPr>
              <w:rPr>
                <w:rFonts w:eastAsia="Calibri"/>
                <w:bCs/>
                <w:lang w:val="en-US" w:eastAsia="en-US"/>
              </w:rPr>
            </w:pPr>
            <w:r w:rsidRPr="0053067B">
              <w:rPr>
                <w:rFonts w:eastAsia="Calibri"/>
                <w:bCs/>
                <w:lang w:val="en-US" w:eastAsia="en-US"/>
              </w:rPr>
              <w:t>Sector 6</w:t>
            </w:r>
          </w:p>
        </w:tc>
        <w:tc>
          <w:tcPr>
            <w:tcW w:w="3350" w:type="dxa"/>
            <w:vAlign w:val="center"/>
          </w:tcPr>
          <w:p w:rsidR="0053067B" w:rsidRPr="0053067B" w:rsidRDefault="0053067B" w:rsidP="00A77970">
            <w:pPr>
              <w:jc w:val="center"/>
              <w:rPr>
                <w:rFonts w:eastAsia="Calibri"/>
                <w:bCs/>
                <w:lang w:val="en-US" w:eastAsia="en-US"/>
              </w:rPr>
            </w:pPr>
            <w:r w:rsidRPr="0053067B">
              <w:rPr>
                <w:rFonts w:eastAsia="Calibri"/>
                <w:bCs/>
                <w:lang w:val="en-US" w:eastAsia="en-US"/>
              </w:rPr>
              <w:t>95.099</w:t>
            </w:r>
          </w:p>
        </w:tc>
        <w:tc>
          <w:tcPr>
            <w:tcW w:w="3402" w:type="dxa"/>
            <w:vAlign w:val="center"/>
          </w:tcPr>
          <w:p w:rsidR="0053067B" w:rsidRPr="0053067B" w:rsidRDefault="0053067B" w:rsidP="00A77970">
            <w:pPr>
              <w:jc w:val="center"/>
              <w:rPr>
                <w:rFonts w:eastAsia="Calibri"/>
                <w:lang w:val="en-US" w:eastAsia="en-US"/>
              </w:rPr>
            </w:pPr>
            <w:r w:rsidRPr="0053067B">
              <w:rPr>
                <w:rFonts w:eastAsia="Calibri"/>
                <w:lang w:val="en-US" w:eastAsia="en-US"/>
              </w:rPr>
              <w:t>341</w:t>
            </w:r>
          </w:p>
        </w:tc>
        <w:tc>
          <w:tcPr>
            <w:tcW w:w="1985" w:type="dxa"/>
            <w:vAlign w:val="center"/>
          </w:tcPr>
          <w:p w:rsidR="0053067B" w:rsidRPr="0053067B" w:rsidRDefault="0053067B" w:rsidP="00A77970">
            <w:pPr>
              <w:jc w:val="center"/>
              <w:rPr>
                <w:rFonts w:eastAsia="Calibri"/>
                <w:lang w:val="en-US" w:eastAsia="en-US"/>
              </w:rPr>
            </w:pPr>
            <w:r w:rsidRPr="0053067B">
              <w:rPr>
                <w:rFonts w:eastAsia="Calibri"/>
                <w:lang w:val="en-US" w:eastAsia="en-US"/>
              </w:rPr>
              <w:t>318.047</w:t>
            </w:r>
          </w:p>
        </w:tc>
      </w:tr>
      <w:tr w:rsidR="0053067B" w:rsidRPr="0053067B" w:rsidTr="0053067B">
        <w:trPr>
          <w:jc w:val="center"/>
        </w:trPr>
        <w:tc>
          <w:tcPr>
            <w:tcW w:w="1355" w:type="dxa"/>
          </w:tcPr>
          <w:p w:rsidR="0053067B" w:rsidRPr="0053067B" w:rsidRDefault="0053067B" w:rsidP="00A77970">
            <w:pPr>
              <w:rPr>
                <w:rFonts w:eastAsia="Calibri"/>
                <w:b/>
                <w:bCs/>
                <w:lang w:val="en-US" w:eastAsia="en-US"/>
              </w:rPr>
            </w:pPr>
            <w:r w:rsidRPr="0053067B">
              <w:rPr>
                <w:rFonts w:eastAsia="Calibri"/>
                <w:b/>
                <w:bCs/>
                <w:lang w:val="en-US" w:eastAsia="en-US"/>
              </w:rPr>
              <w:t>TOTAL</w:t>
            </w:r>
          </w:p>
        </w:tc>
        <w:tc>
          <w:tcPr>
            <w:tcW w:w="3350" w:type="dxa"/>
            <w:vAlign w:val="center"/>
          </w:tcPr>
          <w:p w:rsidR="0053067B" w:rsidRPr="0053067B" w:rsidRDefault="0053067B" w:rsidP="00A77970">
            <w:pPr>
              <w:jc w:val="center"/>
              <w:rPr>
                <w:rFonts w:eastAsia="Calibri"/>
                <w:b/>
                <w:lang w:val="en-US" w:eastAsia="en-US"/>
              </w:rPr>
            </w:pPr>
            <w:r w:rsidRPr="0053067B">
              <w:rPr>
                <w:rFonts w:eastAsia="Calibri"/>
                <w:b/>
                <w:lang w:val="en-US" w:eastAsia="en-US"/>
              </w:rPr>
              <w:t>488.424</w:t>
            </w:r>
          </w:p>
        </w:tc>
        <w:tc>
          <w:tcPr>
            <w:tcW w:w="3402" w:type="dxa"/>
            <w:vAlign w:val="center"/>
          </w:tcPr>
          <w:p w:rsidR="0053067B" w:rsidRPr="0053067B" w:rsidRDefault="0053067B" w:rsidP="00A77970">
            <w:pPr>
              <w:jc w:val="center"/>
              <w:rPr>
                <w:rFonts w:eastAsia="Calibri"/>
                <w:b/>
                <w:lang w:val="en-US" w:eastAsia="en-US"/>
              </w:rPr>
            </w:pPr>
            <w:r w:rsidRPr="0053067B">
              <w:rPr>
                <w:rFonts w:eastAsia="Calibri"/>
                <w:b/>
                <w:lang w:val="en-US" w:eastAsia="en-US"/>
              </w:rPr>
              <w:t>2.622</w:t>
            </w:r>
          </w:p>
        </w:tc>
        <w:tc>
          <w:tcPr>
            <w:tcW w:w="1985" w:type="dxa"/>
            <w:vAlign w:val="center"/>
          </w:tcPr>
          <w:p w:rsidR="0053067B" w:rsidRPr="0053067B" w:rsidRDefault="0053067B" w:rsidP="00A77970">
            <w:pPr>
              <w:jc w:val="center"/>
              <w:rPr>
                <w:rFonts w:eastAsia="Calibri"/>
                <w:b/>
                <w:lang w:val="en-US" w:eastAsia="en-US"/>
              </w:rPr>
            </w:pPr>
            <w:r w:rsidRPr="0053067B">
              <w:rPr>
                <w:rFonts w:eastAsia="Calibri"/>
                <w:b/>
                <w:lang w:val="en-US" w:eastAsia="en-US"/>
              </w:rPr>
              <w:t>2.632.439</w:t>
            </w:r>
          </w:p>
        </w:tc>
      </w:tr>
    </w:tbl>
    <w:p w:rsidR="0053067B" w:rsidRPr="0053067B" w:rsidRDefault="0053067B" w:rsidP="00A77970">
      <w:pPr>
        <w:contextualSpacing/>
        <w:jc w:val="both"/>
        <w:rPr>
          <w:sz w:val="20"/>
          <w:szCs w:val="20"/>
          <w:lang w:val="it-IT"/>
        </w:rPr>
      </w:pPr>
      <w:r w:rsidRPr="0053067B">
        <w:rPr>
          <w:sz w:val="20"/>
          <w:szCs w:val="20"/>
          <w:lang w:val="it-IT"/>
        </w:rPr>
        <w:t>*numarul nu include si beneficiarii de Legi speciale.</w:t>
      </w:r>
    </w:p>
    <w:p w:rsidR="0053067B" w:rsidRPr="0053067B" w:rsidRDefault="0053067B" w:rsidP="00A77970">
      <w:pPr>
        <w:spacing w:after="120"/>
        <w:jc w:val="both"/>
        <w:rPr>
          <w:lang w:val="fr-FR" w:eastAsia="en-US"/>
        </w:rPr>
      </w:pPr>
    </w:p>
    <w:p w:rsidR="0053067B" w:rsidRPr="0053067B" w:rsidRDefault="00801B84" w:rsidP="00A77970">
      <w:pPr>
        <w:suppressAutoHyphens/>
        <w:jc w:val="both"/>
        <w:rPr>
          <w:i/>
          <w:lang w:eastAsia="en-US"/>
        </w:rPr>
      </w:pPr>
      <w:r>
        <w:rPr>
          <w:i/>
          <w:lang w:eastAsia="en-US"/>
        </w:rPr>
        <w:tab/>
      </w:r>
      <w:r w:rsidR="0053067B" w:rsidRPr="0053067B">
        <w:rPr>
          <w:i/>
          <w:lang w:eastAsia="en-US"/>
        </w:rPr>
        <w:t>Serviciul Pensii Interna</w:t>
      </w:r>
      <w:r>
        <w:rPr>
          <w:i/>
          <w:lang w:eastAsia="en-US"/>
        </w:rPr>
        <w:t>ț</w:t>
      </w:r>
      <w:r w:rsidR="0053067B" w:rsidRPr="0053067B">
        <w:rPr>
          <w:i/>
          <w:lang w:eastAsia="en-US"/>
        </w:rPr>
        <w:t>ionale</w:t>
      </w:r>
    </w:p>
    <w:p w:rsidR="0053067B" w:rsidRPr="0053067B" w:rsidRDefault="00801B84" w:rsidP="00A77970">
      <w:pPr>
        <w:jc w:val="both"/>
        <w:rPr>
          <w:lang w:eastAsia="en-US"/>
        </w:rPr>
      </w:pPr>
      <w:r>
        <w:rPr>
          <w:lang w:eastAsia="en-US"/>
        </w:rPr>
        <w:tab/>
        <w:t>Î</w:t>
      </w:r>
      <w:r w:rsidR="0053067B" w:rsidRPr="0053067B">
        <w:rPr>
          <w:lang w:eastAsia="en-US"/>
        </w:rPr>
        <w:t>n eviden</w:t>
      </w:r>
      <w:r>
        <w:rPr>
          <w:lang w:eastAsia="en-US"/>
        </w:rPr>
        <w:t>ț</w:t>
      </w:r>
      <w:r w:rsidR="0053067B" w:rsidRPr="0053067B">
        <w:rPr>
          <w:lang w:eastAsia="en-US"/>
        </w:rPr>
        <w:t>a Casei de Pensii a Municipiului Bucuresti se afl</w:t>
      </w:r>
      <w:r>
        <w:rPr>
          <w:lang w:eastAsia="en-US"/>
        </w:rPr>
        <w:t>ă</w:t>
      </w:r>
      <w:r w:rsidR="0053067B" w:rsidRPr="0053067B">
        <w:rPr>
          <w:lang w:eastAsia="en-US"/>
        </w:rPr>
        <w:t xml:space="preserve"> </w:t>
      </w:r>
      <w:r w:rsidR="002B0BC6" w:rsidRPr="002B0BC6">
        <w:rPr>
          <w:lang w:eastAsia="en-US"/>
        </w:rPr>
        <w:t xml:space="preserve">23.545 </w:t>
      </w:r>
      <w:r w:rsidR="0053067B" w:rsidRPr="0053067B">
        <w:rPr>
          <w:lang w:eastAsia="en-US"/>
        </w:rPr>
        <w:t>de lucr</w:t>
      </w:r>
      <w:r>
        <w:rPr>
          <w:lang w:eastAsia="en-US"/>
        </w:rPr>
        <w:t>ă</w:t>
      </w:r>
      <w:r w:rsidR="0053067B" w:rsidRPr="0053067B">
        <w:rPr>
          <w:lang w:eastAsia="en-US"/>
        </w:rPr>
        <w:t>tori migran</w:t>
      </w:r>
      <w:r>
        <w:rPr>
          <w:lang w:eastAsia="en-US"/>
        </w:rPr>
        <w:t>ț</w:t>
      </w:r>
      <w:r w:rsidR="0053067B" w:rsidRPr="0053067B">
        <w:rPr>
          <w:lang w:eastAsia="en-US"/>
        </w:rPr>
        <w:t>i, în cursul anului 201</w:t>
      </w:r>
      <w:r w:rsidR="002B0BC6">
        <w:rPr>
          <w:lang w:eastAsia="en-US"/>
        </w:rPr>
        <w:t>8</w:t>
      </w:r>
      <w:r w:rsidR="0053067B" w:rsidRPr="0053067B">
        <w:rPr>
          <w:lang w:eastAsia="en-US"/>
        </w:rPr>
        <w:t xml:space="preserve"> fiind </w:t>
      </w:r>
      <w:r>
        <w:rPr>
          <w:lang w:eastAsia="en-US"/>
        </w:rPr>
        <w:t>î</w:t>
      </w:r>
      <w:r w:rsidR="0053067B" w:rsidRPr="0053067B">
        <w:rPr>
          <w:lang w:eastAsia="en-US"/>
        </w:rPr>
        <w:t xml:space="preserve">nregistrate </w:t>
      </w:r>
      <w:r w:rsidR="002B0BC6">
        <w:rPr>
          <w:lang w:eastAsia="en-US"/>
        </w:rPr>
        <w:t>4.862</w:t>
      </w:r>
      <w:r w:rsidR="0053067B" w:rsidRPr="0053067B">
        <w:rPr>
          <w:lang w:eastAsia="en-US"/>
        </w:rPr>
        <w:t xml:space="preserve"> solicit</w:t>
      </w:r>
      <w:r>
        <w:rPr>
          <w:lang w:eastAsia="en-US"/>
        </w:rPr>
        <w:t>ă</w:t>
      </w:r>
      <w:r w:rsidR="0053067B" w:rsidRPr="0053067B">
        <w:rPr>
          <w:lang w:eastAsia="en-US"/>
        </w:rPr>
        <w:t xml:space="preserve">ri, din care </w:t>
      </w:r>
      <w:r w:rsidR="002B0BC6">
        <w:rPr>
          <w:lang w:val="pt-BR" w:eastAsia="en-US"/>
        </w:rPr>
        <w:t>2.879</w:t>
      </w:r>
      <w:r w:rsidR="0053067B" w:rsidRPr="0053067B">
        <w:rPr>
          <w:lang w:val="pt-BR" w:eastAsia="en-US"/>
        </w:rPr>
        <w:t xml:space="preserve"> cereri de pensie (</w:t>
      </w:r>
      <w:r w:rsidR="002B0BC6">
        <w:rPr>
          <w:bCs/>
          <w:lang w:val="it-IT" w:eastAsia="en-US"/>
        </w:rPr>
        <w:t>2.150</w:t>
      </w:r>
      <w:r w:rsidR="0053067B" w:rsidRPr="0053067B">
        <w:rPr>
          <w:bCs/>
          <w:lang w:val="it-IT" w:eastAsia="en-US"/>
        </w:rPr>
        <w:t xml:space="preserve"> pentru</w:t>
      </w:r>
      <w:r w:rsidR="0053067B" w:rsidRPr="0053067B">
        <w:rPr>
          <w:lang w:val="it-IT" w:eastAsia="en-US"/>
        </w:rPr>
        <w:t xml:space="preserve"> limita de v</w:t>
      </w:r>
      <w:r>
        <w:rPr>
          <w:lang w:val="it-IT" w:eastAsia="en-US"/>
        </w:rPr>
        <w:t>â</w:t>
      </w:r>
      <w:r w:rsidR="0053067B" w:rsidRPr="0053067B">
        <w:rPr>
          <w:lang w:val="it-IT" w:eastAsia="en-US"/>
        </w:rPr>
        <w:t>rst</w:t>
      </w:r>
      <w:r>
        <w:rPr>
          <w:lang w:val="it-IT" w:eastAsia="en-US"/>
        </w:rPr>
        <w:t>ă</w:t>
      </w:r>
      <w:r w:rsidR="0053067B" w:rsidRPr="0053067B">
        <w:rPr>
          <w:lang w:val="it-IT" w:eastAsia="en-US"/>
        </w:rPr>
        <w:t xml:space="preserve"> – </w:t>
      </w:r>
      <w:r w:rsidR="002B0BC6">
        <w:rPr>
          <w:bCs/>
          <w:lang w:val="it-IT" w:eastAsia="en-US"/>
        </w:rPr>
        <w:t>1.703</w:t>
      </w:r>
      <w:r w:rsidR="0053067B" w:rsidRPr="0053067B">
        <w:rPr>
          <w:bCs/>
          <w:lang w:val="it-IT" w:eastAsia="en-US"/>
        </w:rPr>
        <w:t xml:space="preserve"> dosare incomplete, </w:t>
      </w:r>
      <w:r w:rsidR="002B0BC6">
        <w:rPr>
          <w:lang w:val="pt-BR" w:eastAsia="en-US"/>
        </w:rPr>
        <w:t>405</w:t>
      </w:r>
      <w:r w:rsidR="0053067B" w:rsidRPr="0053067B">
        <w:rPr>
          <w:lang w:val="pt-BR" w:eastAsia="en-US"/>
        </w:rPr>
        <w:t xml:space="preserve"> pentru pensie de urma</w:t>
      </w:r>
      <w:r>
        <w:rPr>
          <w:lang w:val="pt-BR" w:eastAsia="en-US"/>
        </w:rPr>
        <w:t>ș</w:t>
      </w:r>
      <w:r w:rsidR="0053067B" w:rsidRPr="0053067B">
        <w:rPr>
          <w:lang w:val="pt-BR" w:eastAsia="en-US"/>
        </w:rPr>
        <w:t xml:space="preserve"> - </w:t>
      </w:r>
      <w:r w:rsidR="002B0BC6">
        <w:rPr>
          <w:lang w:val="pt-BR" w:eastAsia="en-US"/>
        </w:rPr>
        <w:t>314</w:t>
      </w:r>
      <w:r w:rsidR="0053067B" w:rsidRPr="0053067B">
        <w:rPr>
          <w:lang w:val="pt-BR" w:eastAsia="en-US"/>
        </w:rPr>
        <w:t xml:space="preserve"> dosare incomplete și </w:t>
      </w:r>
      <w:r w:rsidR="002B0BC6">
        <w:rPr>
          <w:lang w:val="it-IT" w:eastAsia="en-US"/>
        </w:rPr>
        <w:t>324</w:t>
      </w:r>
      <w:r w:rsidR="0053067B" w:rsidRPr="0053067B">
        <w:rPr>
          <w:lang w:val="it-IT" w:eastAsia="en-US"/>
        </w:rPr>
        <w:t xml:space="preserve"> </w:t>
      </w:r>
      <w:r w:rsidR="0053067B" w:rsidRPr="0053067B">
        <w:rPr>
          <w:lang w:val="pt-BR" w:eastAsia="en-US"/>
        </w:rPr>
        <w:t xml:space="preserve">pentru </w:t>
      </w:r>
      <w:r w:rsidR="0053067B" w:rsidRPr="0053067B">
        <w:rPr>
          <w:lang w:val="it-IT" w:eastAsia="en-US"/>
        </w:rPr>
        <w:t xml:space="preserve">pensie de invaliditate - </w:t>
      </w:r>
      <w:r w:rsidR="002B0BC6">
        <w:rPr>
          <w:lang w:val="pt-BR" w:eastAsia="en-US"/>
        </w:rPr>
        <w:t>256</w:t>
      </w:r>
      <w:r w:rsidR="0053067B" w:rsidRPr="0053067B">
        <w:rPr>
          <w:lang w:val="pt-BR" w:eastAsia="en-US"/>
        </w:rPr>
        <w:t xml:space="preserve"> dosare incomplete)</w:t>
      </w:r>
      <w:r w:rsidR="0053067B" w:rsidRPr="0053067B">
        <w:rPr>
          <w:lang w:eastAsia="en-US"/>
        </w:rPr>
        <w:t xml:space="preserve"> și </w:t>
      </w:r>
      <w:r w:rsidR="002B0BC6">
        <w:rPr>
          <w:lang w:val="it-IT" w:eastAsia="en-US"/>
        </w:rPr>
        <w:t>1.846</w:t>
      </w:r>
      <w:r w:rsidR="0053067B" w:rsidRPr="0053067B">
        <w:rPr>
          <w:lang w:val="it-IT" w:eastAsia="en-US"/>
        </w:rPr>
        <w:t xml:space="preserve"> solicit</w:t>
      </w:r>
      <w:r>
        <w:rPr>
          <w:lang w:val="it-IT" w:eastAsia="en-US"/>
        </w:rPr>
        <w:t>ă</w:t>
      </w:r>
      <w:r w:rsidR="0053067B" w:rsidRPr="0053067B">
        <w:rPr>
          <w:lang w:val="it-IT" w:eastAsia="en-US"/>
        </w:rPr>
        <w:t>ri de confirmare a perioadelor de asigurare realizate de solicitant/asiguratul decedat în România, prin intermediul formularului E 205RO</w:t>
      </w:r>
      <w:r w:rsidR="0053067B" w:rsidRPr="0053067B">
        <w:rPr>
          <w:b/>
          <w:lang w:val="it-IT" w:eastAsia="en-US"/>
        </w:rPr>
        <w:t>.</w:t>
      </w:r>
    </w:p>
    <w:p w:rsidR="0053067B" w:rsidRPr="0053067B" w:rsidRDefault="00801B84" w:rsidP="00A77970">
      <w:pPr>
        <w:jc w:val="both"/>
        <w:rPr>
          <w:lang w:val="it-IT" w:eastAsia="en-US"/>
        </w:rPr>
      </w:pPr>
      <w:r>
        <w:rPr>
          <w:lang w:eastAsia="en-US"/>
        </w:rPr>
        <w:tab/>
        <w:t>Î</w:t>
      </w:r>
      <w:r w:rsidR="0053067B" w:rsidRPr="0053067B">
        <w:rPr>
          <w:lang w:eastAsia="en-US"/>
        </w:rPr>
        <w:t>n cursul anului 201</w:t>
      </w:r>
      <w:r w:rsidR="002B0BC6">
        <w:rPr>
          <w:lang w:eastAsia="en-US"/>
        </w:rPr>
        <w:t>8</w:t>
      </w:r>
      <w:r w:rsidR="0053067B" w:rsidRPr="0053067B">
        <w:rPr>
          <w:lang w:eastAsia="en-US"/>
        </w:rPr>
        <w:t xml:space="preserve"> au fost stabilite </w:t>
      </w:r>
      <w:r w:rsidR="002B0BC6">
        <w:rPr>
          <w:lang w:val="fr-FR" w:eastAsia="en-US"/>
        </w:rPr>
        <w:t>1.034</w:t>
      </w:r>
      <w:r w:rsidR="0053067B" w:rsidRPr="0053067B">
        <w:rPr>
          <w:lang w:val="fr-FR" w:eastAsia="en-US"/>
        </w:rPr>
        <w:t xml:space="preserve"> pensii na</w:t>
      </w:r>
      <w:r>
        <w:rPr>
          <w:lang w:val="fr-FR" w:eastAsia="en-US"/>
        </w:rPr>
        <w:t>ț</w:t>
      </w:r>
      <w:r w:rsidR="0053067B" w:rsidRPr="0053067B">
        <w:rPr>
          <w:lang w:val="fr-FR" w:eastAsia="en-US"/>
        </w:rPr>
        <w:t xml:space="preserve">ionale, stabilite în aplicarea Acordurilor bilaterale, Regulamentului nr.1408/1971, 574/1972, 883/2004 si 987/2009, </w:t>
      </w:r>
      <w:r w:rsidR="002B0BC6">
        <w:rPr>
          <w:lang w:val="it-IT" w:eastAsia="en-US"/>
        </w:rPr>
        <w:t>455</w:t>
      </w:r>
      <w:r w:rsidR="0053067B" w:rsidRPr="0053067B">
        <w:rPr>
          <w:lang w:val="it-IT" w:eastAsia="en-US"/>
        </w:rPr>
        <w:t xml:space="preserve"> de pensii comunitare (stabilite prin totalizare) în aplicarea Regulamentului nr.1408/1971, 574/1972, 883/2004 si 987/2009, au fos emise </w:t>
      </w:r>
      <w:r w:rsidR="002B0BC6">
        <w:rPr>
          <w:lang w:val="pt-BR" w:eastAsia="en-US"/>
        </w:rPr>
        <w:t>770</w:t>
      </w:r>
      <w:r w:rsidR="0053067B" w:rsidRPr="0053067B">
        <w:rPr>
          <w:lang w:val="it-IT" w:eastAsia="en-US"/>
        </w:rPr>
        <w:t xml:space="preserve"> </w:t>
      </w:r>
      <w:r w:rsidR="0053067B" w:rsidRPr="0053067B">
        <w:rPr>
          <w:lang w:val="pt-BR" w:eastAsia="en-US"/>
        </w:rPr>
        <w:t>formulare E 205RO</w:t>
      </w:r>
      <w:r w:rsidR="0053067B" w:rsidRPr="0053067B">
        <w:rPr>
          <w:lang w:val="it-IT" w:eastAsia="en-US"/>
        </w:rPr>
        <w:t xml:space="preserve"> și examinate </w:t>
      </w:r>
      <w:r w:rsidR="002B0BC6">
        <w:rPr>
          <w:lang w:val="it-IT" w:eastAsia="en-US"/>
        </w:rPr>
        <w:t>428</w:t>
      </w:r>
      <w:r w:rsidR="0053067B" w:rsidRPr="0053067B">
        <w:rPr>
          <w:lang w:val="it-IT" w:eastAsia="en-US"/>
        </w:rPr>
        <w:t xml:space="preserve"> solicitari diverse</w:t>
      </w:r>
      <w:r w:rsidR="0053067B" w:rsidRPr="0053067B">
        <w:rPr>
          <w:bCs/>
          <w:lang w:val="it-IT" w:eastAsia="en-US"/>
        </w:rPr>
        <w:t>.</w:t>
      </w:r>
    </w:p>
    <w:p w:rsidR="0053067B" w:rsidRPr="0053067B" w:rsidRDefault="0053067B" w:rsidP="00A77970">
      <w:pPr>
        <w:jc w:val="both"/>
        <w:rPr>
          <w:b/>
          <w:bCs/>
          <w:i/>
          <w:iCs/>
          <w:color w:val="0000FF"/>
          <w:lang w:val="it-IT" w:eastAsia="en-US"/>
        </w:rPr>
      </w:pPr>
    </w:p>
    <w:p w:rsidR="0053067B" w:rsidRPr="0053067B" w:rsidRDefault="0053067B" w:rsidP="00A77970">
      <w:pPr>
        <w:ind w:firstLine="540"/>
        <w:jc w:val="both"/>
        <w:rPr>
          <w:i/>
          <w:lang w:eastAsia="en-US"/>
        </w:rPr>
      </w:pPr>
      <w:r w:rsidRPr="0053067B">
        <w:rPr>
          <w:i/>
          <w:lang w:eastAsia="en-US"/>
        </w:rPr>
        <w:tab/>
        <w:t>Activitatea desf</w:t>
      </w:r>
      <w:r w:rsidR="00801B84">
        <w:rPr>
          <w:i/>
          <w:lang w:eastAsia="en-US"/>
        </w:rPr>
        <w:t>ăș</w:t>
      </w:r>
      <w:r w:rsidRPr="0053067B">
        <w:rPr>
          <w:i/>
          <w:lang w:eastAsia="en-US"/>
        </w:rPr>
        <w:t>urat</w:t>
      </w:r>
      <w:r w:rsidR="00801B84">
        <w:rPr>
          <w:i/>
          <w:lang w:eastAsia="en-US"/>
        </w:rPr>
        <w:t>ă</w:t>
      </w:r>
      <w:r w:rsidRPr="0053067B">
        <w:rPr>
          <w:i/>
          <w:lang w:eastAsia="en-US"/>
        </w:rPr>
        <w:t xml:space="preserve"> </w:t>
      </w:r>
      <w:r w:rsidR="00801B84">
        <w:rPr>
          <w:i/>
          <w:lang w:eastAsia="en-US"/>
        </w:rPr>
        <w:t>î</w:t>
      </w:r>
      <w:r w:rsidRPr="0053067B">
        <w:rPr>
          <w:i/>
          <w:lang w:eastAsia="en-US"/>
        </w:rPr>
        <w:t>n domeniul financiar-contabil</w:t>
      </w:r>
    </w:p>
    <w:p w:rsidR="0053067B" w:rsidRPr="0053067B" w:rsidRDefault="0053067B" w:rsidP="00980D72">
      <w:pPr>
        <w:numPr>
          <w:ilvl w:val="0"/>
          <w:numId w:val="25"/>
        </w:numPr>
        <w:ind w:left="709" w:hanging="425"/>
        <w:jc w:val="both"/>
        <w:rPr>
          <w:lang w:eastAsia="en-US"/>
        </w:rPr>
      </w:pPr>
      <w:r w:rsidRPr="0053067B">
        <w:rPr>
          <w:lang w:eastAsia="en-US"/>
        </w:rPr>
        <w:t>Bugetul asigur</w:t>
      </w:r>
      <w:r w:rsidR="00801B84">
        <w:rPr>
          <w:lang w:eastAsia="en-US"/>
        </w:rPr>
        <w:t>ă</w:t>
      </w:r>
      <w:r w:rsidRPr="0053067B">
        <w:rPr>
          <w:lang w:eastAsia="en-US"/>
        </w:rPr>
        <w:t>rilor sociale de stat</w:t>
      </w:r>
    </w:p>
    <w:p w:rsidR="00B9166B" w:rsidRDefault="0053067B" w:rsidP="00B9166B">
      <w:pPr>
        <w:ind w:firstLine="540"/>
        <w:jc w:val="both"/>
        <w:rPr>
          <w:lang w:eastAsia="en-US"/>
        </w:rPr>
      </w:pPr>
      <w:r w:rsidRPr="0053067B">
        <w:rPr>
          <w:lang w:eastAsia="en-US"/>
        </w:rPr>
        <w:tab/>
      </w:r>
      <w:r w:rsidR="00B9166B">
        <w:rPr>
          <w:lang w:eastAsia="en-US"/>
        </w:rPr>
        <w:t>La 31.12.2018, încasarile din contribuţii ale bugetului asigurărilor sociale de stat, detaliat pe surse sunt în suma de 32.618.574.802 lei,  înregistrandu-se o creştere faţă de anul 2017 cu 7.082.677.599 lei.</w:t>
      </w:r>
    </w:p>
    <w:p w:rsidR="0053067B" w:rsidRDefault="00B9166B" w:rsidP="00B9166B">
      <w:pPr>
        <w:ind w:firstLine="540"/>
        <w:jc w:val="both"/>
        <w:rPr>
          <w:lang w:val="it-IT" w:eastAsia="en-US"/>
        </w:rPr>
      </w:pPr>
      <w:r>
        <w:rPr>
          <w:lang w:eastAsia="en-US"/>
        </w:rPr>
        <w:t>Casa de Pensii a Municipiului Bucureşti a realizat încasări din contribuţia de asigurări sociale datorate de asiguraţii pe bază de declaraţie şi contract şi din contribuţia pentru bilete de tratament, după cum urmează:</w:t>
      </w:r>
    </w:p>
    <w:p w:rsidR="00284A40" w:rsidRPr="0053067B" w:rsidRDefault="00284A40" w:rsidP="00A77970">
      <w:pPr>
        <w:ind w:firstLine="540"/>
        <w:jc w:val="both"/>
        <w:rPr>
          <w:lang w:val="it-IT" w:eastAsia="en-US"/>
        </w:rPr>
      </w:pPr>
    </w:p>
    <w:tbl>
      <w:tblPr>
        <w:tblW w:w="893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3"/>
        <w:gridCol w:w="1843"/>
        <w:gridCol w:w="1985"/>
      </w:tblGrid>
      <w:tr w:rsidR="0053067B" w:rsidRPr="0053067B" w:rsidTr="0053067B">
        <w:trPr>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53067B" w:rsidRPr="0053067B" w:rsidRDefault="0053067B" w:rsidP="00A77970">
            <w:pPr>
              <w:rPr>
                <w:lang w:val="en-US" w:eastAsia="en-US"/>
              </w:rPr>
            </w:pPr>
            <w:r w:rsidRPr="0053067B">
              <w:rPr>
                <w:lang w:val="en-US" w:eastAsia="en-US"/>
              </w:rPr>
              <w:t>Denumire contribu</w:t>
            </w:r>
            <w:r w:rsidR="00801B84">
              <w:rPr>
                <w:lang w:val="en-US" w:eastAsia="en-US"/>
              </w:rPr>
              <w:t>ț</w:t>
            </w:r>
            <w:r w:rsidRPr="0053067B">
              <w:rPr>
                <w:lang w:val="en-US" w:eastAsia="en-US"/>
              </w:rPr>
              <w:t>ie</w:t>
            </w:r>
          </w:p>
        </w:tc>
        <w:tc>
          <w:tcPr>
            <w:tcW w:w="1843" w:type="dxa"/>
            <w:tcBorders>
              <w:top w:val="single" w:sz="4" w:space="0" w:color="auto"/>
              <w:left w:val="single" w:sz="4" w:space="0" w:color="auto"/>
              <w:bottom w:val="single" w:sz="4" w:space="0" w:color="auto"/>
              <w:right w:val="single" w:sz="4" w:space="0" w:color="auto"/>
            </w:tcBorders>
            <w:hideMark/>
          </w:tcPr>
          <w:p w:rsidR="0053067B" w:rsidRPr="0053067B" w:rsidRDefault="0053067B" w:rsidP="00A77970">
            <w:pPr>
              <w:jc w:val="center"/>
              <w:rPr>
                <w:lang w:val="en-US" w:eastAsia="en-US"/>
              </w:rPr>
            </w:pPr>
            <w:r w:rsidRPr="0053067B">
              <w:rPr>
                <w:lang w:val="en-US" w:eastAsia="en-US"/>
              </w:rPr>
              <w:t>An 201</w:t>
            </w:r>
            <w:r w:rsidR="00B9166B">
              <w:rPr>
                <w:lang w:val="en-US" w:eastAsia="en-US"/>
              </w:rPr>
              <w:t>7</w:t>
            </w:r>
          </w:p>
          <w:p w:rsidR="0053067B" w:rsidRPr="0053067B" w:rsidRDefault="0053067B" w:rsidP="00A77970">
            <w:pPr>
              <w:jc w:val="center"/>
              <w:rPr>
                <w:lang w:val="en-US" w:eastAsia="en-US"/>
              </w:rPr>
            </w:pPr>
            <w:r w:rsidRPr="0053067B">
              <w:rPr>
                <w:lang w:val="en-US" w:eastAsia="en-US"/>
              </w:rPr>
              <w:t>- lei -</w:t>
            </w:r>
          </w:p>
        </w:tc>
        <w:tc>
          <w:tcPr>
            <w:tcW w:w="1985" w:type="dxa"/>
            <w:tcBorders>
              <w:top w:val="single" w:sz="4" w:space="0" w:color="auto"/>
              <w:left w:val="single" w:sz="4" w:space="0" w:color="auto"/>
              <w:bottom w:val="single" w:sz="4" w:space="0" w:color="auto"/>
              <w:right w:val="single" w:sz="4" w:space="0" w:color="auto"/>
            </w:tcBorders>
            <w:hideMark/>
          </w:tcPr>
          <w:p w:rsidR="0053067B" w:rsidRPr="0053067B" w:rsidRDefault="0053067B" w:rsidP="00A77970">
            <w:pPr>
              <w:jc w:val="center"/>
              <w:rPr>
                <w:lang w:val="en-US" w:eastAsia="en-US"/>
              </w:rPr>
            </w:pPr>
            <w:r w:rsidRPr="0053067B">
              <w:rPr>
                <w:lang w:val="en-US" w:eastAsia="en-US"/>
              </w:rPr>
              <w:t>An 201</w:t>
            </w:r>
            <w:r w:rsidR="00B9166B">
              <w:rPr>
                <w:lang w:val="en-US" w:eastAsia="en-US"/>
              </w:rPr>
              <w:t>8</w:t>
            </w:r>
          </w:p>
          <w:p w:rsidR="0053067B" w:rsidRPr="0053067B" w:rsidRDefault="0053067B" w:rsidP="00A77970">
            <w:pPr>
              <w:jc w:val="center"/>
              <w:rPr>
                <w:lang w:val="en-US" w:eastAsia="en-US"/>
              </w:rPr>
            </w:pPr>
            <w:r w:rsidRPr="0053067B">
              <w:rPr>
                <w:lang w:val="en-US" w:eastAsia="en-US"/>
              </w:rPr>
              <w:t>- lei -</w:t>
            </w:r>
          </w:p>
        </w:tc>
      </w:tr>
      <w:tr w:rsidR="00B9166B" w:rsidRPr="0053067B" w:rsidTr="00B9166B">
        <w:trPr>
          <w:jc w:val="center"/>
        </w:trPr>
        <w:tc>
          <w:tcPr>
            <w:tcW w:w="5103" w:type="dxa"/>
            <w:tcBorders>
              <w:top w:val="single" w:sz="4" w:space="0" w:color="auto"/>
              <w:left w:val="single" w:sz="4" w:space="0" w:color="auto"/>
              <w:bottom w:val="single" w:sz="4" w:space="0" w:color="auto"/>
              <w:right w:val="single" w:sz="4" w:space="0" w:color="auto"/>
            </w:tcBorders>
            <w:hideMark/>
          </w:tcPr>
          <w:p w:rsidR="00B9166B" w:rsidRPr="0053067B" w:rsidRDefault="00B9166B" w:rsidP="00A77970">
            <w:pPr>
              <w:jc w:val="both"/>
              <w:rPr>
                <w:lang w:val="en-US" w:eastAsia="en-US"/>
              </w:rPr>
            </w:pPr>
            <w:r w:rsidRPr="0053067B">
              <w:rPr>
                <w:lang w:val="en-US" w:eastAsia="en-US"/>
              </w:rPr>
              <w:t>CAS asigura</w:t>
            </w:r>
            <w:r>
              <w:rPr>
                <w:lang w:val="en-US" w:eastAsia="en-US"/>
              </w:rPr>
              <w:t>ți cu contract</w:t>
            </w:r>
            <w:r w:rsidRPr="0053067B">
              <w:rPr>
                <w:lang w:val="en-US" w:eastAsia="en-US"/>
              </w:rPr>
              <w:t xml:space="preserve"> de asigurare</w:t>
            </w:r>
          </w:p>
        </w:tc>
        <w:tc>
          <w:tcPr>
            <w:tcW w:w="1843" w:type="dxa"/>
            <w:tcBorders>
              <w:top w:val="single" w:sz="4" w:space="0" w:color="auto"/>
              <w:left w:val="single" w:sz="4" w:space="0" w:color="auto"/>
              <w:bottom w:val="single" w:sz="4" w:space="0" w:color="auto"/>
              <w:right w:val="single" w:sz="4" w:space="0" w:color="auto"/>
            </w:tcBorders>
            <w:vAlign w:val="center"/>
            <w:hideMark/>
          </w:tcPr>
          <w:p w:rsidR="00B9166B" w:rsidRPr="000E5B67" w:rsidRDefault="00B9166B" w:rsidP="00B9166B">
            <w:pPr>
              <w:jc w:val="center"/>
            </w:pPr>
            <w:r w:rsidRPr="000E5B67">
              <w:t>28.860.588</w:t>
            </w:r>
          </w:p>
        </w:tc>
        <w:tc>
          <w:tcPr>
            <w:tcW w:w="1985" w:type="dxa"/>
            <w:tcBorders>
              <w:top w:val="single" w:sz="4" w:space="0" w:color="auto"/>
              <w:left w:val="single" w:sz="4" w:space="0" w:color="auto"/>
              <w:bottom w:val="single" w:sz="4" w:space="0" w:color="auto"/>
              <w:right w:val="single" w:sz="4" w:space="0" w:color="auto"/>
            </w:tcBorders>
            <w:vAlign w:val="center"/>
            <w:hideMark/>
          </w:tcPr>
          <w:p w:rsidR="00B9166B" w:rsidRPr="000E5B67" w:rsidRDefault="00B9166B" w:rsidP="00B9166B">
            <w:pPr>
              <w:jc w:val="center"/>
            </w:pPr>
            <w:r w:rsidRPr="000E5B67">
              <w:t>34.208.330</w:t>
            </w:r>
          </w:p>
        </w:tc>
      </w:tr>
      <w:tr w:rsidR="00B9166B" w:rsidRPr="0053067B" w:rsidTr="00B9166B">
        <w:trPr>
          <w:trHeight w:val="240"/>
          <w:jc w:val="center"/>
        </w:trPr>
        <w:tc>
          <w:tcPr>
            <w:tcW w:w="5103" w:type="dxa"/>
            <w:tcBorders>
              <w:top w:val="single" w:sz="4" w:space="0" w:color="auto"/>
              <w:left w:val="single" w:sz="4" w:space="0" w:color="auto"/>
              <w:bottom w:val="single" w:sz="4" w:space="0" w:color="auto"/>
              <w:right w:val="single" w:sz="4" w:space="0" w:color="auto"/>
            </w:tcBorders>
            <w:hideMark/>
          </w:tcPr>
          <w:p w:rsidR="00B9166B" w:rsidRPr="0053067B" w:rsidRDefault="00B9166B" w:rsidP="00A77970">
            <w:pPr>
              <w:jc w:val="both"/>
              <w:rPr>
                <w:lang w:val="it-IT" w:eastAsia="en-US"/>
              </w:rPr>
            </w:pPr>
            <w:r w:rsidRPr="0053067B">
              <w:rPr>
                <w:lang w:val="it-IT" w:eastAsia="en-US"/>
              </w:rPr>
              <w:t>CAS contribu</w:t>
            </w:r>
            <w:r>
              <w:rPr>
                <w:lang w:val="it-IT" w:eastAsia="en-US"/>
              </w:rPr>
              <w:t>ț</w:t>
            </w:r>
            <w:r w:rsidRPr="0053067B">
              <w:rPr>
                <w:lang w:val="it-IT" w:eastAsia="en-US"/>
              </w:rPr>
              <w:t xml:space="preserve">ii </w:t>
            </w:r>
            <w:r>
              <w:rPr>
                <w:lang w:val="it-IT" w:eastAsia="en-US"/>
              </w:rPr>
              <w:t>î</w:t>
            </w:r>
            <w:r w:rsidRPr="0053067B">
              <w:rPr>
                <w:lang w:val="it-IT" w:eastAsia="en-US"/>
              </w:rPr>
              <w:t>ncasate conform Legii 186/2016</w:t>
            </w:r>
          </w:p>
        </w:tc>
        <w:tc>
          <w:tcPr>
            <w:tcW w:w="1843" w:type="dxa"/>
            <w:tcBorders>
              <w:top w:val="single" w:sz="4" w:space="0" w:color="auto"/>
              <w:left w:val="single" w:sz="4" w:space="0" w:color="auto"/>
              <w:bottom w:val="single" w:sz="4" w:space="0" w:color="auto"/>
              <w:right w:val="single" w:sz="4" w:space="0" w:color="auto"/>
            </w:tcBorders>
            <w:vAlign w:val="center"/>
            <w:hideMark/>
          </w:tcPr>
          <w:p w:rsidR="00B9166B" w:rsidRPr="000E5B67" w:rsidRDefault="00B9166B" w:rsidP="00B9166B">
            <w:pPr>
              <w:jc w:val="center"/>
            </w:pPr>
            <w:r w:rsidRPr="000E5B67">
              <w:t>24.582.392</w:t>
            </w:r>
          </w:p>
        </w:tc>
        <w:tc>
          <w:tcPr>
            <w:tcW w:w="1985" w:type="dxa"/>
            <w:tcBorders>
              <w:top w:val="single" w:sz="4" w:space="0" w:color="auto"/>
              <w:left w:val="single" w:sz="4" w:space="0" w:color="auto"/>
              <w:bottom w:val="single" w:sz="4" w:space="0" w:color="auto"/>
              <w:right w:val="single" w:sz="4" w:space="0" w:color="auto"/>
            </w:tcBorders>
            <w:vAlign w:val="center"/>
            <w:hideMark/>
          </w:tcPr>
          <w:p w:rsidR="00B9166B" w:rsidRPr="000E5B67" w:rsidRDefault="00B9166B" w:rsidP="00B9166B">
            <w:pPr>
              <w:jc w:val="center"/>
            </w:pPr>
            <w:r w:rsidRPr="000E5B67">
              <w:t>11.591.757</w:t>
            </w:r>
          </w:p>
        </w:tc>
      </w:tr>
      <w:tr w:rsidR="00B9166B" w:rsidRPr="0053067B" w:rsidTr="00B9166B">
        <w:trPr>
          <w:trHeight w:val="315"/>
          <w:jc w:val="center"/>
        </w:trPr>
        <w:tc>
          <w:tcPr>
            <w:tcW w:w="5103" w:type="dxa"/>
            <w:tcBorders>
              <w:top w:val="single" w:sz="4" w:space="0" w:color="auto"/>
              <w:left w:val="single" w:sz="4" w:space="0" w:color="auto"/>
              <w:bottom w:val="single" w:sz="4" w:space="0" w:color="auto"/>
              <w:right w:val="single" w:sz="4" w:space="0" w:color="auto"/>
            </w:tcBorders>
            <w:hideMark/>
          </w:tcPr>
          <w:p w:rsidR="00B9166B" w:rsidRPr="0053067B" w:rsidRDefault="00B9166B" w:rsidP="00A77970">
            <w:pPr>
              <w:jc w:val="both"/>
              <w:rPr>
                <w:lang w:val="it-IT" w:eastAsia="en-US"/>
              </w:rPr>
            </w:pPr>
            <w:r w:rsidRPr="0053067B">
              <w:rPr>
                <w:lang w:val="it-IT" w:eastAsia="en-US"/>
              </w:rPr>
              <w:t>Contribu</w:t>
            </w:r>
            <w:r>
              <w:rPr>
                <w:lang w:val="it-IT" w:eastAsia="en-US"/>
              </w:rPr>
              <w:t>ț</w:t>
            </w:r>
            <w:r w:rsidRPr="0053067B">
              <w:rPr>
                <w:lang w:val="it-IT" w:eastAsia="en-US"/>
              </w:rPr>
              <w:t>ia pentru bilete de tratament</w:t>
            </w:r>
          </w:p>
        </w:tc>
        <w:tc>
          <w:tcPr>
            <w:tcW w:w="1843" w:type="dxa"/>
            <w:tcBorders>
              <w:top w:val="single" w:sz="4" w:space="0" w:color="auto"/>
              <w:left w:val="single" w:sz="4" w:space="0" w:color="auto"/>
              <w:bottom w:val="single" w:sz="4" w:space="0" w:color="auto"/>
              <w:right w:val="single" w:sz="4" w:space="0" w:color="auto"/>
            </w:tcBorders>
            <w:vAlign w:val="center"/>
            <w:hideMark/>
          </w:tcPr>
          <w:p w:rsidR="00B9166B" w:rsidRPr="000E5B67" w:rsidRDefault="00B9166B" w:rsidP="00B9166B">
            <w:pPr>
              <w:jc w:val="center"/>
            </w:pPr>
            <w:r w:rsidRPr="000E5B67">
              <w:t>9.302.863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9166B" w:rsidRPr="000E5B67" w:rsidRDefault="00B9166B" w:rsidP="00B9166B">
            <w:pPr>
              <w:jc w:val="center"/>
            </w:pPr>
            <w:r w:rsidRPr="000E5B67">
              <w:t>9.608.520</w:t>
            </w:r>
          </w:p>
        </w:tc>
      </w:tr>
      <w:tr w:rsidR="00B9166B" w:rsidRPr="0053067B" w:rsidTr="00B9166B">
        <w:trPr>
          <w:trHeight w:val="315"/>
          <w:jc w:val="center"/>
        </w:trPr>
        <w:tc>
          <w:tcPr>
            <w:tcW w:w="5103" w:type="dxa"/>
            <w:tcBorders>
              <w:top w:val="single" w:sz="4" w:space="0" w:color="auto"/>
              <w:left w:val="single" w:sz="4" w:space="0" w:color="auto"/>
              <w:bottom w:val="single" w:sz="4" w:space="0" w:color="auto"/>
              <w:right w:val="single" w:sz="4" w:space="0" w:color="auto"/>
            </w:tcBorders>
            <w:hideMark/>
          </w:tcPr>
          <w:p w:rsidR="00B9166B" w:rsidRPr="0053067B" w:rsidRDefault="00B9166B" w:rsidP="00A77970">
            <w:pPr>
              <w:jc w:val="both"/>
              <w:rPr>
                <w:b/>
                <w:lang w:val="en-US" w:eastAsia="en-US"/>
              </w:rPr>
            </w:pPr>
            <w:r w:rsidRPr="0053067B">
              <w:rPr>
                <w:b/>
                <w:lang w:val="en-US" w:eastAsia="en-US"/>
              </w:rPr>
              <w:t>TOTAL</w:t>
            </w:r>
          </w:p>
        </w:tc>
        <w:tc>
          <w:tcPr>
            <w:tcW w:w="1843" w:type="dxa"/>
            <w:tcBorders>
              <w:top w:val="single" w:sz="4" w:space="0" w:color="auto"/>
              <w:left w:val="single" w:sz="4" w:space="0" w:color="auto"/>
              <w:bottom w:val="single" w:sz="4" w:space="0" w:color="auto"/>
              <w:right w:val="single" w:sz="4" w:space="0" w:color="auto"/>
            </w:tcBorders>
            <w:vAlign w:val="center"/>
            <w:hideMark/>
          </w:tcPr>
          <w:p w:rsidR="00B9166B" w:rsidRPr="00B9166B" w:rsidRDefault="00B9166B" w:rsidP="00B9166B">
            <w:pPr>
              <w:jc w:val="center"/>
              <w:rPr>
                <w:b/>
              </w:rPr>
            </w:pPr>
            <w:r w:rsidRPr="00B9166B">
              <w:rPr>
                <w:b/>
              </w:rPr>
              <w:t>62.745.843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9166B" w:rsidRPr="00B9166B" w:rsidRDefault="00B9166B" w:rsidP="00B9166B">
            <w:pPr>
              <w:jc w:val="center"/>
              <w:rPr>
                <w:b/>
              </w:rPr>
            </w:pPr>
            <w:r w:rsidRPr="00B9166B">
              <w:rPr>
                <w:b/>
              </w:rPr>
              <w:t>55.08.607</w:t>
            </w:r>
          </w:p>
        </w:tc>
      </w:tr>
    </w:tbl>
    <w:p w:rsidR="00B9166B" w:rsidRDefault="0053067B" w:rsidP="00B9166B">
      <w:pPr>
        <w:ind w:firstLine="540"/>
        <w:jc w:val="both"/>
        <w:rPr>
          <w:lang w:val="it-IT" w:eastAsia="en-US"/>
        </w:rPr>
      </w:pPr>
      <w:r w:rsidRPr="0053067B">
        <w:rPr>
          <w:lang w:val="it-IT" w:eastAsia="en-US"/>
        </w:rPr>
        <w:tab/>
      </w:r>
    </w:p>
    <w:p w:rsidR="00B9166B" w:rsidRPr="00B9166B" w:rsidRDefault="00B9166B" w:rsidP="00B9166B">
      <w:pPr>
        <w:ind w:firstLine="540"/>
        <w:jc w:val="both"/>
        <w:rPr>
          <w:lang w:val="it-IT" w:eastAsia="en-US"/>
        </w:rPr>
      </w:pPr>
      <w:r>
        <w:rPr>
          <w:lang w:val="it-IT" w:eastAsia="en-US"/>
        </w:rPr>
        <w:tab/>
      </w:r>
      <w:r w:rsidRPr="00B9166B">
        <w:rPr>
          <w:lang w:val="it-IT" w:eastAsia="en-US"/>
        </w:rPr>
        <w:t>Excedentul financiar înregistrat la data de 31.12.2018 este în sumă de 24.063.224.060 lei.</w:t>
      </w:r>
    </w:p>
    <w:p w:rsidR="0053067B" w:rsidRDefault="00B9166B" w:rsidP="00B9166B">
      <w:pPr>
        <w:ind w:firstLine="540"/>
        <w:jc w:val="both"/>
        <w:rPr>
          <w:lang w:val="it-IT" w:eastAsia="en-US"/>
        </w:rPr>
      </w:pPr>
      <w:r>
        <w:rPr>
          <w:lang w:val="it-IT" w:eastAsia="en-US"/>
        </w:rPr>
        <w:lastRenderedPageBreak/>
        <w:tab/>
      </w:r>
      <w:r w:rsidRPr="00B9166B">
        <w:rPr>
          <w:lang w:val="it-IT" w:eastAsia="en-US"/>
        </w:rPr>
        <w:t>Faţă de excedentul financiar de la data de 31.12.2017, care a fost în sumă de 17.767.397.317 lei, se constată o creştere de 6.295.826.743 lei, rezultată din îmbunatăţirea colectării contribuţiilor sociale.</w:t>
      </w:r>
    </w:p>
    <w:p w:rsidR="00B9166B" w:rsidRPr="0053067B" w:rsidRDefault="00B9166B" w:rsidP="00B9166B">
      <w:pPr>
        <w:ind w:firstLine="540"/>
        <w:jc w:val="both"/>
        <w:rPr>
          <w:bCs/>
          <w:lang w:val="pt-BR" w:eastAsia="en-US"/>
        </w:rPr>
      </w:pPr>
    </w:p>
    <w:p w:rsidR="0053067B" w:rsidRPr="00284A40" w:rsidRDefault="0053067B" w:rsidP="00980D72">
      <w:pPr>
        <w:numPr>
          <w:ilvl w:val="0"/>
          <w:numId w:val="25"/>
        </w:numPr>
        <w:ind w:left="709" w:hanging="425"/>
        <w:jc w:val="both"/>
        <w:rPr>
          <w:lang w:eastAsia="en-US"/>
        </w:rPr>
      </w:pPr>
      <w:r w:rsidRPr="0053067B">
        <w:rPr>
          <w:lang w:eastAsia="en-US"/>
        </w:rPr>
        <w:t>Sistemul de asigurare pentru Accidente de Munc</w:t>
      </w:r>
      <w:r w:rsidR="00801B84">
        <w:rPr>
          <w:lang w:eastAsia="en-US"/>
        </w:rPr>
        <w:t>ă</w:t>
      </w:r>
      <w:r w:rsidRPr="0053067B">
        <w:rPr>
          <w:lang w:eastAsia="en-US"/>
        </w:rPr>
        <w:t xml:space="preserve"> </w:t>
      </w:r>
      <w:r w:rsidR="00801B84">
        <w:rPr>
          <w:lang w:eastAsia="en-US"/>
        </w:rPr>
        <w:t>ș</w:t>
      </w:r>
      <w:r w:rsidRPr="0053067B">
        <w:rPr>
          <w:lang w:eastAsia="en-US"/>
        </w:rPr>
        <w:t>i Boli Profesionale</w:t>
      </w:r>
    </w:p>
    <w:p w:rsidR="00B9166B" w:rsidRPr="00B9166B" w:rsidRDefault="0053067B" w:rsidP="00B9166B">
      <w:pPr>
        <w:ind w:firstLine="540"/>
        <w:jc w:val="both"/>
        <w:rPr>
          <w:lang w:val="it-IT" w:eastAsia="en-US"/>
        </w:rPr>
      </w:pPr>
      <w:r w:rsidRPr="0053067B">
        <w:rPr>
          <w:lang w:val="it-IT" w:eastAsia="en-US"/>
        </w:rPr>
        <w:tab/>
      </w:r>
      <w:r w:rsidR="00B9166B" w:rsidRPr="00B9166B">
        <w:rPr>
          <w:lang w:val="it-IT" w:eastAsia="en-US"/>
        </w:rPr>
        <w:t>La 31.12.2018, încasările din contribuţii ale sistemului de asigurare pentru accidente de muncă şi boli profesionale sunt în valoare de 163.297.975 lei, cheltuielile în sumă de 8.165.071 lei, rezultând un excedent în sumă de 155.132.904 lei, înregistrându-se astfel o scădere comparativ cu anul 2017 cu 48.715.212 lei.</w:t>
      </w:r>
    </w:p>
    <w:p w:rsidR="00B9166B" w:rsidRPr="00B9166B" w:rsidRDefault="00B9166B" w:rsidP="00B9166B">
      <w:pPr>
        <w:ind w:firstLine="540"/>
        <w:jc w:val="both"/>
        <w:rPr>
          <w:lang w:val="it-IT" w:eastAsia="en-US"/>
        </w:rPr>
      </w:pPr>
      <w:r>
        <w:rPr>
          <w:lang w:val="it-IT" w:eastAsia="en-US"/>
        </w:rPr>
        <w:tab/>
      </w:r>
      <w:r w:rsidRPr="00B9166B">
        <w:rPr>
          <w:lang w:val="it-IT" w:eastAsia="en-US"/>
        </w:rPr>
        <w:t>În perioada 01.01.2018 - 31.12.2018, pentru plata pensiilor şi a altor drepturi de asigurări sociale suportate din sistemul de asigurare pentru accidente de muncă şi boli profesionale s-au alocat credite în valoare de 8.172.000 lei, plăţile fiind în valoare de 8.165.071 lei.</w:t>
      </w:r>
    </w:p>
    <w:p w:rsidR="00B9166B" w:rsidRPr="00B9166B" w:rsidRDefault="00B9166B" w:rsidP="00B9166B">
      <w:pPr>
        <w:ind w:firstLine="540"/>
        <w:jc w:val="both"/>
        <w:rPr>
          <w:lang w:val="it-IT" w:eastAsia="en-US"/>
        </w:rPr>
      </w:pPr>
      <w:r>
        <w:rPr>
          <w:lang w:val="it-IT" w:eastAsia="en-US"/>
        </w:rPr>
        <w:tab/>
      </w:r>
      <w:r w:rsidRPr="00B9166B">
        <w:rPr>
          <w:lang w:val="it-IT" w:eastAsia="en-US"/>
        </w:rPr>
        <w:t>Mentionăm că, în anul 2018, din fondul de accidente de muncă şi boli profesionale au fost achitate pensiile de invaliditate şi pensiile de urmaş, care au avut ca şi cauză accident de muncă sau boală profesională, suma acestora fiind de 2.425.726 lei.</w:t>
      </w:r>
    </w:p>
    <w:p w:rsidR="00B9166B" w:rsidRPr="00B9166B" w:rsidRDefault="00B9166B" w:rsidP="00B9166B">
      <w:pPr>
        <w:ind w:firstLine="540"/>
        <w:jc w:val="both"/>
        <w:rPr>
          <w:lang w:val="it-IT" w:eastAsia="en-US"/>
        </w:rPr>
      </w:pPr>
      <w:r>
        <w:rPr>
          <w:lang w:val="it-IT" w:eastAsia="en-US"/>
        </w:rPr>
        <w:tab/>
      </w:r>
      <w:r w:rsidRPr="00B9166B">
        <w:rPr>
          <w:lang w:val="it-IT" w:eastAsia="en-US"/>
        </w:rPr>
        <w:t>Pentru cheltuielile de personal, în aceasta perioadă, au fost alocate credite bugetare în valoare de 634.316 lei, plăţile efectuate fiind în sumă de 631.471 lei, rezultând un procent de utilizare a creditelor de 99.55%.</w:t>
      </w:r>
    </w:p>
    <w:p w:rsidR="00B9166B" w:rsidRPr="00B9166B" w:rsidRDefault="00B9166B" w:rsidP="00B9166B">
      <w:pPr>
        <w:ind w:firstLine="540"/>
        <w:jc w:val="both"/>
        <w:rPr>
          <w:lang w:val="it-IT" w:eastAsia="en-US"/>
        </w:rPr>
      </w:pPr>
      <w:r>
        <w:rPr>
          <w:lang w:val="it-IT" w:eastAsia="en-US"/>
        </w:rPr>
        <w:tab/>
      </w:r>
      <w:r w:rsidRPr="00B9166B">
        <w:rPr>
          <w:lang w:val="it-IT" w:eastAsia="en-US"/>
        </w:rPr>
        <w:t>Totalul plăţilor efectuate din sistemul de asigurare pentru accidente de muncă şi boli profesionale pe anul 2018, este de 8.165.071 lei.</w:t>
      </w:r>
    </w:p>
    <w:p w:rsidR="0053067B" w:rsidRPr="0053067B" w:rsidRDefault="00B9166B" w:rsidP="00B9166B">
      <w:pPr>
        <w:ind w:firstLine="540"/>
        <w:jc w:val="both"/>
        <w:rPr>
          <w:lang w:val="it-IT" w:eastAsia="en-US"/>
        </w:rPr>
      </w:pPr>
      <w:r>
        <w:rPr>
          <w:lang w:val="it-IT" w:eastAsia="en-US"/>
        </w:rPr>
        <w:tab/>
      </w:r>
      <w:r w:rsidRPr="00B9166B">
        <w:rPr>
          <w:lang w:val="it-IT" w:eastAsia="en-US"/>
        </w:rPr>
        <w:t>Situaţia creditelor şi a plăţilor efectuate în anul 2018, la bugetul de asigurări sociale, bugetul de stat şi fondul pentru accidente de muncă şi boli profesionale este:</w:t>
      </w:r>
    </w:p>
    <w:tbl>
      <w:tblPr>
        <w:tblpPr w:leftFromText="180" w:rightFromText="180" w:vertAnchor="text" w:horzAnchor="margin" w:tblpXSpec="center" w:tblpY="43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3118"/>
        <w:gridCol w:w="1843"/>
        <w:gridCol w:w="2693"/>
      </w:tblGrid>
      <w:tr w:rsidR="0053067B" w:rsidRPr="0053067B" w:rsidTr="0053067B">
        <w:tc>
          <w:tcPr>
            <w:tcW w:w="2660" w:type="dxa"/>
            <w:tcBorders>
              <w:top w:val="single" w:sz="4" w:space="0" w:color="auto"/>
              <w:left w:val="single" w:sz="4" w:space="0" w:color="auto"/>
              <w:bottom w:val="single" w:sz="4" w:space="0" w:color="auto"/>
              <w:right w:val="single" w:sz="4" w:space="0" w:color="auto"/>
            </w:tcBorders>
            <w:vAlign w:val="center"/>
          </w:tcPr>
          <w:p w:rsidR="0053067B" w:rsidRPr="0053067B" w:rsidRDefault="0053067B" w:rsidP="00A77970">
            <w:pPr>
              <w:rPr>
                <w:b/>
                <w:lang w:val="en-US" w:eastAsia="en-US"/>
              </w:rPr>
            </w:pPr>
            <w:r w:rsidRPr="0053067B">
              <w:rPr>
                <w:b/>
                <w:lang w:val="en-US" w:eastAsia="en-US"/>
              </w:rPr>
              <w:t>Contul</w:t>
            </w:r>
          </w:p>
        </w:tc>
        <w:tc>
          <w:tcPr>
            <w:tcW w:w="3118" w:type="dxa"/>
            <w:tcBorders>
              <w:top w:val="single" w:sz="4" w:space="0" w:color="auto"/>
              <w:left w:val="single" w:sz="4" w:space="0" w:color="auto"/>
              <w:bottom w:val="single" w:sz="4" w:space="0" w:color="auto"/>
              <w:right w:val="single" w:sz="4" w:space="0" w:color="auto"/>
            </w:tcBorders>
            <w:vAlign w:val="center"/>
            <w:hideMark/>
          </w:tcPr>
          <w:p w:rsidR="0053067B" w:rsidRPr="0053067B" w:rsidRDefault="0053067B" w:rsidP="00A77970">
            <w:pPr>
              <w:jc w:val="center"/>
              <w:rPr>
                <w:b/>
                <w:lang w:val="en-US" w:eastAsia="en-US"/>
              </w:rPr>
            </w:pPr>
            <w:r w:rsidRPr="0053067B">
              <w:rPr>
                <w:b/>
                <w:lang w:val="en-US" w:eastAsia="en-US"/>
              </w:rPr>
              <w:t>Credite bugetare 201</w:t>
            </w:r>
            <w:r w:rsidR="00B9166B">
              <w:rPr>
                <w:b/>
                <w:lang w:val="en-US" w:eastAsia="en-US"/>
              </w:rPr>
              <w:t>8</w:t>
            </w:r>
          </w:p>
          <w:p w:rsidR="0053067B" w:rsidRPr="0053067B" w:rsidRDefault="0053067B" w:rsidP="00A77970">
            <w:pPr>
              <w:jc w:val="center"/>
              <w:rPr>
                <w:b/>
                <w:lang w:val="en-US" w:eastAsia="en-US"/>
              </w:rPr>
            </w:pPr>
            <w:r w:rsidRPr="0053067B">
              <w:rPr>
                <w:b/>
                <w:lang w:val="en-US" w:eastAsia="en-US"/>
              </w:rPr>
              <w:t>- lei -</w:t>
            </w:r>
          </w:p>
        </w:tc>
        <w:tc>
          <w:tcPr>
            <w:tcW w:w="1843" w:type="dxa"/>
            <w:tcBorders>
              <w:top w:val="single" w:sz="4" w:space="0" w:color="auto"/>
              <w:left w:val="single" w:sz="4" w:space="0" w:color="auto"/>
              <w:bottom w:val="single" w:sz="4" w:space="0" w:color="auto"/>
              <w:right w:val="single" w:sz="4" w:space="0" w:color="auto"/>
            </w:tcBorders>
            <w:vAlign w:val="center"/>
            <w:hideMark/>
          </w:tcPr>
          <w:p w:rsidR="0053067B" w:rsidRPr="0053067B" w:rsidRDefault="0053067B" w:rsidP="00A77970">
            <w:pPr>
              <w:jc w:val="center"/>
              <w:rPr>
                <w:b/>
                <w:lang w:val="en-US" w:eastAsia="en-US"/>
              </w:rPr>
            </w:pPr>
            <w:r w:rsidRPr="0053067B">
              <w:rPr>
                <w:b/>
                <w:lang w:val="en-US" w:eastAsia="en-US"/>
              </w:rPr>
              <w:t>Pl</w:t>
            </w:r>
            <w:r w:rsidR="00FE2D53">
              <w:rPr>
                <w:b/>
                <w:lang w:val="en-US" w:eastAsia="en-US"/>
              </w:rPr>
              <w:t>ăț</w:t>
            </w:r>
            <w:r w:rsidRPr="0053067B">
              <w:rPr>
                <w:b/>
                <w:lang w:val="en-US" w:eastAsia="en-US"/>
              </w:rPr>
              <w:t>i 201</w:t>
            </w:r>
            <w:r w:rsidR="00B9166B">
              <w:rPr>
                <w:b/>
                <w:lang w:val="en-US" w:eastAsia="en-US"/>
              </w:rPr>
              <w:t>8</w:t>
            </w:r>
          </w:p>
          <w:p w:rsidR="0053067B" w:rsidRPr="0053067B" w:rsidRDefault="0053067B" w:rsidP="00A77970">
            <w:pPr>
              <w:jc w:val="center"/>
              <w:rPr>
                <w:b/>
                <w:lang w:val="en-US" w:eastAsia="en-US"/>
              </w:rPr>
            </w:pPr>
            <w:r w:rsidRPr="0053067B">
              <w:rPr>
                <w:b/>
                <w:lang w:val="en-US" w:eastAsia="en-US"/>
              </w:rPr>
              <w:t>- lei -</w:t>
            </w:r>
          </w:p>
        </w:tc>
        <w:tc>
          <w:tcPr>
            <w:tcW w:w="2693" w:type="dxa"/>
            <w:tcBorders>
              <w:top w:val="single" w:sz="4" w:space="0" w:color="auto"/>
              <w:left w:val="single" w:sz="4" w:space="0" w:color="auto"/>
              <w:bottom w:val="single" w:sz="4" w:space="0" w:color="auto"/>
              <w:right w:val="single" w:sz="4" w:space="0" w:color="auto"/>
            </w:tcBorders>
            <w:vAlign w:val="center"/>
            <w:hideMark/>
          </w:tcPr>
          <w:p w:rsidR="0053067B" w:rsidRPr="0053067B" w:rsidRDefault="0053067B" w:rsidP="00A77970">
            <w:pPr>
              <w:jc w:val="center"/>
              <w:rPr>
                <w:b/>
                <w:lang w:val="pt-BR" w:eastAsia="en-US"/>
              </w:rPr>
            </w:pPr>
            <w:r w:rsidRPr="0053067B">
              <w:rPr>
                <w:b/>
                <w:lang w:val="pt-BR" w:eastAsia="en-US"/>
              </w:rPr>
              <w:t>Grad de utilizare a creditelor</w:t>
            </w:r>
          </w:p>
          <w:p w:rsidR="0053067B" w:rsidRPr="0053067B" w:rsidRDefault="0053067B" w:rsidP="00A77970">
            <w:pPr>
              <w:jc w:val="center"/>
              <w:rPr>
                <w:b/>
                <w:lang w:val="pt-BR" w:eastAsia="en-US"/>
              </w:rPr>
            </w:pPr>
            <w:r w:rsidRPr="0053067B">
              <w:rPr>
                <w:b/>
                <w:lang w:val="pt-BR" w:eastAsia="en-US"/>
              </w:rPr>
              <w:t>- % -</w:t>
            </w:r>
          </w:p>
        </w:tc>
      </w:tr>
      <w:tr w:rsidR="00B9166B" w:rsidRPr="0053067B" w:rsidTr="00B9166B">
        <w:trPr>
          <w:trHeight w:val="285"/>
        </w:trPr>
        <w:tc>
          <w:tcPr>
            <w:tcW w:w="2660" w:type="dxa"/>
            <w:tcBorders>
              <w:top w:val="single" w:sz="4" w:space="0" w:color="auto"/>
              <w:left w:val="single" w:sz="4" w:space="0" w:color="auto"/>
              <w:bottom w:val="single" w:sz="4" w:space="0" w:color="auto"/>
              <w:right w:val="single" w:sz="4" w:space="0" w:color="auto"/>
            </w:tcBorders>
            <w:hideMark/>
          </w:tcPr>
          <w:p w:rsidR="00B9166B" w:rsidRPr="0053067B" w:rsidRDefault="00B9166B" w:rsidP="00A77970">
            <w:pPr>
              <w:jc w:val="both"/>
              <w:rPr>
                <w:lang w:val="en-US" w:eastAsia="en-US"/>
              </w:rPr>
            </w:pPr>
            <w:r w:rsidRPr="0053067B">
              <w:rPr>
                <w:lang w:val="en-US" w:eastAsia="en-US"/>
              </w:rPr>
              <w:t>Cheltuieli</w:t>
            </w:r>
            <w:r>
              <w:rPr>
                <w:lang w:val="en-US" w:eastAsia="en-US"/>
              </w:rPr>
              <w:t xml:space="preserve"> </w:t>
            </w:r>
            <w:r w:rsidRPr="0053067B">
              <w:rPr>
                <w:lang w:val="en-US" w:eastAsia="en-US"/>
              </w:rPr>
              <w:t>personal</w:t>
            </w:r>
          </w:p>
        </w:tc>
        <w:tc>
          <w:tcPr>
            <w:tcW w:w="3118"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20.760.324</w:t>
            </w:r>
          </w:p>
        </w:tc>
        <w:tc>
          <w:tcPr>
            <w:tcW w:w="1843"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20.743.642</w:t>
            </w:r>
          </w:p>
        </w:tc>
        <w:tc>
          <w:tcPr>
            <w:tcW w:w="2693"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99.92</w:t>
            </w:r>
          </w:p>
        </w:tc>
      </w:tr>
      <w:tr w:rsidR="00B9166B" w:rsidRPr="0053067B" w:rsidTr="00B9166B">
        <w:trPr>
          <w:trHeight w:val="330"/>
        </w:trPr>
        <w:tc>
          <w:tcPr>
            <w:tcW w:w="2660" w:type="dxa"/>
            <w:tcBorders>
              <w:top w:val="single" w:sz="4" w:space="0" w:color="auto"/>
              <w:left w:val="single" w:sz="4" w:space="0" w:color="auto"/>
              <w:bottom w:val="single" w:sz="4" w:space="0" w:color="auto"/>
              <w:right w:val="single" w:sz="4" w:space="0" w:color="auto"/>
            </w:tcBorders>
            <w:hideMark/>
          </w:tcPr>
          <w:p w:rsidR="00B9166B" w:rsidRPr="0053067B" w:rsidRDefault="00B9166B" w:rsidP="00A77970">
            <w:pPr>
              <w:jc w:val="both"/>
              <w:rPr>
                <w:lang w:val="en-US" w:eastAsia="en-US"/>
              </w:rPr>
            </w:pPr>
            <w:r w:rsidRPr="0053067B">
              <w:rPr>
                <w:lang w:val="en-US" w:eastAsia="en-US"/>
              </w:rPr>
              <w:t>Bunuri</w:t>
            </w:r>
            <w:r>
              <w:rPr>
                <w:lang w:val="en-US" w:eastAsia="en-US"/>
              </w:rPr>
              <w:t xml:space="preserve"> ș</w:t>
            </w:r>
            <w:r w:rsidRPr="0053067B">
              <w:rPr>
                <w:lang w:val="en-US" w:eastAsia="en-US"/>
              </w:rPr>
              <w:t>i servicii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53.948.796</w:t>
            </w:r>
          </w:p>
        </w:tc>
        <w:tc>
          <w:tcPr>
            <w:tcW w:w="1843"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53.948.796</w:t>
            </w:r>
          </w:p>
        </w:tc>
        <w:tc>
          <w:tcPr>
            <w:tcW w:w="2693"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100</w:t>
            </w:r>
          </w:p>
        </w:tc>
      </w:tr>
      <w:tr w:rsidR="00B9166B" w:rsidRPr="0053067B" w:rsidTr="00B9166B">
        <w:trPr>
          <w:trHeight w:val="360"/>
        </w:trPr>
        <w:tc>
          <w:tcPr>
            <w:tcW w:w="2660" w:type="dxa"/>
            <w:tcBorders>
              <w:top w:val="single" w:sz="4" w:space="0" w:color="auto"/>
              <w:left w:val="single" w:sz="4" w:space="0" w:color="auto"/>
              <w:bottom w:val="single" w:sz="4" w:space="0" w:color="auto"/>
              <w:right w:val="single" w:sz="4" w:space="0" w:color="auto"/>
            </w:tcBorders>
            <w:hideMark/>
          </w:tcPr>
          <w:p w:rsidR="00B9166B" w:rsidRPr="0053067B" w:rsidRDefault="00B9166B" w:rsidP="00A77970">
            <w:pPr>
              <w:jc w:val="both"/>
              <w:rPr>
                <w:lang w:val="en-US" w:eastAsia="en-US"/>
              </w:rPr>
            </w:pPr>
            <w:r w:rsidRPr="0053067B">
              <w:rPr>
                <w:lang w:val="en-US" w:eastAsia="en-US"/>
              </w:rPr>
              <w:t>Decese</w:t>
            </w:r>
            <w:r>
              <w:rPr>
                <w:lang w:val="en-US" w:eastAsia="en-US"/>
              </w:rPr>
              <w:t xml:space="preserve"> </w:t>
            </w:r>
            <w:r w:rsidRPr="0053067B">
              <w:rPr>
                <w:lang w:val="en-US" w:eastAsia="en-US"/>
              </w:rPr>
              <w:t>pensionari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79.377.000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79.166.883</w:t>
            </w:r>
          </w:p>
        </w:tc>
        <w:tc>
          <w:tcPr>
            <w:tcW w:w="2693"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99.73</w:t>
            </w:r>
          </w:p>
        </w:tc>
      </w:tr>
      <w:tr w:rsidR="00B9166B" w:rsidRPr="0053067B" w:rsidTr="00B9166B">
        <w:trPr>
          <w:trHeight w:val="360"/>
        </w:trPr>
        <w:tc>
          <w:tcPr>
            <w:tcW w:w="2660" w:type="dxa"/>
            <w:tcBorders>
              <w:top w:val="single" w:sz="4" w:space="0" w:color="auto"/>
              <w:left w:val="single" w:sz="4" w:space="0" w:color="auto"/>
              <w:bottom w:val="single" w:sz="4" w:space="0" w:color="auto"/>
              <w:right w:val="single" w:sz="4" w:space="0" w:color="auto"/>
            </w:tcBorders>
            <w:hideMark/>
          </w:tcPr>
          <w:p w:rsidR="00B9166B" w:rsidRPr="0053067B" w:rsidRDefault="00B9166B" w:rsidP="00A77970">
            <w:pPr>
              <w:jc w:val="both"/>
              <w:rPr>
                <w:lang w:val="en-US" w:eastAsia="en-US"/>
              </w:rPr>
            </w:pPr>
            <w:r w:rsidRPr="0053067B">
              <w:rPr>
                <w:lang w:val="en-US" w:eastAsia="en-US"/>
              </w:rPr>
              <w:t>Asisten</w:t>
            </w:r>
            <w:r>
              <w:rPr>
                <w:lang w:val="en-US" w:eastAsia="en-US"/>
              </w:rPr>
              <w:t>ță</w:t>
            </w:r>
            <w:r w:rsidRPr="0053067B">
              <w:rPr>
                <w:lang w:val="en-US" w:eastAsia="en-US"/>
              </w:rPr>
              <w:t xml:space="preserve"> social</w:t>
            </w:r>
            <w:r>
              <w:rPr>
                <w:lang w:val="en-US" w:eastAsia="en-US"/>
              </w:rPr>
              <w:t>ă</w:t>
            </w:r>
          </w:p>
        </w:tc>
        <w:tc>
          <w:tcPr>
            <w:tcW w:w="3118"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8.410.042.000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8.408.227.021</w:t>
            </w:r>
          </w:p>
        </w:tc>
        <w:tc>
          <w:tcPr>
            <w:tcW w:w="2693"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99.98</w:t>
            </w:r>
          </w:p>
        </w:tc>
      </w:tr>
      <w:tr w:rsidR="00B9166B" w:rsidRPr="0053067B" w:rsidTr="00B9166B">
        <w:trPr>
          <w:trHeight w:val="360"/>
        </w:trPr>
        <w:tc>
          <w:tcPr>
            <w:tcW w:w="2660" w:type="dxa"/>
            <w:tcBorders>
              <w:top w:val="single" w:sz="4" w:space="0" w:color="auto"/>
              <w:left w:val="single" w:sz="4" w:space="0" w:color="auto"/>
              <w:bottom w:val="single" w:sz="4" w:space="0" w:color="auto"/>
              <w:right w:val="single" w:sz="4" w:space="0" w:color="auto"/>
            </w:tcBorders>
            <w:hideMark/>
          </w:tcPr>
          <w:p w:rsidR="00B9166B" w:rsidRPr="0053067B" w:rsidRDefault="00B9166B" w:rsidP="00A77970">
            <w:pPr>
              <w:jc w:val="both"/>
              <w:rPr>
                <w:lang w:val="en-US" w:eastAsia="en-US"/>
              </w:rPr>
            </w:pPr>
            <w:r w:rsidRPr="0053067B">
              <w:rPr>
                <w:lang w:val="en-US" w:eastAsia="en-US"/>
              </w:rPr>
              <w:t>Cheltuieli</w:t>
            </w:r>
            <w:r>
              <w:rPr>
                <w:lang w:val="en-US" w:eastAsia="en-US"/>
              </w:rPr>
              <w:t xml:space="preserve"> </w:t>
            </w:r>
            <w:r w:rsidRPr="0053067B">
              <w:rPr>
                <w:lang w:val="en-US" w:eastAsia="en-US"/>
              </w:rPr>
              <w:t>de capital</w:t>
            </w:r>
          </w:p>
        </w:tc>
        <w:tc>
          <w:tcPr>
            <w:tcW w:w="3118"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348.347</w:t>
            </w:r>
          </w:p>
        </w:tc>
        <w:tc>
          <w:tcPr>
            <w:tcW w:w="1843"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326.498</w:t>
            </w:r>
          </w:p>
        </w:tc>
        <w:tc>
          <w:tcPr>
            <w:tcW w:w="2693"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93.73</w:t>
            </w:r>
          </w:p>
        </w:tc>
      </w:tr>
      <w:tr w:rsidR="00B9166B" w:rsidRPr="0053067B" w:rsidTr="00B9166B">
        <w:trPr>
          <w:trHeight w:val="345"/>
        </w:trPr>
        <w:tc>
          <w:tcPr>
            <w:tcW w:w="2660" w:type="dxa"/>
            <w:tcBorders>
              <w:top w:val="single" w:sz="4" w:space="0" w:color="auto"/>
              <w:left w:val="single" w:sz="4" w:space="0" w:color="auto"/>
              <w:bottom w:val="single" w:sz="4" w:space="0" w:color="auto"/>
              <w:right w:val="single" w:sz="4" w:space="0" w:color="auto"/>
            </w:tcBorders>
            <w:hideMark/>
          </w:tcPr>
          <w:p w:rsidR="00B9166B" w:rsidRPr="0053067B" w:rsidRDefault="00B9166B" w:rsidP="00A77970">
            <w:pPr>
              <w:jc w:val="both"/>
              <w:rPr>
                <w:b/>
                <w:lang w:val="en-US" w:eastAsia="en-US"/>
              </w:rPr>
            </w:pPr>
            <w:r w:rsidRPr="0053067B">
              <w:rPr>
                <w:b/>
                <w:lang w:val="en-US" w:eastAsia="en-US"/>
              </w:rPr>
              <w:t>Total BASS</w:t>
            </w:r>
          </w:p>
        </w:tc>
        <w:tc>
          <w:tcPr>
            <w:tcW w:w="3118" w:type="dxa"/>
            <w:tcBorders>
              <w:top w:val="single" w:sz="4" w:space="0" w:color="auto"/>
              <w:left w:val="single" w:sz="4" w:space="0" w:color="auto"/>
              <w:bottom w:val="single" w:sz="4" w:space="0" w:color="auto"/>
              <w:right w:val="single" w:sz="4" w:space="0" w:color="auto"/>
            </w:tcBorders>
            <w:vAlign w:val="center"/>
            <w:hideMark/>
          </w:tcPr>
          <w:p w:rsidR="00B9166B" w:rsidRPr="00B9166B" w:rsidRDefault="00B9166B" w:rsidP="00B9166B">
            <w:pPr>
              <w:jc w:val="center"/>
              <w:rPr>
                <w:b/>
              </w:rPr>
            </w:pPr>
            <w:r w:rsidRPr="00B9166B">
              <w:rPr>
                <w:b/>
              </w:rPr>
              <w:t>8.564.476.467</w:t>
            </w:r>
          </w:p>
        </w:tc>
        <w:tc>
          <w:tcPr>
            <w:tcW w:w="1843" w:type="dxa"/>
            <w:tcBorders>
              <w:top w:val="single" w:sz="4" w:space="0" w:color="auto"/>
              <w:left w:val="single" w:sz="4" w:space="0" w:color="auto"/>
              <w:bottom w:val="single" w:sz="4" w:space="0" w:color="auto"/>
              <w:right w:val="single" w:sz="4" w:space="0" w:color="auto"/>
            </w:tcBorders>
            <w:vAlign w:val="center"/>
            <w:hideMark/>
          </w:tcPr>
          <w:p w:rsidR="00B9166B" w:rsidRPr="00B9166B" w:rsidRDefault="00B9166B" w:rsidP="00B9166B">
            <w:pPr>
              <w:jc w:val="center"/>
              <w:rPr>
                <w:b/>
              </w:rPr>
            </w:pPr>
            <w:r w:rsidRPr="00B9166B">
              <w:rPr>
                <w:b/>
              </w:rPr>
              <w:t>8.562.412.840</w:t>
            </w:r>
          </w:p>
        </w:tc>
        <w:tc>
          <w:tcPr>
            <w:tcW w:w="2693" w:type="dxa"/>
            <w:tcBorders>
              <w:top w:val="single" w:sz="4" w:space="0" w:color="auto"/>
              <w:left w:val="single" w:sz="4" w:space="0" w:color="auto"/>
              <w:bottom w:val="single" w:sz="4" w:space="0" w:color="auto"/>
              <w:right w:val="single" w:sz="4" w:space="0" w:color="auto"/>
            </w:tcBorders>
            <w:vAlign w:val="center"/>
            <w:hideMark/>
          </w:tcPr>
          <w:p w:rsidR="00B9166B" w:rsidRPr="00B9166B" w:rsidRDefault="00B9166B" w:rsidP="00B9166B">
            <w:pPr>
              <w:jc w:val="center"/>
              <w:rPr>
                <w:b/>
              </w:rPr>
            </w:pPr>
            <w:r>
              <w:rPr>
                <w:b/>
              </w:rPr>
              <w:t>99.98</w:t>
            </w:r>
          </w:p>
        </w:tc>
      </w:tr>
      <w:tr w:rsidR="00B9166B" w:rsidRPr="0053067B" w:rsidTr="00B9166B">
        <w:trPr>
          <w:trHeight w:val="195"/>
        </w:trPr>
        <w:tc>
          <w:tcPr>
            <w:tcW w:w="2660" w:type="dxa"/>
            <w:tcBorders>
              <w:top w:val="single" w:sz="4" w:space="0" w:color="auto"/>
              <w:left w:val="single" w:sz="4" w:space="0" w:color="auto"/>
              <w:bottom w:val="single" w:sz="4" w:space="0" w:color="auto"/>
              <w:right w:val="single" w:sz="4" w:space="0" w:color="auto"/>
            </w:tcBorders>
            <w:hideMark/>
          </w:tcPr>
          <w:p w:rsidR="00B9166B" w:rsidRPr="0053067B" w:rsidRDefault="00B9166B" w:rsidP="00A77970">
            <w:pPr>
              <w:jc w:val="both"/>
              <w:rPr>
                <w:lang w:val="en-US" w:eastAsia="en-US"/>
              </w:rPr>
            </w:pPr>
            <w:r>
              <w:rPr>
                <w:lang w:val="en-US" w:eastAsia="en-US"/>
              </w:rPr>
              <w:t>Asistență s</w:t>
            </w:r>
            <w:r w:rsidRPr="0053067B">
              <w:rPr>
                <w:lang w:val="en-US" w:eastAsia="en-US"/>
              </w:rPr>
              <w:t>ocial</w:t>
            </w:r>
            <w:r>
              <w:rPr>
                <w:lang w:val="en-US" w:eastAsia="en-US"/>
              </w:rPr>
              <w:t>ă</w:t>
            </w:r>
          </w:p>
        </w:tc>
        <w:tc>
          <w:tcPr>
            <w:tcW w:w="3118"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836.602.000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836.414.018</w:t>
            </w:r>
          </w:p>
        </w:tc>
        <w:tc>
          <w:tcPr>
            <w:tcW w:w="2693"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99.97</w:t>
            </w:r>
          </w:p>
        </w:tc>
      </w:tr>
      <w:tr w:rsidR="00B9166B" w:rsidRPr="0053067B" w:rsidTr="00B9166B">
        <w:trPr>
          <w:trHeight w:val="255"/>
        </w:trPr>
        <w:tc>
          <w:tcPr>
            <w:tcW w:w="2660" w:type="dxa"/>
            <w:tcBorders>
              <w:top w:val="single" w:sz="4" w:space="0" w:color="auto"/>
              <w:left w:val="single" w:sz="4" w:space="0" w:color="auto"/>
              <w:bottom w:val="single" w:sz="4" w:space="0" w:color="auto"/>
              <w:right w:val="single" w:sz="4" w:space="0" w:color="auto"/>
            </w:tcBorders>
            <w:hideMark/>
          </w:tcPr>
          <w:p w:rsidR="00B9166B" w:rsidRPr="0053067B" w:rsidRDefault="00B9166B" w:rsidP="00A77970">
            <w:pPr>
              <w:jc w:val="both"/>
              <w:rPr>
                <w:lang w:val="en-US" w:eastAsia="en-US"/>
              </w:rPr>
            </w:pPr>
            <w:r w:rsidRPr="0053067B">
              <w:rPr>
                <w:lang w:val="en-US" w:eastAsia="en-US"/>
              </w:rPr>
              <w:t>Bunuri</w:t>
            </w:r>
            <w:r>
              <w:rPr>
                <w:lang w:val="en-US" w:eastAsia="en-US"/>
              </w:rPr>
              <w:t xml:space="preserve"> ș</w:t>
            </w:r>
            <w:r w:rsidRPr="0053067B">
              <w:rPr>
                <w:lang w:val="en-US" w:eastAsia="en-US"/>
              </w:rPr>
              <w:t>i servicii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5.495.513</w:t>
            </w:r>
          </w:p>
        </w:tc>
        <w:tc>
          <w:tcPr>
            <w:tcW w:w="1843"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5.488.377</w:t>
            </w:r>
          </w:p>
        </w:tc>
        <w:tc>
          <w:tcPr>
            <w:tcW w:w="2693"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99.87</w:t>
            </w:r>
          </w:p>
        </w:tc>
      </w:tr>
      <w:tr w:rsidR="00B9166B" w:rsidRPr="0053067B" w:rsidTr="00B9166B">
        <w:trPr>
          <w:trHeight w:val="255"/>
        </w:trPr>
        <w:tc>
          <w:tcPr>
            <w:tcW w:w="2660" w:type="dxa"/>
            <w:tcBorders>
              <w:top w:val="single" w:sz="4" w:space="0" w:color="auto"/>
              <w:left w:val="single" w:sz="4" w:space="0" w:color="auto"/>
              <w:bottom w:val="single" w:sz="4" w:space="0" w:color="auto"/>
              <w:right w:val="single" w:sz="4" w:space="0" w:color="auto"/>
            </w:tcBorders>
            <w:hideMark/>
          </w:tcPr>
          <w:p w:rsidR="00B9166B" w:rsidRPr="0053067B" w:rsidRDefault="00B9166B" w:rsidP="00A77970">
            <w:pPr>
              <w:jc w:val="both"/>
              <w:rPr>
                <w:b/>
                <w:lang w:val="en-US" w:eastAsia="en-US"/>
              </w:rPr>
            </w:pPr>
            <w:r w:rsidRPr="0053067B">
              <w:rPr>
                <w:b/>
                <w:lang w:val="en-US" w:eastAsia="en-US"/>
              </w:rPr>
              <w:t>Total buget stat</w:t>
            </w:r>
          </w:p>
        </w:tc>
        <w:tc>
          <w:tcPr>
            <w:tcW w:w="3118" w:type="dxa"/>
            <w:tcBorders>
              <w:top w:val="single" w:sz="4" w:space="0" w:color="auto"/>
              <w:left w:val="single" w:sz="4" w:space="0" w:color="auto"/>
              <w:bottom w:val="single" w:sz="4" w:space="0" w:color="auto"/>
              <w:right w:val="single" w:sz="4" w:space="0" w:color="auto"/>
            </w:tcBorders>
            <w:vAlign w:val="center"/>
            <w:hideMark/>
          </w:tcPr>
          <w:p w:rsidR="00B9166B" w:rsidRPr="00B9166B" w:rsidRDefault="00B9166B" w:rsidP="00B9166B">
            <w:pPr>
              <w:jc w:val="center"/>
              <w:rPr>
                <w:b/>
              </w:rPr>
            </w:pPr>
            <w:r w:rsidRPr="00B9166B">
              <w:rPr>
                <w:b/>
              </w:rPr>
              <w:t>842.097.513</w:t>
            </w:r>
          </w:p>
        </w:tc>
        <w:tc>
          <w:tcPr>
            <w:tcW w:w="1843" w:type="dxa"/>
            <w:tcBorders>
              <w:top w:val="single" w:sz="4" w:space="0" w:color="auto"/>
              <w:left w:val="single" w:sz="4" w:space="0" w:color="auto"/>
              <w:bottom w:val="single" w:sz="4" w:space="0" w:color="auto"/>
              <w:right w:val="single" w:sz="4" w:space="0" w:color="auto"/>
            </w:tcBorders>
            <w:vAlign w:val="center"/>
            <w:hideMark/>
          </w:tcPr>
          <w:p w:rsidR="00B9166B" w:rsidRPr="00B9166B" w:rsidRDefault="00B9166B" w:rsidP="00B9166B">
            <w:pPr>
              <w:jc w:val="center"/>
              <w:rPr>
                <w:b/>
              </w:rPr>
            </w:pPr>
            <w:r w:rsidRPr="00B9166B">
              <w:rPr>
                <w:b/>
              </w:rPr>
              <w:t>841902.395</w:t>
            </w:r>
          </w:p>
        </w:tc>
        <w:tc>
          <w:tcPr>
            <w:tcW w:w="2693" w:type="dxa"/>
            <w:tcBorders>
              <w:top w:val="single" w:sz="4" w:space="0" w:color="auto"/>
              <w:left w:val="single" w:sz="4" w:space="0" w:color="auto"/>
              <w:bottom w:val="single" w:sz="4" w:space="0" w:color="auto"/>
              <w:right w:val="single" w:sz="4" w:space="0" w:color="auto"/>
            </w:tcBorders>
            <w:vAlign w:val="center"/>
            <w:hideMark/>
          </w:tcPr>
          <w:p w:rsidR="00B9166B" w:rsidRPr="00B9166B" w:rsidRDefault="00B9166B" w:rsidP="00B9166B">
            <w:pPr>
              <w:jc w:val="center"/>
              <w:rPr>
                <w:b/>
              </w:rPr>
            </w:pPr>
            <w:r w:rsidRPr="00B9166B">
              <w:rPr>
                <w:b/>
              </w:rPr>
              <w:t>99.76</w:t>
            </w:r>
          </w:p>
        </w:tc>
      </w:tr>
      <w:tr w:rsidR="00B9166B" w:rsidRPr="0053067B" w:rsidTr="00B9166B">
        <w:trPr>
          <w:trHeight w:val="285"/>
        </w:trPr>
        <w:tc>
          <w:tcPr>
            <w:tcW w:w="2660" w:type="dxa"/>
            <w:tcBorders>
              <w:top w:val="single" w:sz="4" w:space="0" w:color="auto"/>
              <w:left w:val="single" w:sz="4" w:space="0" w:color="auto"/>
              <w:bottom w:val="single" w:sz="4" w:space="0" w:color="auto"/>
              <w:right w:val="single" w:sz="4" w:space="0" w:color="auto"/>
            </w:tcBorders>
            <w:hideMark/>
          </w:tcPr>
          <w:p w:rsidR="00B9166B" w:rsidRPr="0053067B" w:rsidRDefault="00B9166B" w:rsidP="00A77970">
            <w:pPr>
              <w:jc w:val="both"/>
              <w:rPr>
                <w:lang w:val="en-US" w:eastAsia="en-US"/>
              </w:rPr>
            </w:pPr>
            <w:r w:rsidRPr="0053067B">
              <w:rPr>
                <w:lang w:val="en-US" w:eastAsia="en-US"/>
              </w:rPr>
              <w:t>Cheltuieli</w:t>
            </w:r>
            <w:r>
              <w:rPr>
                <w:lang w:val="en-US" w:eastAsia="en-US"/>
              </w:rPr>
              <w:t xml:space="preserve"> </w:t>
            </w:r>
            <w:r w:rsidRPr="0053067B">
              <w:rPr>
                <w:lang w:val="en-US" w:eastAsia="en-US"/>
              </w:rPr>
              <w:t>personal</w:t>
            </w:r>
          </w:p>
        </w:tc>
        <w:tc>
          <w:tcPr>
            <w:tcW w:w="3118"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634.316</w:t>
            </w:r>
          </w:p>
        </w:tc>
        <w:tc>
          <w:tcPr>
            <w:tcW w:w="1843"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631.471</w:t>
            </w:r>
          </w:p>
        </w:tc>
        <w:tc>
          <w:tcPr>
            <w:tcW w:w="2693"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99.55</w:t>
            </w:r>
          </w:p>
        </w:tc>
      </w:tr>
      <w:tr w:rsidR="00B9166B" w:rsidRPr="0053067B" w:rsidTr="00B9166B">
        <w:trPr>
          <w:trHeight w:val="195"/>
        </w:trPr>
        <w:tc>
          <w:tcPr>
            <w:tcW w:w="2660" w:type="dxa"/>
            <w:tcBorders>
              <w:top w:val="single" w:sz="4" w:space="0" w:color="auto"/>
              <w:left w:val="single" w:sz="4" w:space="0" w:color="auto"/>
              <w:bottom w:val="single" w:sz="4" w:space="0" w:color="auto"/>
              <w:right w:val="single" w:sz="4" w:space="0" w:color="auto"/>
            </w:tcBorders>
            <w:hideMark/>
          </w:tcPr>
          <w:p w:rsidR="00B9166B" w:rsidRPr="0053067B" w:rsidRDefault="00B9166B" w:rsidP="00A77970">
            <w:pPr>
              <w:jc w:val="both"/>
              <w:rPr>
                <w:lang w:val="en-US" w:eastAsia="en-US"/>
              </w:rPr>
            </w:pPr>
            <w:r w:rsidRPr="0053067B">
              <w:rPr>
                <w:lang w:val="en-US" w:eastAsia="en-US"/>
              </w:rPr>
              <w:t>Bunuri</w:t>
            </w:r>
            <w:r>
              <w:rPr>
                <w:lang w:val="en-US" w:eastAsia="en-US"/>
              </w:rPr>
              <w:t xml:space="preserve"> ș</w:t>
            </w:r>
            <w:r w:rsidRPr="0053067B">
              <w:rPr>
                <w:lang w:val="en-US" w:eastAsia="en-US"/>
              </w:rPr>
              <w:t>i servicii</w:t>
            </w:r>
          </w:p>
        </w:tc>
        <w:tc>
          <w:tcPr>
            <w:tcW w:w="3118"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53.246</w:t>
            </w:r>
          </w:p>
        </w:tc>
        <w:tc>
          <w:tcPr>
            <w:tcW w:w="1843"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52.453</w:t>
            </w:r>
          </w:p>
        </w:tc>
        <w:tc>
          <w:tcPr>
            <w:tcW w:w="2693"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98.51</w:t>
            </w:r>
          </w:p>
        </w:tc>
      </w:tr>
      <w:tr w:rsidR="00B9166B" w:rsidRPr="0053067B" w:rsidTr="00B9166B">
        <w:trPr>
          <w:trHeight w:val="255"/>
        </w:trPr>
        <w:tc>
          <w:tcPr>
            <w:tcW w:w="2660" w:type="dxa"/>
            <w:tcBorders>
              <w:top w:val="single" w:sz="4" w:space="0" w:color="auto"/>
              <w:left w:val="single" w:sz="4" w:space="0" w:color="auto"/>
              <w:bottom w:val="single" w:sz="4" w:space="0" w:color="auto"/>
              <w:right w:val="single" w:sz="4" w:space="0" w:color="auto"/>
            </w:tcBorders>
            <w:hideMark/>
          </w:tcPr>
          <w:p w:rsidR="00B9166B" w:rsidRPr="0053067B" w:rsidRDefault="00B9166B" w:rsidP="00A77970">
            <w:pPr>
              <w:jc w:val="both"/>
              <w:rPr>
                <w:lang w:val="en-US" w:eastAsia="en-US"/>
              </w:rPr>
            </w:pPr>
            <w:r w:rsidRPr="0053067B">
              <w:rPr>
                <w:lang w:val="en-US" w:eastAsia="en-US"/>
              </w:rPr>
              <w:t>Asisten</w:t>
            </w:r>
            <w:r>
              <w:rPr>
                <w:lang w:val="en-US" w:eastAsia="en-US"/>
              </w:rPr>
              <w:t xml:space="preserve">ță </w:t>
            </w:r>
            <w:r w:rsidRPr="0053067B">
              <w:rPr>
                <w:lang w:val="en-US" w:eastAsia="en-US"/>
              </w:rPr>
              <w:t>social</w:t>
            </w:r>
            <w:r>
              <w:rPr>
                <w:lang w:val="en-US" w:eastAsia="en-US"/>
              </w:rPr>
              <w:t>ă</w:t>
            </w:r>
          </w:p>
        </w:tc>
        <w:tc>
          <w:tcPr>
            <w:tcW w:w="3118"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7.610.000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7.607.510</w:t>
            </w:r>
          </w:p>
        </w:tc>
        <w:tc>
          <w:tcPr>
            <w:tcW w:w="2693"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99.97</w:t>
            </w:r>
          </w:p>
        </w:tc>
      </w:tr>
      <w:tr w:rsidR="00B9166B" w:rsidRPr="0053067B" w:rsidTr="00B9166B">
        <w:trPr>
          <w:trHeight w:val="285"/>
        </w:trPr>
        <w:tc>
          <w:tcPr>
            <w:tcW w:w="2660" w:type="dxa"/>
            <w:tcBorders>
              <w:top w:val="single" w:sz="4" w:space="0" w:color="auto"/>
              <w:left w:val="single" w:sz="4" w:space="0" w:color="auto"/>
              <w:bottom w:val="single" w:sz="4" w:space="0" w:color="auto"/>
              <w:right w:val="single" w:sz="4" w:space="0" w:color="auto"/>
            </w:tcBorders>
            <w:hideMark/>
          </w:tcPr>
          <w:p w:rsidR="00B9166B" w:rsidRPr="0053067B" w:rsidRDefault="00B9166B" w:rsidP="00A77970">
            <w:pPr>
              <w:jc w:val="both"/>
              <w:rPr>
                <w:lang w:val="en-US" w:eastAsia="en-US"/>
              </w:rPr>
            </w:pPr>
            <w:r w:rsidRPr="0053067B">
              <w:rPr>
                <w:lang w:val="en-US" w:eastAsia="en-US"/>
              </w:rPr>
              <w:t>Transferuri</w:t>
            </w:r>
            <w:r>
              <w:rPr>
                <w:lang w:val="en-US" w:eastAsia="en-US"/>
              </w:rPr>
              <w:t xml:space="preserve"> </w:t>
            </w:r>
          </w:p>
        </w:tc>
        <w:tc>
          <w:tcPr>
            <w:tcW w:w="3118"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4.285</w:t>
            </w:r>
          </w:p>
        </w:tc>
        <w:tc>
          <w:tcPr>
            <w:tcW w:w="1843"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4.285</w:t>
            </w:r>
          </w:p>
        </w:tc>
        <w:tc>
          <w:tcPr>
            <w:tcW w:w="2693" w:type="dxa"/>
            <w:tcBorders>
              <w:top w:val="single" w:sz="4" w:space="0" w:color="auto"/>
              <w:left w:val="single" w:sz="4" w:space="0" w:color="auto"/>
              <w:bottom w:val="single" w:sz="4" w:space="0" w:color="auto"/>
              <w:right w:val="single" w:sz="4" w:space="0" w:color="auto"/>
            </w:tcBorders>
            <w:vAlign w:val="center"/>
            <w:hideMark/>
          </w:tcPr>
          <w:p w:rsidR="00B9166B" w:rsidRPr="00241872" w:rsidRDefault="00B9166B" w:rsidP="00B9166B">
            <w:pPr>
              <w:jc w:val="center"/>
            </w:pPr>
            <w:r w:rsidRPr="00241872">
              <w:t>100</w:t>
            </w:r>
          </w:p>
        </w:tc>
      </w:tr>
      <w:tr w:rsidR="00B9166B" w:rsidRPr="0053067B" w:rsidTr="00B9166B">
        <w:trPr>
          <w:trHeight w:val="345"/>
        </w:trPr>
        <w:tc>
          <w:tcPr>
            <w:tcW w:w="2660" w:type="dxa"/>
            <w:tcBorders>
              <w:top w:val="single" w:sz="4" w:space="0" w:color="auto"/>
              <w:left w:val="single" w:sz="4" w:space="0" w:color="auto"/>
              <w:bottom w:val="single" w:sz="4" w:space="0" w:color="auto"/>
              <w:right w:val="single" w:sz="4" w:space="0" w:color="auto"/>
            </w:tcBorders>
            <w:hideMark/>
          </w:tcPr>
          <w:p w:rsidR="00B9166B" w:rsidRPr="0053067B" w:rsidRDefault="00B9166B" w:rsidP="00A77970">
            <w:pPr>
              <w:jc w:val="both"/>
              <w:rPr>
                <w:lang w:val="en-US" w:eastAsia="en-US"/>
              </w:rPr>
            </w:pPr>
            <w:r w:rsidRPr="0053067B">
              <w:rPr>
                <w:b/>
                <w:lang w:val="en-US" w:eastAsia="en-US"/>
              </w:rPr>
              <w:t>Total accidente munc</w:t>
            </w:r>
            <w:r>
              <w:rPr>
                <w:b/>
                <w:lang w:val="en-US" w:eastAsia="en-US"/>
              </w:rPr>
              <w:t>ă</w:t>
            </w:r>
          </w:p>
        </w:tc>
        <w:tc>
          <w:tcPr>
            <w:tcW w:w="3118" w:type="dxa"/>
            <w:tcBorders>
              <w:top w:val="single" w:sz="4" w:space="0" w:color="auto"/>
              <w:left w:val="single" w:sz="4" w:space="0" w:color="auto"/>
              <w:bottom w:val="single" w:sz="4" w:space="0" w:color="auto"/>
              <w:right w:val="single" w:sz="4" w:space="0" w:color="auto"/>
            </w:tcBorders>
            <w:vAlign w:val="center"/>
            <w:hideMark/>
          </w:tcPr>
          <w:p w:rsidR="00B9166B" w:rsidRPr="00B9166B" w:rsidRDefault="00B9166B" w:rsidP="00B9166B">
            <w:pPr>
              <w:jc w:val="center"/>
              <w:rPr>
                <w:b/>
              </w:rPr>
            </w:pPr>
            <w:r w:rsidRPr="00B9166B">
              <w:rPr>
                <w:b/>
              </w:rPr>
              <w:t>8.301.847</w:t>
            </w:r>
          </w:p>
        </w:tc>
        <w:tc>
          <w:tcPr>
            <w:tcW w:w="1843" w:type="dxa"/>
            <w:tcBorders>
              <w:top w:val="single" w:sz="4" w:space="0" w:color="auto"/>
              <w:left w:val="single" w:sz="4" w:space="0" w:color="auto"/>
              <w:bottom w:val="single" w:sz="4" w:space="0" w:color="auto"/>
              <w:right w:val="single" w:sz="4" w:space="0" w:color="auto"/>
            </w:tcBorders>
            <w:vAlign w:val="center"/>
            <w:hideMark/>
          </w:tcPr>
          <w:p w:rsidR="00B9166B" w:rsidRPr="00B9166B" w:rsidRDefault="00B9166B" w:rsidP="00B9166B">
            <w:pPr>
              <w:jc w:val="center"/>
              <w:rPr>
                <w:b/>
              </w:rPr>
            </w:pPr>
            <w:r w:rsidRPr="00B9166B">
              <w:rPr>
                <w:b/>
              </w:rPr>
              <w:t>8.295.719</w:t>
            </w:r>
          </w:p>
        </w:tc>
        <w:tc>
          <w:tcPr>
            <w:tcW w:w="2693" w:type="dxa"/>
            <w:tcBorders>
              <w:top w:val="single" w:sz="4" w:space="0" w:color="auto"/>
              <w:left w:val="single" w:sz="4" w:space="0" w:color="auto"/>
              <w:bottom w:val="single" w:sz="4" w:space="0" w:color="auto"/>
              <w:right w:val="single" w:sz="4" w:space="0" w:color="auto"/>
            </w:tcBorders>
            <w:vAlign w:val="center"/>
            <w:hideMark/>
          </w:tcPr>
          <w:p w:rsidR="00B9166B" w:rsidRPr="00B9166B" w:rsidRDefault="00B9166B" w:rsidP="00B9166B">
            <w:pPr>
              <w:jc w:val="center"/>
              <w:rPr>
                <w:b/>
              </w:rPr>
            </w:pPr>
            <w:r w:rsidRPr="00B9166B">
              <w:rPr>
                <w:b/>
              </w:rPr>
              <w:t>99.93</w:t>
            </w:r>
          </w:p>
        </w:tc>
      </w:tr>
    </w:tbl>
    <w:p w:rsidR="0053067B" w:rsidRPr="0053067B" w:rsidRDefault="0053067B" w:rsidP="00A77970">
      <w:pPr>
        <w:ind w:firstLine="540"/>
        <w:jc w:val="both"/>
        <w:rPr>
          <w:lang w:val="it-IT" w:eastAsia="en-US"/>
        </w:rPr>
      </w:pPr>
    </w:p>
    <w:p w:rsidR="00B9166B" w:rsidRDefault="0053067B" w:rsidP="00B9166B">
      <w:pPr>
        <w:ind w:firstLine="540"/>
        <w:jc w:val="both"/>
        <w:rPr>
          <w:bCs/>
          <w:lang w:val="it-IT" w:eastAsia="en-US"/>
        </w:rPr>
      </w:pPr>
      <w:r w:rsidRPr="0053067B">
        <w:rPr>
          <w:bCs/>
          <w:lang w:val="it-IT" w:eastAsia="en-US"/>
        </w:rPr>
        <w:tab/>
      </w:r>
    </w:p>
    <w:p w:rsidR="0053067B" w:rsidRPr="00B9166B" w:rsidRDefault="00B9166B" w:rsidP="00B9166B">
      <w:pPr>
        <w:ind w:firstLine="540"/>
        <w:jc w:val="both"/>
        <w:rPr>
          <w:bCs/>
          <w:lang w:val="it-IT" w:eastAsia="en-US"/>
        </w:rPr>
      </w:pPr>
      <w:r w:rsidRPr="00B9166B">
        <w:rPr>
          <w:bCs/>
          <w:lang w:val="it-IT" w:eastAsia="en-US"/>
        </w:rPr>
        <w:t>Excedentul financiar înregistrat la data de 31.12.20</w:t>
      </w:r>
      <w:r>
        <w:rPr>
          <w:bCs/>
          <w:lang w:val="it-IT" w:eastAsia="en-US"/>
        </w:rPr>
        <w:t xml:space="preserve">18, este în sumă de 155.132.904 </w:t>
      </w:r>
      <w:r w:rsidRPr="00B9166B">
        <w:rPr>
          <w:bCs/>
          <w:lang w:val="it-IT" w:eastAsia="en-US"/>
        </w:rPr>
        <w:t xml:space="preserve">lei, înregistrându-se o scădere de  48.715.212 lei,  faţă de anul precedent. </w:t>
      </w:r>
      <w:r w:rsidRPr="00B9166B">
        <w:rPr>
          <w:bCs/>
          <w:lang w:val="it-IT" w:eastAsia="en-US"/>
        </w:rPr>
        <w:tab/>
      </w:r>
      <w:r w:rsidR="0053067B" w:rsidRPr="0053067B">
        <w:rPr>
          <w:b/>
          <w:bCs/>
          <w:lang w:val="it-IT" w:eastAsia="en-US"/>
        </w:rPr>
        <w:tab/>
      </w:r>
    </w:p>
    <w:p w:rsidR="00B9166B" w:rsidRPr="0053067B" w:rsidRDefault="00B9166B" w:rsidP="00A77970">
      <w:pPr>
        <w:ind w:firstLine="540"/>
        <w:jc w:val="both"/>
        <w:rPr>
          <w:bCs/>
          <w:lang w:val="it-IT" w:eastAsia="en-US"/>
        </w:rPr>
      </w:pPr>
    </w:p>
    <w:p w:rsidR="0053067B" w:rsidRPr="0053067B" w:rsidRDefault="0053067B" w:rsidP="00980D72">
      <w:pPr>
        <w:numPr>
          <w:ilvl w:val="0"/>
          <w:numId w:val="25"/>
        </w:numPr>
        <w:ind w:left="709" w:hanging="425"/>
        <w:jc w:val="both"/>
        <w:rPr>
          <w:lang w:eastAsia="en-US"/>
        </w:rPr>
      </w:pPr>
      <w:r w:rsidRPr="0053067B">
        <w:rPr>
          <w:lang w:eastAsia="en-US"/>
        </w:rPr>
        <w:t>Bugetul de Stat</w:t>
      </w:r>
    </w:p>
    <w:p w:rsidR="00B9166B" w:rsidRPr="00B9166B" w:rsidRDefault="0053067B" w:rsidP="00B9166B">
      <w:pPr>
        <w:ind w:firstLine="540"/>
        <w:jc w:val="both"/>
        <w:rPr>
          <w:lang w:val="it-IT" w:eastAsia="en-US"/>
        </w:rPr>
      </w:pPr>
      <w:r w:rsidRPr="0053067B">
        <w:rPr>
          <w:lang w:val="it-IT" w:eastAsia="en-US"/>
        </w:rPr>
        <w:tab/>
      </w:r>
      <w:r w:rsidR="00B9166B" w:rsidRPr="00B9166B">
        <w:rPr>
          <w:lang w:val="it-IT" w:eastAsia="en-US"/>
        </w:rPr>
        <w:t>În perioada 01.01.2017 - 31.12.2018, pentru plata pensiilor şi a indemnizaţiilor şi a altor drepturi suportate din bugetul de stat s-au alocat credite în valoare de 836.602.000 lei, plăţile fiind în valoare de 836.414.018 lei, rezultând un procent de utilizare a creditelor de 99.98%.</w:t>
      </w:r>
    </w:p>
    <w:p w:rsidR="0053067B" w:rsidRDefault="00B9166B" w:rsidP="00B9166B">
      <w:pPr>
        <w:ind w:firstLine="540"/>
        <w:jc w:val="both"/>
        <w:rPr>
          <w:lang w:val="it-IT" w:eastAsia="en-US"/>
        </w:rPr>
      </w:pPr>
      <w:r w:rsidRPr="00B9166B">
        <w:rPr>
          <w:lang w:val="it-IT" w:eastAsia="en-US"/>
        </w:rPr>
        <w:lastRenderedPageBreak/>
        <w:t>Pentru cheltuielile materiale pentru transmiterea drepturilor în anul 2018, la bugetul de asigurări sociale, au fost alocate credite bugetare în valoare de 48.931.837 lei, iar plăţile efectuate au fost de 48.931.837 lei, rezultând un procent de utilizare a creditelor de 100%.</w:t>
      </w:r>
    </w:p>
    <w:p w:rsidR="00B9166B" w:rsidRPr="0053067B" w:rsidRDefault="00B9166B" w:rsidP="00B9166B">
      <w:pPr>
        <w:ind w:firstLine="540"/>
        <w:jc w:val="both"/>
        <w:rPr>
          <w:lang w:val="it-IT" w:eastAsia="en-US"/>
        </w:rPr>
      </w:pPr>
    </w:p>
    <w:p w:rsidR="0053067B" w:rsidRPr="0053067B" w:rsidRDefault="0053067B" w:rsidP="00A77970">
      <w:pPr>
        <w:ind w:firstLine="540"/>
        <w:jc w:val="both"/>
        <w:rPr>
          <w:i/>
          <w:lang w:eastAsia="en-US"/>
        </w:rPr>
      </w:pPr>
      <w:r w:rsidRPr="0053067B">
        <w:rPr>
          <w:i/>
          <w:lang w:eastAsia="en-US"/>
        </w:rPr>
        <w:tab/>
        <w:t>Gradul de valorificare a biletelor de tratament</w:t>
      </w:r>
    </w:p>
    <w:p w:rsidR="00B9166B" w:rsidRPr="00B9166B" w:rsidRDefault="00B9166B" w:rsidP="00B9166B">
      <w:pPr>
        <w:jc w:val="both"/>
        <w:rPr>
          <w:lang w:val="it-IT" w:eastAsia="en-US"/>
        </w:rPr>
      </w:pPr>
      <w:r>
        <w:rPr>
          <w:lang w:val="it-IT" w:eastAsia="en-US"/>
        </w:rPr>
        <w:tab/>
      </w:r>
      <w:r w:rsidRPr="00B9166B">
        <w:rPr>
          <w:lang w:val="it-IT" w:eastAsia="en-US"/>
        </w:rPr>
        <w:t xml:space="preserve">O componentă importantă a activităţii Casei de Pensii a Municipiului Bucureşti, cu înaltă încărcătură socială, este aceea de trimitere a asiguraţilor şi pensionarilor la tratament balnear în vederea menţinerii stării de sănătate şi recuperare a capacităţii de muncă. </w:t>
      </w:r>
    </w:p>
    <w:p w:rsidR="00B9166B" w:rsidRPr="00B9166B" w:rsidRDefault="00B9166B" w:rsidP="00B9166B">
      <w:pPr>
        <w:jc w:val="both"/>
        <w:rPr>
          <w:lang w:val="it-IT" w:eastAsia="en-US"/>
        </w:rPr>
      </w:pPr>
      <w:r>
        <w:rPr>
          <w:lang w:val="it-IT" w:eastAsia="en-US"/>
        </w:rPr>
        <w:tab/>
      </w:r>
      <w:r w:rsidRPr="00B9166B">
        <w:rPr>
          <w:lang w:val="it-IT" w:eastAsia="en-US"/>
        </w:rPr>
        <w:t>În anul 2018, distribuţia biletelor de tratament a început în data de 20.02.2018 cu locurile din unităţile aparţinând S.C. T.B.R.C.M. S.A. După efectuarea licitaţiei pentru contractarea biletelor cu celelalte societăţi comerciale, s-a trecut la repartizarea şi eliberarea biletelor, începand cu seria şi cu data de intrare în 24.05.2018, dar nu pentru toate staţiunile, o parte dintre acestea începând mai târziu datorită contestaţiilor care s-au înregistrat.</w:t>
      </w:r>
    </w:p>
    <w:p w:rsidR="00B9166B" w:rsidRPr="00B9166B" w:rsidRDefault="00B9166B" w:rsidP="00B9166B">
      <w:pPr>
        <w:jc w:val="both"/>
        <w:rPr>
          <w:lang w:val="it-IT" w:eastAsia="en-US"/>
        </w:rPr>
      </w:pPr>
      <w:r>
        <w:rPr>
          <w:lang w:val="it-IT" w:eastAsia="en-US"/>
        </w:rPr>
        <w:tab/>
      </w:r>
      <w:r w:rsidRPr="00B9166B">
        <w:rPr>
          <w:lang w:val="it-IT" w:eastAsia="en-US"/>
        </w:rPr>
        <w:t>Numărul biletelor repartizate a fost de 17.577, locuri repartizate pe staţiuni, hoteluri şi serii, iniţial şi pe repartiţii suplimentare.</w:t>
      </w:r>
    </w:p>
    <w:p w:rsidR="00B9166B" w:rsidRPr="00B9166B" w:rsidRDefault="00B9166B" w:rsidP="00B9166B">
      <w:pPr>
        <w:jc w:val="both"/>
        <w:rPr>
          <w:lang w:val="it-IT" w:eastAsia="en-US"/>
        </w:rPr>
      </w:pPr>
      <w:r>
        <w:rPr>
          <w:lang w:val="it-IT" w:eastAsia="en-US"/>
        </w:rPr>
        <w:tab/>
      </w:r>
      <w:r w:rsidRPr="00B9166B">
        <w:rPr>
          <w:lang w:val="it-IT" w:eastAsia="en-US"/>
        </w:rPr>
        <w:t>Datorită faptului că, în extrasezon, cererea pentru unele staţiuni este foarte redusă, au fost restituite sau retrase la iniţiativa C.N.P.P. un număr de 329 locuri înainte de începerea seriilor pentru a putea fi distribuite în alte judeţe.</w:t>
      </w:r>
    </w:p>
    <w:p w:rsidR="00B9166B" w:rsidRPr="00B9166B" w:rsidRDefault="00B9166B" w:rsidP="00B9166B">
      <w:pPr>
        <w:jc w:val="both"/>
        <w:rPr>
          <w:lang w:val="it-IT" w:eastAsia="en-US"/>
        </w:rPr>
      </w:pPr>
      <w:r>
        <w:rPr>
          <w:lang w:val="it-IT" w:eastAsia="en-US"/>
        </w:rPr>
        <w:tab/>
      </w:r>
      <w:r w:rsidRPr="00B9166B">
        <w:rPr>
          <w:lang w:val="it-IT" w:eastAsia="en-US"/>
        </w:rPr>
        <w:t>Din numărul total de bilete valorificate un număr de 2.265 bilete au fost eliberate în mod gratuit persoanelor beneficiare de legi speciale: pensionarii de invaliditate, beneficiarii Legii nr. 44/1994, DL nr.118/1990, Legii nr.189/2000, Legii nr. 346/2002 şi Legii nr.448/2006.</w:t>
      </w:r>
    </w:p>
    <w:p w:rsidR="00B9166B" w:rsidRPr="00B9166B" w:rsidRDefault="00B9166B" w:rsidP="00B9166B">
      <w:pPr>
        <w:jc w:val="both"/>
        <w:rPr>
          <w:lang w:val="it-IT" w:eastAsia="en-US"/>
        </w:rPr>
      </w:pPr>
      <w:r>
        <w:rPr>
          <w:lang w:val="it-IT" w:eastAsia="en-US"/>
        </w:rPr>
        <w:tab/>
      </w:r>
      <w:r w:rsidRPr="00B9166B">
        <w:rPr>
          <w:lang w:val="it-IT" w:eastAsia="en-US"/>
        </w:rPr>
        <w:t>De asemenea, au mai fost eliberate un număr de 1.538 de bilete pe partiţia Z-CNPP, din care 298 au fost eliberate în mod gratuit.</w:t>
      </w:r>
    </w:p>
    <w:p w:rsidR="0053067B" w:rsidRDefault="00B9166B" w:rsidP="00B9166B">
      <w:pPr>
        <w:jc w:val="both"/>
        <w:rPr>
          <w:lang w:val="it-IT" w:eastAsia="en-US"/>
        </w:rPr>
      </w:pPr>
      <w:r>
        <w:rPr>
          <w:lang w:val="it-IT" w:eastAsia="en-US"/>
        </w:rPr>
        <w:tab/>
      </w:r>
      <w:r w:rsidRPr="00B9166B">
        <w:rPr>
          <w:lang w:val="it-IT" w:eastAsia="en-US"/>
        </w:rPr>
        <w:t>În acest domeniu, se menţin dificultăţile anilor anteriori legate de caracterul puternic sezonier al cererii, în special în luna noiembrie, cererea de bilete scazând foarte mult. Astfel, în aceasta lună, gradul de valorificare a fost de aproximativ 60% din numărul locurilor repartizate.</w:t>
      </w:r>
    </w:p>
    <w:p w:rsidR="00B9166B" w:rsidRPr="0053067B" w:rsidRDefault="00B9166B" w:rsidP="00B9166B">
      <w:pPr>
        <w:jc w:val="both"/>
        <w:rPr>
          <w:b/>
          <w:i/>
          <w:color w:val="0000FF"/>
          <w:lang w:eastAsia="en-US"/>
        </w:rPr>
      </w:pPr>
    </w:p>
    <w:p w:rsidR="00152DEA" w:rsidRPr="0042550A" w:rsidRDefault="0014428E" w:rsidP="00A77970">
      <w:pPr>
        <w:contextualSpacing/>
        <w:jc w:val="both"/>
        <w:rPr>
          <w:rFonts w:eastAsia="MS Mincho"/>
          <w:b/>
          <w:lang w:val="en-US" w:eastAsia="en-US"/>
        </w:rPr>
      </w:pPr>
      <w:r>
        <w:rPr>
          <w:b/>
          <w:kern w:val="28"/>
          <w:lang w:val="en-US" w:eastAsia="en-US"/>
        </w:rPr>
        <w:t>P</w:t>
      </w:r>
      <w:r w:rsidRPr="001A0ECE">
        <w:rPr>
          <w:b/>
          <w:kern w:val="28"/>
          <w:lang w:val="en-US" w:eastAsia="en-US"/>
        </w:rPr>
        <w:t xml:space="preserve">rincipalele realizări </w:t>
      </w:r>
      <w:r>
        <w:rPr>
          <w:b/>
          <w:kern w:val="28"/>
          <w:lang w:val="en-US" w:eastAsia="en-US"/>
        </w:rPr>
        <w:t xml:space="preserve">ale </w:t>
      </w:r>
      <w:r w:rsidRPr="0042550A">
        <w:rPr>
          <w:rFonts w:eastAsia="MS Mincho"/>
          <w:b/>
          <w:lang w:val="en-US" w:eastAsia="en-US"/>
        </w:rPr>
        <w:t>Direcţi</w:t>
      </w:r>
      <w:r>
        <w:rPr>
          <w:rFonts w:eastAsia="MS Mincho"/>
          <w:b/>
          <w:lang w:val="en-US" w:eastAsia="en-US"/>
        </w:rPr>
        <w:t>ei</w:t>
      </w:r>
      <w:r w:rsidRPr="0042550A">
        <w:rPr>
          <w:rFonts w:eastAsia="MS Mincho"/>
          <w:b/>
          <w:lang w:val="en-US" w:eastAsia="en-US"/>
        </w:rPr>
        <w:t xml:space="preserve"> General</w:t>
      </w:r>
      <w:r>
        <w:rPr>
          <w:rFonts w:eastAsia="MS Mincho"/>
          <w:b/>
          <w:lang w:val="en-US" w:eastAsia="en-US"/>
        </w:rPr>
        <w:t>e</w:t>
      </w:r>
      <w:r w:rsidRPr="0042550A">
        <w:rPr>
          <w:rFonts w:eastAsia="MS Mincho"/>
          <w:b/>
          <w:lang w:val="en-US" w:eastAsia="en-US"/>
        </w:rPr>
        <w:t xml:space="preserve"> </w:t>
      </w:r>
      <w:r>
        <w:rPr>
          <w:rFonts w:eastAsia="MS Mincho"/>
          <w:b/>
          <w:lang w:val="en-US" w:eastAsia="en-US"/>
        </w:rPr>
        <w:t>d</w:t>
      </w:r>
      <w:r w:rsidRPr="0042550A">
        <w:rPr>
          <w:rFonts w:eastAsia="MS Mincho"/>
          <w:b/>
          <w:lang w:val="en-US" w:eastAsia="en-US"/>
        </w:rPr>
        <w:t xml:space="preserve">e Asistenţă Socială </w:t>
      </w:r>
      <w:r>
        <w:rPr>
          <w:rFonts w:eastAsia="MS Mincho"/>
          <w:b/>
          <w:lang w:val="en-US" w:eastAsia="en-US"/>
        </w:rPr>
        <w:t>a</w:t>
      </w:r>
      <w:r w:rsidRPr="0042550A">
        <w:rPr>
          <w:rFonts w:eastAsia="MS Mincho"/>
          <w:b/>
          <w:lang w:val="en-US" w:eastAsia="en-US"/>
        </w:rPr>
        <w:t xml:space="preserve"> Municipiului Bucureşti</w:t>
      </w:r>
      <w:r w:rsidR="0053067B">
        <w:rPr>
          <w:rFonts w:eastAsia="MS Mincho"/>
          <w:b/>
          <w:lang w:val="en-US" w:eastAsia="en-US"/>
        </w:rPr>
        <w:t xml:space="preserve"> (D.G.A.S.M.B.)</w:t>
      </w:r>
    </w:p>
    <w:p w:rsidR="00152DEA" w:rsidRPr="0042550A" w:rsidRDefault="00152DEA" w:rsidP="00A77970">
      <w:pPr>
        <w:contextualSpacing/>
        <w:jc w:val="both"/>
        <w:rPr>
          <w:rFonts w:eastAsia="MS Mincho"/>
          <w:b/>
          <w:lang w:val="en-US" w:eastAsia="en-US"/>
        </w:rPr>
      </w:pPr>
    </w:p>
    <w:p w:rsidR="00152DEA" w:rsidRPr="00D60C70" w:rsidRDefault="0042550A" w:rsidP="00A77970">
      <w:pPr>
        <w:contextualSpacing/>
        <w:jc w:val="both"/>
        <w:rPr>
          <w:rFonts w:eastAsia="MS Mincho"/>
          <w:b/>
          <w:lang w:val="en-US" w:eastAsia="en-US"/>
        </w:rPr>
      </w:pPr>
      <w:r w:rsidRPr="00D60C70">
        <w:rPr>
          <w:rFonts w:eastAsia="MS Mincho"/>
          <w:b/>
          <w:lang w:val="en-US" w:eastAsia="en-US"/>
        </w:rPr>
        <w:t>○</w:t>
      </w:r>
      <w:r w:rsidR="00152DEA" w:rsidRPr="00D60C70">
        <w:rPr>
          <w:rFonts w:eastAsia="MS Mincho"/>
          <w:b/>
          <w:lang w:val="en-US" w:eastAsia="en-US"/>
        </w:rPr>
        <w:t>Obiectivul: Transparenţă şi eficienţă a actului administrativ; calitate ridicată a serviciilor sociale ale fu</w:t>
      </w:r>
      <w:r w:rsidR="00572811">
        <w:rPr>
          <w:rFonts w:eastAsia="MS Mincho"/>
          <w:b/>
          <w:lang w:val="en-US" w:eastAsia="en-US"/>
        </w:rPr>
        <w:t>rn</w:t>
      </w:r>
      <w:bookmarkStart w:id="41" w:name="_GoBack"/>
      <w:bookmarkEnd w:id="41"/>
      <w:r w:rsidR="00152DEA" w:rsidRPr="00D60C70">
        <w:rPr>
          <w:rFonts w:eastAsia="MS Mincho"/>
          <w:b/>
          <w:lang w:val="en-US" w:eastAsia="en-US"/>
        </w:rPr>
        <w:t>izorilor publici şi privaţi; politici, strategii, programe şi proceduri.</w:t>
      </w:r>
    </w:p>
    <w:p w:rsidR="00152DEA" w:rsidRPr="00D60C70" w:rsidRDefault="0042550A" w:rsidP="00A77970">
      <w:pPr>
        <w:contextualSpacing/>
        <w:jc w:val="both"/>
        <w:rPr>
          <w:rFonts w:eastAsia="MS Mincho"/>
          <w:lang w:val="en-US" w:eastAsia="en-US"/>
        </w:rPr>
      </w:pPr>
      <w:r w:rsidRPr="00D60C70">
        <w:rPr>
          <w:rFonts w:eastAsia="MS Mincho"/>
          <w:lang w:val="en-US" w:eastAsia="en-US"/>
        </w:rPr>
        <w:t>●</w:t>
      </w:r>
      <w:r w:rsidR="00152DEA" w:rsidRPr="00D60C70">
        <w:rPr>
          <w:rFonts w:eastAsia="MS Mincho"/>
          <w:lang w:val="en-US" w:eastAsia="en-US"/>
        </w:rPr>
        <w:t>Aprobarea şi aplicarea următoarelor strategii şi a planurilor de implementare ale acestora:</w:t>
      </w:r>
    </w:p>
    <w:p w:rsidR="00152DEA" w:rsidRPr="00D60C70" w:rsidRDefault="00152DEA" w:rsidP="00A77970">
      <w:pPr>
        <w:contextualSpacing/>
        <w:jc w:val="both"/>
        <w:rPr>
          <w:rFonts w:eastAsia="MS Mincho"/>
          <w:lang w:val="en-US" w:eastAsia="en-US"/>
        </w:rPr>
      </w:pPr>
      <w:r w:rsidRPr="00D60C70">
        <w:rPr>
          <w:rFonts w:eastAsia="MS Mincho"/>
          <w:lang w:val="en-US" w:eastAsia="en-US"/>
        </w:rPr>
        <w:t xml:space="preserve">   - Strategia locală privind incluziunea socială şi reducerea sărăciei in municipiul Bucureşti 2017–2021 şi a Planului operaţional de implementare a strategiei de asistenţă socială a municipiului Bucureşti 2017– 2021;</w:t>
      </w:r>
    </w:p>
    <w:p w:rsidR="00152DEA" w:rsidRPr="00D60C70" w:rsidRDefault="00152DEA" w:rsidP="00A77970">
      <w:pPr>
        <w:contextualSpacing/>
        <w:jc w:val="both"/>
        <w:rPr>
          <w:rFonts w:eastAsia="MS Mincho"/>
          <w:lang w:val="en-US" w:eastAsia="en-US"/>
        </w:rPr>
      </w:pPr>
      <w:r w:rsidRPr="00D60C70">
        <w:rPr>
          <w:rFonts w:eastAsia="MS Mincho"/>
          <w:lang w:val="en-US" w:eastAsia="en-US"/>
        </w:rPr>
        <w:t xml:space="preserve">   - Strategia locală privind susţinerea voluntariatului seniorilor, in municipiul Bucureşti, 2017–2021 şi a Planului operaţional pentru implementarea strategiei locale privind susţinerea voluntariatului seniorilor, in municipiul Bucureşti, 2017–2021;</w:t>
      </w:r>
    </w:p>
    <w:p w:rsidR="00152DEA" w:rsidRPr="0042550A" w:rsidRDefault="00152DEA" w:rsidP="00A77970">
      <w:pPr>
        <w:contextualSpacing/>
        <w:jc w:val="both"/>
        <w:rPr>
          <w:rFonts w:eastAsia="MS Mincho"/>
          <w:lang w:val="en-US" w:eastAsia="en-US"/>
        </w:rPr>
      </w:pPr>
      <w:r w:rsidRPr="0042550A">
        <w:rPr>
          <w:rFonts w:eastAsia="MS Mincho"/>
          <w:lang w:val="en-US" w:eastAsia="en-US"/>
        </w:rPr>
        <w:t>◊ Indicatori: 2 Strategii locale aprobate prin HCGMB</w:t>
      </w:r>
      <w:r w:rsidRPr="0042550A">
        <w:rPr>
          <w:rFonts w:eastAsia="MS Mincho"/>
          <w:lang w:val="en-US" w:eastAsia="en-US"/>
        </w:rPr>
        <w:tab/>
      </w:r>
    </w:p>
    <w:p w:rsidR="00152DEA" w:rsidRPr="0042550A" w:rsidRDefault="00152DEA" w:rsidP="00A77970">
      <w:pPr>
        <w:contextualSpacing/>
        <w:jc w:val="both"/>
        <w:rPr>
          <w:rFonts w:eastAsia="MS Mincho"/>
          <w:i/>
          <w:lang w:val="en-US" w:eastAsia="en-US"/>
        </w:rPr>
      </w:pPr>
      <w:r w:rsidRPr="0042550A">
        <w:rPr>
          <w:rFonts w:eastAsia="MS Mincho"/>
          <w:lang w:val="en-US" w:eastAsia="en-US"/>
        </w:rPr>
        <w:tab/>
      </w:r>
      <w:r w:rsidRPr="0042550A">
        <w:rPr>
          <w:rFonts w:eastAsia="MS Mincho"/>
          <w:i/>
          <w:lang w:val="en-US" w:eastAsia="en-US"/>
        </w:rPr>
        <w:t>HCGMB 496 din 31.10.2017 Strategia locala de i</w:t>
      </w:r>
      <w:r w:rsidR="007218B3">
        <w:rPr>
          <w:rFonts w:eastAsia="MS Mincho"/>
          <w:i/>
          <w:lang w:val="en-US" w:eastAsia="en-US"/>
        </w:rPr>
        <w:t xml:space="preserve">ncluziune socială 2017–2021 şi </w:t>
      </w:r>
      <w:r w:rsidRPr="0042550A">
        <w:rPr>
          <w:rFonts w:eastAsia="MS Mincho"/>
          <w:i/>
          <w:lang w:val="en-US" w:eastAsia="en-US"/>
        </w:rPr>
        <w:t>HCGMB 470 din 28.09.2017 Strategia voluntariatului seniorilor;</w:t>
      </w:r>
    </w:p>
    <w:p w:rsidR="00152DEA" w:rsidRPr="00D60C70" w:rsidRDefault="0042550A" w:rsidP="00A77970">
      <w:pPr>
        <w:contextualSpacing/>
        <w:jc w:val="both"/>
        <w:rPr>
          <w:rFonts w:eastAsia="MS Mincho"/>
          <w:lang w:val="en-US" w:eastAsia="en-US"/>
        </w:rPr>
      </w:pPr>
      <w:r w:rsidRPr="00D60C70">
        <w:rPr>
          <w:rFonts w:eastAsia="MS Mincho"/>
          <w:lang w:val="en-US" w:eastAsia="en-US"/>
        </w:rPr>
        <w:t>●</w:t>
      </w:r>
      <w:r w:rsidR="00152DEA" w:rsidRPr="00D60C70">
        <w:rPr>
          <w:rFonts w:eastAsia="MS Mincho"/>
          <w:lang w:val="en-US" w:eastAsia="en-US"/>
        </w:rPr>
        <w:t>Revizuirea metodologiilor şi procedurilor operaţionale utilizate in prezent, astfel incât acestea să răspundă modificărilor legislative recente şi să ofere o abordare integrată a sesizărilor cetăţenilor</w:t>
      </w:r>
    </w:p>
    <w:p w:rsidR="00152DEA" w:rsidRPr="0042550A" w:rsidRDefault="00152DEA" w:rsidP="00A77970">
      <w:pPr>
        <w:contextualSpacing/>
        <w:jc w:val="both"/>
        <w:rPr>
          <w:rFonts w:eastAsia="MS Mincho"/>
          <w:lang w:val="en-US" w:eastAsia="en-US"/>
        </w:rPr>
      </w:pPr>
      <w:r w:rsidRPr="0042550A">
        <w:rPr>
          <w:rFonts w:eastAsia="MS Mincho"/>
          <w:lang w:val="en-US" w:eastAsia="en-US"/>
        </w:rPr>
        <w:t>◊ Indicatori: 1 ROF pentru Comisia Monitorizare CIM, 1 ROF pentru Echipa Gestionare Riscuri şi 26 proceduri operaţionale.</w:t>
      </w:r>
    </w:p>
    <w:p w:rsidR="00152DEA" w:rsidRPr="0042550A" w:rsidRDefault="00152DEA" w:rsidP="00A77970">
      <w:pPr>
        <w:contextualSpacing/>
        <w:jc w:val="both"/>
        <w:rPr>
          <w:rFonts w:eastAsia="MS Mincho"/>
          <w:i/>
          <w:lang w:val="en-US" w:eastAsia="en-US"/>
        </w:rPr>
      </w:pPr>
      <w:r w:rsidRPr="0042550A">
        <w:rPr>
          <w:rFonts w:eastAsia="MS Mincho"/>
          <w:lang w:val="en-US" w:eastAsia="en-US"/>
        </w:rPr>
        <w:tab/>
      </w:r>
      <w:r w:rsidRPr="0042550A">
        <w:rPr>
          <w:rFonts w:eastAsia="MS Mincho"/>
          <w:i/>
          <w:lang w:val="en-US" w:eastAsia="en-US"/>
        </w:rPr>
        <w:t xml:space="preserve">ROF pentru Comisia Monitorizare CIM aprobat cu decizia 921 din 29.12.201 7, </w:t>
      </w:r>
    </w:p>
    <w:p w:rsidR="00152DEA" w:rsidRPr="00D60C70" w:rsidRDefault="00152DEA" w:rsidP="00A77970">
      <w:pPr>
        <w:contextualSpacing/>
        <w:jc w:val="both"/>
        <w:rPr>
          <w:rFonts w:eastAsia="MS Mincho"/>
          <w:i/>
          <w:lang w:val="en-US" w:eastAsia="en-US"/>
        </w:rPr>
      </w:pPr>
      <w:r w:rsidRPr="0042550A">
        <w:rPr>
          <w:rFonts w:eastAsia="MS Mincho"/>
          <w:i/>
          <w:lang w:val="en-US" w:eastAsia="en-US"/>
        </w:rPr>
        <w:tab/>
        <w:t>ROF pentru Echipa Gestionare Riscuri aprobat cu decizia 922 din 29.12.2017</w:t>
      </w:r>
    </w:p>
    <w:p w:rsidR="00152DEA" w:rsidRPr="00D60C70" w:rsidRDefault="0042550A" w:rsidP="00A77970">
      <w:pPr>
        <w:contextualSpacing/>
        <w:jc w:val="both"/>
        <w:rPr>
          <w:rFonts w:eastAsia="MS Mincho"/>
          <w:b/>
          <w:lang w:val="en-US" w:eastAsia="en-US"/>
        </w:rPr>
      </w:pPr>
      <w:r w:rsidRPr="00D60C70">
        <w:rPr>
          <w:rFonts w:eastAsia="MS Mincho"/>
          <w:b/>
          <w:lang w:val="en-US" w:eastAsia="en-US"/>
        </w:rPr>
        <w:t>○</w:t>
      </w:r>
      <w:r w:rsidR="00152DEA" w:rsidRPr="00D60C70">
        <w:rPr>
          <w:rFonts w:eastAsia="MS Mincho"/>
          <w:b/>
          <w:lang w:val="en-US" w:eastAsia="en-US"/>
        </w:rPr>
        <w:t>Obiectivul: intărirea colaborării cu actorii societăţii civile</w:t>
      </w:r>
    </w:p>
    <w:p w:rsidR="00152DEA" w:rsidRPr="00D60C70" w:rsidRDefault="0042550A" w:rsidP="00A77970">
      <w:pPr>
        <w:contextualSpacing/>
        <w:jc w:val="both"/>
        <w:rPr>
          <w:rFonts w:eastAsia="MS Mincho"/>
          <w:lang w:val="en-US" w:eastAsia="en-US"/>
        </w:rPr>
      </w:pPr>
      <w:r w:rsidRPr="00D60C70">
        <w:rPr>
          <w:rFonts w:eastAsia="MS Mincho"/>
          <w:lang w:val="en-US" w:eastAsia="en-US"/>
        </w:rPr>
        <w:lastRenderedPageBreak/>
        <w:t>●</w:t>
      </w:r>
      <w:r w:rsidR="00152DEA" w:rsidRPr="00D60C70">
        <w:rPr>
          <w:rFonts w:eastAsia="MS Mincho"/>
          <w:lang w:val="en-US" w:eastAsia="en-US"/>
        </w:rPr>
        <w:t>Încheierea de noi protocoale de colaborare cu organizaţii neguvernamentale pentru imbunătăţirea serviciilor sociale adresate beneficiarilor.</w:t>
      </w:r>
    </w:p>
    <w:p w:rsidR="00152DEA" w:rsidRPr="0042550A" w:rsidRDefault="00152DEA" w:rsidP="00A77970">
      <w:pPr>
        <w:contextualSpacing/>
        <w:jc w:val="both"/>
        <w:rPr>
          <w:rFonts w:eastAsia="MS Mincho"/>
          <w:lang w:val="en-US" w:eastAsia="en-US"/>
        </w:rPr>
      </w:pPr>
      <w:r w:rsidRPr="0042550A">
        <w:rPr>
          <w:rFonts w:eastAsia="MS Mincho"/>
          <w:lang w:val="en-US" w:eastAsia="en-US"/>
        </w:rPr>
        <w:t>◊ Indicatori: 10 protocoale noi de colaborare</w:t>
      </w:r>
    </w:p>
    <w:p w:rsidR="00152DEA" w:rsidRPr="0042550A" w:rsidRDefault="0042550A" w:rsidP="00A77970">
      <w:pPr>
        <w:contextualSpacing/>
        <w:jc w:val="both"/>
        <w:rPr>
          <w:rFonts w:eastAsia="MS Mincho"/>
          <w:b/>
          <w:lang w:val="en-US" w:eastAsia="en-US"/>
        </w:rPr>
      </w:pPr>
      <w:r>
        <w:rPr>
          <w:rFonts w:eastAsia="MS Mincho"/>
          <w:b/>
          <w:lang w:val="en-US" w:eastAsia="en-US"/>
        </w:rPr>
        <w:t>○</w:t>
      </w:r>
      <w:r w:rsidR="00152DEA" w:rsidRPr="0042550A">
        <w:rPr>
          <w:rFonts w:eastAsia="MS Mincho"/>
          <w:b/>
          <w:lang w:val="en-US" w:eastAsia="en-US"/>
        </w:rPr>
        <w:t>Obiectivul: Programe cu finanţare internă</w:t>
      </w:r>
    </w:p>
    <w:p w:rsidR="00152DEA" w:rsidRPr="00D60C70" w:rsidRDefault="0042550A" w:rsidP="00A77970">
      <w:pPr>
        <w:contextualSpacing/>
        <w:jc w:val="both"/>
        <w:rPr>
          <w:rFonts w:eastAsia="MS Mincho"/>
          <w:lang w:val="en-US" w:eastAsia="en-US"/>
        </w:rPr>
      </w:pPr>
      <w:r w:rsidRPr="00D60C70">
        <w:rPr>
          <w:rFonts w:eastAsia="MS Mincho"/>
          <w:lang w:val="en-US" w:eastAsia="en-US"/>
        </w:rPr>
        <w:t>●</w:t>
      </w:r>
      <w:r w:rsidR="00152DEA" w:rsidRPr="00D60C70">
        <w:rPr>
          <w:rFonts w:eastAsia="MS Mincho"/>
          <w:lang w:val="en-US" w:eastAsia="en-US"/>
        </w:rPr>
        <w:t>Dezvoltarea băncii de alimente a capitalei şi a altor servicii sociale adiacente</w:t>
      </w:r>
    </w:p>
    <w:p w:rsidR="00152DEA" w:rsidRPr="0042550A" w:rsidRDefault="00152DEA" w:rsidP="00A77970">
      <w:pPr>
        <w:contextualSpacing/>
        <w:jc w:val="both"/>
        <w:rPr>
          <w:rFonts w:eastAsia="MS Mincho"/>
          <w:lang w:val="en-US" w:eastAsia="en-US"/>
        </w:rPr>
      </w:pPr>
      <w:r w:rsidRPr="0042550A">
        <w:rPr>
          <w:rFonts w:eastAsia="MS Mincho"/>
          <w:lang w:val="en-US" w:eastAsia="en-US"/>
        </w:rPr>
        <w:t>◊Indicatori: 1 bancă de alimente şi 2 servicii sociale adiacente;</w:t>
      </w:r>
    </w:p>
    <w:p w:rsidR="00152DEA" w:rsidRPr="00D60C70" w:rsidRDefault="0042550A" w:rsidP="00A77970">
      <w:pPr>
        <w:contextualSpacing/>
        <w:jc w:val="both"/>
        <w:rPr>
          <w:rFonts w:eastAsia="MS Mincho"/>
          <w:lang w:val="en-US" w:eastAsia="en-US"/>
        </w:rPr>
      </w:pPr>
      <w:r w:rsidRPr="00D60C70">
        <w:rPr>
          <w:rFonts w:eastAsia="MS Mincho"/>
          <w:lang w:val="en-US" w:eastAsia="en-US"/>
        </w:rPr>
        <w:t>●</w:t>
      </w:r>
      <w:r w:rsidR="00152DEA" w:rsidRPr="00D60C70">
        <w:rPr>
          <w:rFonts w:eastAsia="MS Mincho"/>
          <w:lang w:val="en-US" w:eastAsia="en-US"/>
        </w:rPr>
        <w:t>Asistenţă medicală -sprijinirea victimelor violenţei domestice in dobândirea vieţii independente</w:t>
      </w:r>
    </w:p>
    <w:p w:rsidR="00152DEA" w:rsidRPr="0042550A" w:rsidRDefault="00152DEA" w:rsidP="00A77970">
      <w:pPr>
        <w:contextualSpacing/>
        <w:jc w:val="both"/>
        <w:rPr>
          <w:rFonts w:eastAsia="MS Mincho"/>
          <w:lang w:val="en-US" w:eastAsia="en-US"/>
        </w:rPr>
      </w:pPr>
      <w:r w:rsidRPr="0042550A">
        <w:rPr>
          <w:rFonts w:eastAsia="MS Mincho"/>
          <w:lang w:val="en-US" w:eastAsia="en-US"/>
        </w:rPr>
        <w:t>Indicatori: 1 HCGMB</w:t>
      </w:r>
    </w:p>
    <w:p w:rsidR="00152DEA" w:rsidRPr="0042550A" w:rsidRDefault="00152DEA" w:rsidP="00A77970">
      <w:pPr>
        <w:contextualSpacing/>
        <w:jc w:val="both"/>
        <w:rPr>
          <w:rFonts w:eastAsia="MS Mincho"/>
          <w:i/>
          <w:lang w:val="en-US" w:eastAsia="en-US"/>
        </w:rPr>
      </w:pPr>
      <w:r w:rsidRPr="0042550A">
        <w:rPr>
          <w:rFonts w:eastAsia="MS Mincho"/>
          <w:lang w:val="en-US" w:eastAsia="en-US"/>
        </w:rPr>
        <w:tab/>
      </w:r>
      <w:r w:rsidRPr="0042550A">
        <w:rPr>
          <w:rFonts w:eastAsia="MS Mincho"/>
          <w:i/>
          <w:lang w:val="en-US" w:eastAsia="en-US"/>
        </w:rPr>
        <w:t>HCGMB 182 din 18.05.201 7, proiect ,, Stop violenţei"</w:t>
      </w:r>
    </w:p>
    <w:p w:rsidR="00152DEA" w:rsidRPr="00D60C70" w:rsidRDefault="0042550A" w:rsidP="00A77970">
      <w:pPr>
        <w:contextualSpacing/>
        <w:jc w:val="both"/>
        <w:rPr>
          <w:rFonts w:eastAsia="MS Mincho"/>
          <w:lang w:val="en-US" w:eastAsia="en-US"/>
        </w:rPr>
      </w:pPr>
      <w:r w:rsidRPr="00D60C70">
        <w:rPr>
          <w:rFonts w:eastAsia="MS Mincho"/>
          <w:lang w:val="en-US" w:eastAsia="en-US"/>
        </w:rPr>
        <w:t>●</w:t>
      </w:r>
      <w:r w:rsidR="00152DEA" w:rsidRPr="00D60C70">
        <w:rPr>
          <w:rFonts w:eastAsia="MS Mincho"/>
          <w:lang w:val="en-US" w:eastAsia="en-US"/>
        </w:rPr>
        <w:t>Creşterea numărului beneficiarilor serviciilor de spălătorie socială</w:t>
      </w:r>
    </w:p>
    <w:p w:rsidR="00152DEA" w:rsidRPr="0042550A" w:rsidRDefault="00152DEA" w:rsidP="00A77970">
      <w:pPr>
        <w:contextualSpacing/>
        <w:jc w:val="both"/>
        <w:rPr>
          <w:rFonts w:eastAsia="MS Mincho"/>
          <w:lang w:val="en-US" w:eastAsia="en-US"/>
        </w:rPr>
      </w:pPr>
      <w:r w:rsidRPr="0042550A">
        <w:rPr>
          <w:rFonts w:eastAsia="MS Mincho"/>
          <w:lang w:val="en-US" w:eastAsia="en-US"/>
        </w:rPr>
        <w:t>◊Indicatori: creşterea cu 10% a beneficiarilor serviciilor de spălătorie socială</w:t>
      </w:r>
    </w:p>
    <w:p w:rsidR="00152DEA" w:rsidRPr="00D60C70" w:rsidRDefault="0042550A" w:rsidP="00A77970">
      <w:pPr>
        <w:contextualSpacing/>
        <w:jc w:val="both"/>
        <w:rPr>
          <w:rFonts w:eastAsia="MS Mincho"/>
          <w:lang w:val="en-US" w:eastAsia="en-US"/>
        </w:rPr>
      </w:pPr>
      <w:r w:rsidRPr="00D60C70">
        <w:rPr>
          <w:rFonts w:eastAsia="MS Mincho"/>
          <w:lang w:val="en-US" w:eastAsia="en-US"/>
        </w:rPr>
        <w:t>●</w:t>
      </w:r>
      <w:r w:rsidR="00152DEA" w:rsidRPr="00D60C70">
        <w:rPr>
          <w:rFonts w:eastAsia="MS Mincho"/>
          <w:lang w:val="en-US" w:eastAsia="en-US"/>
        </w:rPr>
        <w:t>Creşterea cu 10% a numărului beneficiarilor serviciilor de sănătate din cadrul Policlinicilor</w:t>
      </w:r>
      <w:r w:rsidR="00152DEA" w:rsidRPr="0042550A">
        <w:rPr>
          <w:rFonts w:eastAsia="MS Mincho"/>
          <w:b/>
          <w:lang w:val="en-US" w:eastAsia="en-US"/>
        </w:rPr>
        <w:t xml:space="preserve"> </w:t>
      </w:r>
      <w:r w:rsidR="00152DEA" w:rsidRPr="00D60C70">
        <w:rPr>
          <w:rFonts w:eastAsia="MS Mincho"/>
          <w:lang w:val="en-US" w:eastAsia="en-US"/>
        </w:rPr>
        <w:t>sociale</w:t>
      </w:r>
    </w:p>
    <w:p w:rsidR="00152DEA" w:rsidRPr="0042550A" w:rsidRDefault="00152DEA" w:rsidP="00A77970">
      <w:pPr>
        <w:contextualSpacing/>
        <w:jc w:val="both"/>
        <w:rPr>
          <w:rFonts w:eastAsia="MS Mincho"/>
          <w:lang w:val="en-US" w:eastAsia="en-US"/>
        </w:rPr>
      </w:pPr>
      <w:r w:rsidRPr="0042550A">
        <w:rPr>
          <w:rFonts w:eastAsia="MS Mincho"/>
          <w:lang w:val="en-US" w:eastAsia="en-US"/>
        </w:rPr>
        <w:t>◊Indicatori: creşterea cu 10% a beneficiarilor serviciilor de sănătate</w:t>
      </w:r>
    </w:p>
    <w:p w:rsidR="00152DEA" w:rsidRPr="00D60C70" w:rsidRDefault="0042550A" w:rsidP="00A77970">
      <w:pPr>
        <w:contextualSpacing/>
        <w:jc w:val="both"/>
        <w:rPr>
          <w:rFonts w:eastAsia="MS Mincho"/>
          <w:lang w:val="en-US" w:eastAsia="en-US"/>
        </w:rPr>
      </w:pPr>
      <w:r w:rsidRPr="00D60C70">
        <w:rPr>
          <w:rFonts w:eastAsia="MS Mincho"/>
          <w:lang w:val="en-US" w:eastAsia="en-US"/>
        </w:rPr>
        <w:t>●</w:t>
      </w:r>
      <w:r w:rsidR="00152DEA" w:rsidRPr="00D60C70">
        <w:rPr>
          <w:rFonts w:eastAsia="MS Mincho"/>
          <w:lang w:val="en-US" w:eastAsia="en-US"/>
        </w:rPr>
        <w:t>Creşterea calităţii vieţii persoanelor adulte cu handicap rezidente in C.I.A. Schitul Darvari prin accesul la servicii de ingrijre socio-medicală de calitate</w:t>
      </w:r>
    </w:p>
    <w:p w:rsidR="00284A40" w:rsidRDefault="00152DEA" w:rsidP="00A77970">
      <w:pPr>
        <w:contextualSpacing/>
        <w:jc w:val="both"/>
        <w:rPr>
          <w:rFonts w:eastAsia="MS Mincho"/>
          <w:lang w:val="en-US" w:eastAsia="en-US"/>
        </w:rPr>
      </w:pPr>
      <w:r w:rsidRPr="0042550A">
        <w:rPr>
          <w:rFonts w:eastAsia="MS Mincho"/>
          <w:lang w:val="en-US" w:eastAsia="en-US"/>
        </w:rPr>
        <w:t>◊Indicatori: 22 beneficiari</w:t>
      </w:r>
    </w:p>
    <w:p w:rsidR="007218B3" w:rsidRPr="0042550A" w:rsidRDefault="007218B3" w:rsidP="00A77970">
      <w:pPr>
        <w:contextualSpacing/>
        <w:jc w:val="both"/>
        <w:rPr>
          <w:rFonts w:eastAsia="MS Mincho"/>
          <w:lang w:val="en-US" w:eastAsia="en-US"/>
        </w:rPr>
      </w:pPr>
    </w:p>
    <w:p w:rsidR="00152DEA" w:rsidRPr="0042550A" w:rsidRDefault="0042550A" w:rsidP="00A77970">
      <w:pPr>
        <w:contextualSpacing/>
        <w:jc w:val="both"/>
        <w:rPr>
          <w:rFonts w:eastAsia="MS Mincho"/>
          <w:b/>
          <w:lang w:val="en-US" w:eastAsia="en-US"/>
        </w:rPr>
      </w:pPr>
      <w:r>
        <w:rPr>
          <w:rFonts w:eastAsia="MS Mincho"/>
          <w:b/>
          <w:lang w:val="en-US" w:eastAsia="en-US"/>
        </w:rPr>
        <w:t>○</w:t>
      </w:r>
      <w:r w:rsidR="00152DEA" w:rsidRPr="0042550A">
        <w:rPr>
          <w:rFonts w:eastAsia="MS Mincho"/>
          <w:b/>
          <w:lang w:val="en-US" w:eastAsia="en-US"/>
        </w:rPr>
        <w:t>Obiectivul: Servicii sociale destinate protecţiei persoanelor fără adăpost din municipiul Bucureşti</w:t>
      </w:r>
    </w:p>
    <w:p w:rsidR="00152DEA" w:rsidRPr="00D60C70" w:rsidRDefault="0042550A" w:rsidP="00A77970">
      <w:pPr>
        <w:contextualSpacing/>
        <w:jc w:val="both"/>
        <w:rPr>
          <w:rFonts w:eastAsia="MS Mincho"/>
          <w:lang w:val="en-US" w:eastAsia="en-US"/>
        </w:rPr>
      </w:pPr>
      <w:r w:rsidRPr="00D60C70">
        <w:rPr>
          <w:rFonts w:eastAsia="MS Mincho"/>
          <w:lang w:val="en-US" w:eastAsia="en-US"/>
        </w:rPr>
        <w:t>●</w:t>
      </w:r>
      <w:r w:rsidR="00152DEA" w:rsidRPr="00D60C70">
        <w:rPr>
          <w:rFonts w:eastAsia="MS Mincho"/>
          <w:lang w:val="en-US" w:eastAsia="en-US"/>
        </w:rPr>
        <w:t>Reducerea numărului de persoane adulte fără adăpost prin asigurarea găzduirii in sistem rezidenţial</w:t>
      </w:r>
    </w:p>
    <w:p w:rsidR="00152DEA" w:rsidRPr="0042550A" w:rsidRDefault="00152DEA" w:rsidP="00A77970">
      <w:pPr>
        <w:contextualSpacing/>
        <w:jc w:val="both"/>
        <w:rPr>
          <w:rFonts w:eastAsia="MS Mincho"/>
          <w:lang w:val="en-US" w:eastAsia="en-US"/>
        </w:rPr>
      </w:pPr>
      <w:r w:rsidRPr="0042550A">
        <w:rPr>
          <w:rFonts w:eastAsia="MS Mincho"/>
          <w:lang w:val="en-US" w:eastAsia="en-US"/>
        </w:rPr>
        <w:t>◊Indicatori: pentru cel puţin 100 persoane/an</w:t>
      </w:r>
    </w:p>
    <w:p w:rsidR="00152DEA" w:rsidRPr="00D60C70" w:rsidRDefault="0042550A" w:rsidP="00A77970">
      <w:pPr>
        <w:contextualSpacing/>
        <w:jc w:val="both"/>
        <w:rPr>
          <w:rFonts w:eastAsia="MS Mincho"/>
          <w:lang w:val="en-US" w:eastAsia="en-US"/>
        </w:rPr>
      </w:pPr>
      <w:r w:rsidRPr="00D60C70">
        <w:rPr>
          <w:rFonts w:eastAsia="MS Mincho"/>
          <w:lang w:val="en-US" w:eastAsia="en-US"/>
        </w:rPr>
        <w:t>●</w:t>
      </w:r>
      <w:r w:rsidR="00152DEA" w:rsidRPr="00D60C70">
        <w:rPr>
          <w:rFonts w:eastAsia="MS Mincho"/>
          <w:lang w:val="en-US" w:eastAsia="en-US"/>
        </w:rPr>
        <w:t>Protecţia PAFA pe raza municipiului Bucureşti;</w:t>
      </w:r>
    </w:p>
    <w:p w:rsidR="00152DEA" w:rsidRPr="0042550A" w:rsidRDefault="00152DEA" w:rsidP="00A77970">
      <w:pPr>
        <w:contextualSpacing/>
        <w:jc w:val="both"/>
        <w:rPr>
          <w:rFonts w:eastAsia="MS Mincho"/>
          <w:lang w:val="en-US" w:eastAsia="en-US"/>
        </w:rPr>
      </w:pPr>
      <w:r w:rsidRPr="0042550A">
        <w:rPr>
          <w:rFonts w:eastAsia="MS Mincho"/>
          <w:lang w:val="en-US" w:eastAsia="en-US"/>
        </w:rPr>
        <w:t>a) amenajarea spaţii de primire la nivelul fiecărui sector care nu are organizat adăpost de noapte (sectoarele 4, 5, 6);</w:t>
      </w:r>
      <w:r w:rsidR="0042550A">
        <w:rPr>
          <w:rFonts w:eastAsia="MS Mincho"/>
          <w:lang w:val="en-US" w:eastAsia="en-US"/>
        </w:rPr>
        <w:t xml:space="preserve"> </w:t>
      </w:r>
      <w:r w:rsidRPr="0042550A">
        <w:rPr>
          <w:rFonts w:eastAsia="MS Mincho"/>
          <w:lang w:val="en-US" w:eastAsia="en-US"/>
        </w:rPr>
        <w:t>◊ Indicatori: de minim 20 persoane</w:t>
      </w:r>
    </w:p>
    <w:p w:rsidR="00152DEA" w:rsidRPr="0042550A" w:rsidRDefault="00152DEA" w:rsidP="00A77970">
      <w:pPr>
        <w:contextualSpacing/>
        <w:jc w:val="both"/>
        <w:rPr>
          <w:rFonts w:eastAsia="MS Mincho"/>
          <w:lang w:val="en-US" w:eastAsia="en-US"/>
        </w:rPr>
      </w:pPr>
      <w:r w:rsidRPr="0042550A">
        <w:rPr>
          <w:rFonts w:eastAsia="MS Mincho"/>
          <w:lang w:val="en-US" w:eastAsia="en-US"/>
        </w:rPr>
        <w:t>b) amenajarea unui spaţiu temporar de primire in unităţi locative tip container pentru persoane care nu au domiciliul in Bucureşti;</w:t>
      </w:r>
      <w:r w:rsidR="0042550A">
        <w:rPr>
          <w:rFonts w:eastAsia="MS Mincho"/>
          <w:lang w:val="en-US" w:eastAsia="en-US"/>
        </w:rPr>
        <w:t xml:space="preserve"> </w:t>
      </w:r>
      <w:r w:rsidRPr="0042550A">
        <w:rPr>
          <w:rFonts w:eastAsia="MS Mincho"/>
          <w:lang w:val="en-US" w:eastAsia="en-US"/>
        </w:rPr>
        <w:t>◊ Indicatori: de minim 20 containere</w:t>
      </w:r>
    </w:p>
    <w:p w:rsidR="00152DEA" w:rsidRPr="0042550A" w:rsidRDefault="00152DEA" w:rsidP="00A77970">
      <w:pPr>
        <w:contextualSpacing/>
        <w:jc w:val="both"/>
        <w:rPr>
          <w:rFonts w:eastAsia="MS Mincho"/>
          <w:lang w:val="en-US" w:eastAsia="en-US"/>
        </w:rPr>
      </w:pPr>
      <w:r w:rsidRPr="0042550A">
        <w:rPr>
          <w:rFonts w:eastAsia="MS Mincho"/>
          <w:lang w:val="en-US" w:eastAsia="en-US"/>
        </w:rPr>
        <w:t>c) Asigurarea de pături in unităţi medicale pentru ingrijiri medicale;</w:t>
      </w:r>
      <w:r w:rsidR="0042550A">
        <w:rPr>
          <w:rFonts w:eastAsia="MS Mincho"/>
          <w:lang w:val="en-US" w:eastAsia="en-US"/>
        </w:rPr>
        <w:t xml:space="preserve"> </w:t>
      </w:r>
      <w:r w:rsidRPr="0042550A">
        <w:rPr>
          <w:rFonts w:eastAsia="MS Mincho"/>
          <w:lang w:val="en-US" w:eastAsia="en-US"/>
        </w:rPr>
        <w:t>◊ Indicatori: minim 10 paturi</w:t>
      </w:r>
    </w:p>
    <w:p w:rsidR="00152DEA" w:rsidRPr="0042550A" w:rsidRDefault="00152DEA" w:rsidP="00A77970">
      <w:pPr>
        <w:contextualSpacing/>
        <w:jc w:val="both"/>
        <w:rPr>
          <w:rFonts w:eastAsia="MS Mincho"/>
          <w:lang w:val="en-US" w:eastAsia="en-US"/>
        </w:rPr>
      </w:pPr>
      <w:r w:rsidRPr="0042550A">
        <w:rPr>
          <w:rFonts w:eastAsia="MS Mincho"/>
          <w:lang w:val="en-US" w:eastAsia="en-US"/>
        </w:rPr>
        <w:t>d) desemnarea unei secţii de chirurgie pentru urmărirea post-operatorie a amputaţiilor;</w:t>
      </w:r>
      <w:r w:rsidR="0042550A">
        <w:rPr>
          <w:rFonts w:eastAsia="MS Mincho"/>
          <w:lang w:val="en-US" w:eastAsia="en-US"/>
        </w:rPr>
        <w:t xml:space="preserve"> </w:t>
      </w:r>
      <w:r w:rsidRPr="0042550A">
        <w:rPr>
          <w:rFonts w:eastAsia="MS Mincho"/>
          <w:lang w:val="en-US" w:eastAsia="en-US"/>
        </w:rPr>
        <w:t>◊ Indicatori: 1 secţie de chirurgie</w:t>
      </w:r>
    </w:p>
    <w:p w:rsidR="00152DEA" w:rsidRPr="0042550A" w:rsidRDefault="00152DEA" w:rsidP="00A77970">
      <w:pPr>
        <w:contextualSpacing/>
        <w:jc w:val="both"/>
        <w:rPr>
          <w:rFonts w:eastAsia="MS Mincho"/>
          <w:lang w:val="en-US" w:eastAsia="en-US"/>
        </w:rPr>
      </w:pPr>
      <w:r w:rsidRPr="0042550A">
        <w:rPr>
          <w:rFonts w:eastAsia="MS Mincho"/>
          <w:lang w:val="en-US" w:eastAsia="en-US"/>
        </w:rPr>
        <w:t>e) desemnarea unei secţii de dermatologie pentru tratamentul afecţiunilor dermato-venerice;</w:t>
      </w:r>
      <w:r w:rsidR="0042550A">
        <w:rPr>
          <w:rFonts w:eastAsia="MS Mincho"/>
          <w:lang w:val="en-US" w:eastAsia="en-US"/>
        </w:rPr>
        <w:t xml:space="preserve"> </w:t>
      </w:r>
      <w:r w:rsidR="0042550A" w:rsidRPr="0042550A">
        <w:rPr>
          <w:rFonts w:eastAsia="MS Mincho"/>
          <w:lang w:val="en-US" w:eastAsia="en-US"/>
        </w:rPr>
        <w:t>◊</w:t>
      </w:r>
      <w:r w:rsidRPr="0042550A">
        <w:rPr>
          <w:rFonts w:eastAsia="MS Mincho"/>
          <w:lang w:val="en-US" w:eastAsia="en-US"/>
        </w:rPr>
        <w:t>Indicatori: 1 secţie de dermatologie</w:t>
      </w:r>
    </w:p>
    <w:p w:rsidR="00152DEA" w:rsidRPr="0042550A" w:rsidRDefault="00152DEA" w:rsidP="00A77970">
      <w:pPr>
        <w:contextualSpacing/>
        <w:jc w:val="both"/>
        <w:rPr>
          <w:rFonts w:eastAsia="MS Mincho"/>
          <w:lang w:val="en-US" w:eastAsia="en-US"/>
        </w:rPr>
      </w:pPr>
      <w:r w:rsidRPr="0042550A">
        <w:rPr>
          <w:rFonts w:eastAsia="MS Mincho"/>
          <w:lang w:val="en-US" w:eastAsia="en-US"/>
        </w:rPr>
        <w:t>f) incheierea de protocoale de colaborare cu ONG pentru ingrijiri la domiciliu (suplimentarea ingrijirilor in adăposturi), pentru TBC, pentru cazuri cu afecţiuni psihiatrice şi dependenţe care nu pot fi adăpostite in centre;</w:t>
      </w:r>
      <w:r w:rsidR="0042550A">
        <w:rPr>
          <w:rFonts w:eastAsia="MS Mincho"/>
          <w:lang w:val="en-US" w:eastAsia="en-US"/>
        </w:rPr>
        <w:t xml:space="preserve"> </w:t>
      </w:r>
      <w:r w:rsidRPr="0042550A">
        <w:rPr>
          <w:rFonts w:eastAsia="MS Mincho"/>
          <w:lang w:val="en-US" w:eastAsia="en-US"/>
        </w:rPr>
        <w:t>◊ Indicatori: protocoale de colaborare</w:t>
      </w:r>
    </w:p>
    <w:p w:rsidR="00152DEA" w:rsidRPr="0042550A" w:rsidRDefault="00152DEA" w:rsidP="00A77970">
      <w:pPr>
        <w:contextualSpacing/>
        <w:jc w:val="both"/>
        <w:rPr>
          <w:rFonts w:eastAsia="MS Mincho"/>
          <w:lang w:val="en-US" w:eastAsia="en-US"/>
        </w:rPr>
      </w:pPr>
      <w:r w:rsidRPr="0042550A">
        <w:rPr>
          <w:rFonts w:eastAsia="MS Mincho"/>
          <w:lang w:val="en-US" w:eastAsia="en-US"/>
        </w:rPr>
        <w:t>g) activarea echipelor mobile de identificare şi transport către centre ale PAFA;</w:t>
      </w:r>
      <w:r w:rsidR="0042550A">
        <w:rPr>
          <w:rFonts w:eastAsia="MS Mincho"/>
          <w:lang w:val="en-US" w:eastAsia="en-US"/>
        </w:rPr>
        <w:t xml:space="preserve"> </w:t>
      </w:r>
      <w:r w:rsidRPr="0042550A">
        <w:rPr>
          <w:rFonts w:eastAsia="MS Mincho"/>
          <w:lang w:val="en-US" w:eastAsia="en-US"/>
        </w:rPr>
        <w:t>◊ Indicatori: 1 echipă mobilă</w:t>
      </w:r>
    </w:p>
    <w:p w:rsidR="00152DEA" w:rsidRPr="0042550A" w:rsidRDefault="00152DEA" w:rsidP="00A77970">
      <w:pPr>
        <w:contextualSpacing/>
        <w:jc w:val="both"/>
        <w:rPr>
          <w:rFonts w:eastAsia="MS Mincho"/>
          <w:lang w:val="en-US" w:eastAsia="en-US"/>
        </w:rPr>
      </w:pPr>
      <w:r w:rsidRPr="0042550A">
        <w:rPr>
          <w:rFonts w:eastAsia="MS Mincho"/>
          <w:lang w:val="en-US" w:eastAsia="en-US"/>
        </w:rPr>
        <w:t>h) implementarea programului de asistenţi stradali pentru PAFA care refuză adăpostirea;</w:t>
      </w:r>
      <w:r w:rsidR="0042550A">
        <w:rPr>
          <w:rFonts w:eastAsia="MS Mincho"/>
          <w:lang w:val="en-US" w:eastAsia="en-US"/>
        </w:rPr>
        <w:t xml:space="preserve"> </w:t>
      </w:r>
      <w:r w:rsidRPr="0042550A">
        <w:rPr>
          <w:rFonts w:eastAsia="MS Mincho"/>
          <w:lang w:val="en-US" w:eastAsia="en-US"/>
        </w:rPr>
        <w:t>◊ Indicatori: 1 program de asistenţi stradali</w:t>
      </w:r>
    </w:p>
    <w:p w:rsidR="005501D5" w:rsidRPr="000B0FD5" w:rsidRDefault="00152DEA" w:rsidP="00A77970">
      <w:pPr>
        <w:contextualSpacing/>
        <w:jc w:val="both"/>
        <w:rPr>
          <w:rFonts w:eastAsia="MS Mincho"/>
          <w:lang w:val="en-US" w:eastAsia="en-US"/>
        </w:rPr>
      </w:pPr>
      <w:r w:rsidRPr="0042550A">
        <w:rPr>
          <w:rFonts w:eastAsia="MS Mincho"/>
          <w:lang w:val="en-US" w:eastAsia="en-US"/>
        </w:rPr>
        <w:t>i) mediere pentru angajarea PAFA in structurile de economie socială din capitală sau operatori economici.</w:t>
      </w:r>
      <w:r w:rsidR="0042550A">
        <w:rPr>
          <w:rFonts w:eastAsia="MS Mincho"/>
          <w:lang w:val="en-US" w:eastAsia="en-US"/>
        </w:rPr>
        <w:t xml:space="preserve"> </w:t>
      </w:r>
      <w:r w:rsidRPr="0042550A">
        <w:rPr>
          <w:rFonts w:eastAsia="MS Mincho"/>
          <w:lang w:val="en-US" w:eastAsia="en-US"/>
        </w:rPr>
        <w:t>◊</w:t>
      </w:r>
      <w:r w:rsidR="000B0FD5">
        <w:rPr>
          <w:rFonts w:eastAsia="MS Mincho"/>
          <w:lang w:val="en-US" w:eastAsia="en-US"/>
        </w:rPr>
        <w:t xml:space="preserve"> Indicatori: nr. PAFA angajaţi</w:t>
      </w:r>
    </w:p>
    <w:p w:rsidR="0014428E" w:rsidRDefault="0014428E" w:rsidP="00A77970">
      <w:pPr>
        <w:jc w:val="both"/>
        <w:rPr>
          <w:b/>
        </w:rPr>
      </w:pPr>
    </w:p>
    <w:p w:rsidR="006A6D3C" w:rsidRPr="001E2B78" w:rsidRDefault="0014428E" w:rsidP="00A77970">
      <w:pPr>
        <w:jc w:val="both"/>
        <w:rPr>
          <w:b/>
        </w:rPr>
      </w:pPr>
      <w:r w:rsidRPr="001E2B78">
        <w:rPr>
          <w:b/>
          <w:kern w:val="28"/>
          <w:lang w:val="en-US" w:eastAsia="en-US"/>
        </w:rPr>
        <w:t xml:space="preserve">Principalele realizări ale </w:t>
      </w:r>
      <w:r w:rsidRPr="001E2B78">
        <w:rPr>
          <w:b/>
        </w:rPr>
        <w:t xml:space="preserve">Agenției pentru Plăți și Inspecție Socială a Municipiului București </w:t>
      </w:r>
      <w:r w:rsidR="00D60C70" w:rsidRPr="001E2B78">
        <w:rPr>
          <w:b/>
        </w:rPr>
        <w:t>(A.P.I.S.M.B.)</w:t>
      </w:r>
    </w:p>
    <w:p w:rsidR="00551642" w:rsidRDefault="00551642" w:rsidP="00551642">
      <w:pPr>
        <w:tabs>
          <w:tab w:val="left" w:pos="284"/>
        </w:tabs>
        <w:contextualSpacing/>
        <w:jc w:val="both"/>
        <w:rPr>
          <w:color w:val="000000"/>
          <w:lang w:eastAsia="en-US"/>
        </w:rPr>
      </w:pPr>
    </w:p>
    <w:p w:rsidR="00551642" w:rsidRPr="00551642" w:rsidRDefault="00551642" w:rsidP="00551642">
      <w:pPr>
        <w:tabs>
          <w:tab w:val="left" w:pos="284"/>
        </w:tabs>
        <w:contextualSpacing/>
        <w:jc w:val="both"/>
        <w:rPr>
          <w:b/>
          <w:color w:val="FF0000"/>
          <w:lang w:eastAsia="en-US"/>
        </w:rPr>
      </w:pPr>
      <w:r>
        <w:rPr>
          <w:color w:val="000000"/>
          <w:lang w:eastAsia="en-US"/>
        </w:rPr>
        <w:tab/>
      </w:r>
      <w:r>
        <w:rPr>
          <w:color w:val="000000"/>
          <w:lang w:eastAsia="en-US"/>
        </w:rPr>
        <w:tab/>
      </w:r>
      <w:r w:rsidRPr="00551642">
        <w:rPr>
          <w:color w:val="000000"/>
          <w:lang w:eastAsia="en-US"/>
        </w:rPr>
        <w:t xml:space="preserve">La nivelul Agenţiei pentru Plăţi şi Inspecţie Socială a Municipiului Bucureşti, în anul 2018,  s-a alocat de la bugetul de stat, sub forma beneficiilor de asistenţă socială şi a subvenţiilor pentru asociaţii şi fundaţii, suma de </w:t>
      </w:r>
      <w:r w:rsidRPr="00551642">
        <w:rPr>
          <w:b/>
          <w:lang w:eastAsia="en-US"/>
        </w:rPr>
        <w:t>1.688.889.288 lei.</w:t>
      </w:r>
    </w:p>
    <w:p w:rsidR="00551642" w:rsidRPr="00551642" w:rsidRDefault="00551642" w:rsidP="00551642">
      <w:pPr>
        <w:tabs>
          <w:tab w:val="left" w:pos="0"/>
          <w:tab w:val="left" w:pos="284"/>
        </w:tabs>
        <w:jc w:val="both"/>
        <w:rPr>
          <w:rFonts w:eastAsia="MS Mincho"/>
          <w:color w:val="000000"/>
          <w:lang w:eastAsia="en-US"/>
        </w:rPr>
      </w:pPr>
      <w:r>
        <w:rPr>
          <w:rFonts w:eastAsia="MS Mincho"/>
          <w:i/>
          <w:color w:val="000000"/>
          <w:lang w:eastAsia="en-US"/>
        </w:rPr>
        <w:tab/>
      </w:r>
      <w:r>
        <w:rPr>
          <w:rFonts w:eastAsia="MS Mincho"/>
          <w:i/>
          <w:color w:val="000000"/>
          <w:lang w:eastAsia="en-US"/>
        </w:rPr>
        <w:tab/>
      </w:r>
      <w:r w:rsidRPr="00551642">
        <w:rPr>
          <w:rFonts w:eastAsia="MS Mincho"/>
          <w:i/>
          <w:color w:val="000000"/>
          <w:lang w:eastAsia="en-US"/>
        </w:rPr>
        <w:t>Pe tipuri de beneficii de asistenţă socială, situaţia plăţilor şi a numărului de beneficiari a fost următoarea</w:t>
      </w:r>
      <w:r w:rsidRPr="00551642">
        <w:rPr>
          <w:rFonts w:eastAsia="MS Mincho"/>
          <w:color w:val="000000"/>
          <w:lang w:eastAsia="en-US"/>
        </w:rPr>
        <w:t>:</w:t>
      </w:r>
    </w:p>
    <w:p w:rsidR="00551642" w:rsidRPr="00551642" w:rsidRDefault="00551642" w:rsidP="00980D72">
      <w:pPr>
        <w:numPr>
          <w:ilvl w:val="0"/>
          <w:numId w:val="40"/>
        </w:numPr>
        <w:tabs>
          <w:tab w:val="left" w:pos="284"/>
          <w:tab w:val="left" w:pos="990"/>
          <w:tab w:val="left" w:pos="1080"/>
        </w:tabs>
        <w:ind w:left="0" w:firstLine="0"/>
        <w:contextualSpacing/>
        <w:jc w:val="both"/>
        <w:rPr>
          <w:lang w:eastAsia="en-US"/>
        </w:rPr>
      </w:pPr>
      <w:r w:rsidRPr="00551642">
        <w:rPr>
          <w:color w:val="000000"/>
          <w:lang w:eastAsia="en-US"/>
        </w:rPr>
        <w:t xml:space="preserve">alocaţia de stat pentru copii – pentru un număr mediu lunar de </w:t>
      </w:r>
      <w:r w:rsidRPr="00551642">
        <w:rPr>
          <w:b/>
          <w:lang w:eastAsia="en-US"/>
        </w:rPr>
        <w:t xml:space="preserve">322.797 </w:t>
      </w:r>
      <w:r w:rsidRPr="00551642">
        <w:rPr>
          <w:lang w:eastAsia="en-US"/>
        </w:rPr>
        <w:t xml:space="preserve">copii, a fost plătită suma de  </w:t>
      </w:r>
      <w:r w:rsidRPr="00551642">
        <w:rPr>
          <w:b/>
          <w:lang w:eastAsia="en-US"/>
        </w:rPr>
        <w:t>99.022.140</w:t>
      </w:r>
      <w:r w:rsidRPr="00551642">
        <w:rPr>
          <w:lang w:eastAsia="en-US"/>
        </w:rPr>
        <w:t xml:space="preserve">lei; </w:t>
      </w:r>
    </w:p>
    <w:p w:rsidR="00551642" w:rsidRPr="00551642" w:rsidRDefault="00551642" w:rsidP="00980D72">
      <w:pPr>
        <w:numPr>
          <w:ilvl w:val="0"/>
          <w:numId w:val="40"/>
        </w:numPr>
        <w:tabs>
          <w:tab w:val="left" w:pos="284"/>
          <w:tab w:val="left" w:pos="990"/>
          <w:tab w:val="left" w:pos="1080"/>
        </w:tabs>
        <w:ind w:left="0" w:firstLine="0"/>
        <w:contextualSpacing/>
        <w:jc w:val="both"/>
        <w:rPr>
          <w:lang w:eastAsia="en-US"/>
        </w:rPr>
      </w:pPr>
      <w:r w:rsidRPr="00551642">
        <w:rPr>
          <w:lang w:eastAsia="en-US"/>
        </w:rPr>
        <w:lastRenderedPageBreak/>
        <w:t xml:space="preserve">indemnizaţia pentru creşterea copilului OUG 148/2005– pentru un număr de </w:t>
      </w:r>
      <w:r w:rsidRPr="00551642">
        <w:rPr>
          <w:b/>
          <w:lang w:eastAsia="en-US"/>
        </w:rPr>
        <w:t xml:space="preserve">1 </w:t>
      </w:r>
      <w:r w:rsidRPr="00551642">
        <w:rPr>
          <w:lang w:eastAsia="en-US"/>
        </w:rPr>
        <w:t xml:space="preserve">beneficiar, a fost plătită suma </w:t>
      </w:r>
      <w:r w:rsidRPr="00551642">
        <w:rPr>
          <w:b/>
          <w:lang w:eastAsia="en-US"/>
        </w:rPr>
        <w:t>21.126lei</w:t>
      </w:r>
      <w:r w:rsidRPr="00551642">
        <w:rPr>
          <w:lang w:eastAsia="en-US"/>
        </w:rPr>
        <w:t>;</w:t>
      </w:r>
    </w:p>
    <w:p w:rsidR="00551642" w:rsidRPr="00551642" w:rsidRDefault="00551642" w:rsidP="00980D72">
      <w:pPr>
        <w:numPr>
          <w:ilvl w:val="0"/>
          <w:numId w:val="40"/>
        </w:numPr>
        <w:tabs>
          <w:tab w:val="left" w:pos="284"/>
          <w:tab w:val="left" w:pos="990"/>
          <w:tab w:val="left" w:pos="1080"/>
        </w:tabs>
        <w:ind w:left="0" w:firstLine="0"/>
        <w:contextualSpacing/>
        <w:jc w:val="both"/>
        <w:rPr>
          <w:lang w:eastAsia="en-US"/>
        </w:rPr>
      </w:pPr>
      <w:r w:rsidRPr="00551642">
        <w:rPr>
          <w:lang w:eastAsia="en-US"/>
        </w:rPr>
        <w:t xml:space="preserve">indemnizaţia pentru creşterea copilului OUG 111/2010 – pentru un număr mediu lunar de </w:t>
      </w:r>
      <w:r w:rsidRPr="00551642">
        <w:rPr>
          <w:b/>
          <w:lang w:eastAsia="en-US"/>
        </w:rPr>
        <w:t>24.867</w:t>
      </w:r>
      <w:r w:rsidRPr="00551642">
        <w:rPr>
          <w:lang w:eastAsia="en-US"/>
        </w:rPr>
        <w:t xml:space="preserve"> beneficiari, a fost plătită suma de </w:t>
      </w:r>
      <w:r w:rsidRPr="00551642">
        <w:rPr>
          <w:b/>
          <w:lang w:eastAsia="en-US"/>
        </w:rPr>
        <w:t>845.844.103</w:t>
      </w:r>
      <w:r w:rsidRPr="00551642">
        <w:rPr>
          <w:lang w:eastAsia="en-US"/>
        </w:rPr>
        <w:t xml:space="preserve"> lei;</w:t>
      </w:r>
    </w:p>
    <w:p w:rsidR="00551642" w:rsidRPr="00551642" w:rsidRDefault="00551642" w:rsidP="00980D72">
      <w:pPr>
        <w:numPr>
          <w:ilvl w:val="0"/>
          <w:numId w:val="40"/>
        </w:numPr>
        <w:tabs>
          <w:tab w:val="left" w:pos="284"/>
          <w:tab w:val="left" w:pos="990"/>
          <w:tab w:val="left" w:pos="1080"/>
        </w:tabs>
        <w:ind w:left="0" w:firstLine="0"/>
        <w:contextualSpacing/>
        <w:jc w:val="both"/>
        <w:rPr>
          <w:lang w:eastAsia="en-US"/>
        </w:rPr>
      </w:pPr>
      <w:r w:rsidRPr="00551642">
        <w:rPr>
          <w:lang w:eastAsia="en-US"/>
        </w:rPr>
        <w:t xml:space="preserve">stimulentul de inserţie – pentru un număr mediu lunar de </w:t>
      </w:r>
      <w:r w:rsidRPr="00551642">
        <w:rPr>
          <w:b/>
          <w:lang w:eastAsia="en-US"/>
        </w:rPr>
        <w:t>12.838</w:t>
      </w:r>
      <w:r w:rsidRPr="00551642">
        <w:rPr>
          <w:lang w:eastAsia="en-US"/>
        </w:rPr>
        <w:t xml:space="preserve"> beneficiari, a fost plătită suma de </w:t>
      </w:r>
      <w:r w:rsidRPr="00551642">
        <w:rPr>
          <w:b/>
          <w:lang w:eastAsia="en-US"/>
        </w:rPr>
        <w:t>97.385.741</w:t>
      </w:r>
      <w:r w:rsidRPr="00551642">
        <w:rPr>
          <w:lang w:eastAsia="en-US"/>
        </w:rPr>
        <w:t xml:space="preserve"> lei; </w:t>
      </w:r>
    </w:p>
    <w:p w:rsidR="00551642" w:rsidRPr="00551642" w:rsidRDefault="00551642" w:rsidP="00980D72">
      <w:pPr>
        <w:numPr>
          <w:ilvl w:val="0"/>
          <w:numId w:val="40"/>
        </w:numPr>
        <w:tabs>
          <w:tab w:val="left" w:pos="284"/>
          <w:tab w:val="left" w:pos="990"/>
          <w:tab w:val="left" w:pos="1080"/>
        </w:tabs>
        <w:ind w:left="0" w:firstLine="0"/>
        <w:contextualSpacing/>
        <w:jc w:val="both"/>
        <w:rPr>
          <w:lang w:eastAsia="en-US"/>
        </w:rPr>
      </w:pPr>
      <w:r w:rsidRPr="00551642">
        <w:rPr>
          <w:lang w:eastAsia="en-US"/>
        </w:rPr>
        <w:t xml:space="preserve">indemnizaţii şi sprijin lunar art. 31, 32 din OUG 111/2010 pentru un număr mediu lunar de </w:t>
      </w:r>
      <w:r w:rsidRPr="00551642">
        <w:rPr>
          <w:b/>
          <w:lang w:eastAsia="en-US"/>
        </w:rPr>
        <w:t>774</w:t>
      </w:r>
      <w:r w:rsidRPr="00551642">
        <w:rPr>
          <w:lang w:eastAsia="en-US"/>
        </w:rPr>
        <w:t xml:space="preserve"> beneficiari, a fost plătită suma de </w:t>
      </w:r>
      <w:r w:rsidRPr="00551642">
        <w:rPr>
          <w:b/>
          <w:lang w:eastAsia="en-US"/>
        </w:rPr>
        <w:t>8.276.193 lei</w:t>
      </w:r>
      <w:r w:rsidRPr="00551642">
        <w:rPr>
          <w:lang w:eastAsia="en-US"/>
        </w:rPr>
        <w:t>;</w:t>
      </w:r>
    </w:p>
    <w:p w:rsidR="00551642" w:rsidRPr="00551642" w:rsidRDefault="00551642" w:rsidP="00980D72">
      <w:pPr>
        <w:numPr>
          <w:ilvl w:val="0"/>
          <w:numId w:val="40"/>
        </w:numPr>
        <w:tabs>
          <w:tab w:val="left" w:pos="284"/>
          <w:tab w:val="left" w:pos="990"/>
          <w:tab w:val="left" w:pos="1080"/>
        </w:tabs>
        <w:ind w:left="0" w:firstLine="0"/>
        <w:contextualSpacing/>
        <w:jc w:val="both"/>
        <w:rPr>
          <w:lang w:eastAsia="en-US"/>
        </w:rPr>
      </w:pPr>
      <w:r w:rsidRPr="00551642">
        <w:rPr>
          <w:lang w:eastAsia="en-US"/>
        </w:rPr>
        <w:t xml:space="preserve">indemnizaţia lunară concediu în vederea adopţiei - pentru un număr mediu lunar de </w:t>
      </w:r>
      <w:r w:rsidRPr="00551642">
        <w:rPr>
          <w:b/>
          <w:lang w:eastAsia="en-US"/>
        </w:rPr>
        <w:t>47</w:t>
      </w:r>
      <w:r w:rsidRPr="00551642">
        <w:rPr>
          <w:lang w:eastAsia="en-US"/>
        </w:rPr>
        <w:t xml:space="preserve"> beneficiari, a fost plătită suma de </w:t>
      </w:r>
      <w:r w:rsidRPr="00551642">
        <w:rPr>
          <w:b/>
          <w:lang w:eastAsia="en-US"/>
        </w:rPr>
        <w:t>910.116</w:t>
      </w:r>
      <w:r w:rsidRPr="00551642">
        <w:rPr>
          <w:lang w:eastAsia="en-US"/>
        </w:rPr>
        <w:t xml:space="preserve"> lei;</w:t>
      </w:r>
    </w:p>
    <w:p w:rsidR="00551642" w:rsidRPr="00551642" w:rsidRDefault="00551642" w:rsidP="00980D72">
      <w:pPr>
        <w:numPr>
          <w:ilvl w:val="0"/>
          <w:numId w:val="40"/>
        </w:numPr>
        <w:tabs>
          <w:tab w:val="left" w:pos="284"/>
          <w:tab w:val="left" w:pos="990"/>
          <w:tab w:val="left" w:pos="1080"/>
        </w:tabs>
        <w:ind w:left="0" w:firstLine="0"/>
        <w:contextualSpacing/>
        <w:jc w:val="both"/>
        <w:rPr>
          <w:b/>
          <w:lang w:eastAsia="en-US"/>
        </w:rPr>
      </w:pPr>
      <w:r w:rsidRPr="00551642">
        <w:rPr>
          <w:lang w:eastAsia="en-US"/>
        </w:rPr>
        <w:t xml:space="preserve">alocaţia pentru susţinerea familiei - pentru un număr mediu lunar de </w:t>
      </w:r>
      <w:r w:rsidRPr="00551642">
        <w:rPr>
          <w:b/>
          <w:lang w:eastAsia="en-US"/>
        </w:rPr>
        <w:t>300</w:t>
      </w:r>
      <w:r w:rsidRPr="00551642">
        <w:rPr>
          <w:lang w:eastAsia="en-US"/>
        </w:rPr>
        <w:t xml:space="preserve"> familii ce au în întreţinere copii în vârstă de până la 18 ani, a fost plătită suma de </w:t>
      </w:r>
      <w:r w:rsidRPr="00551642">
        <w:rPr>
          <w:b/>
          <w:lang w:eastAsia="en-US"/>
        </w:rPr>
        <w:t>715.690lei</w:t>
      </w:r>
      <w:r w:rsidRPr="00551642">
        <w:rPr>
          <w:lang w:eastAsia="en-US"/>
        </w:rPr>
        <w:t xml:space="preserve">; </w:t>
      </w:r>
    </w:p>
    <w:p w:rsidR="00551642" w:rsidRPr="00551642" w:rsidRDefault="00551642" w:rsidP="00980D72">
      <w:pPr>
        <w:numPr>
          <w:ilvl w:val="0"/>
          <w:numId w:val="40"/>
        </w:numPr>
        <w:tabs>
          <w:tab w:val="left" w:pos="284"/>
          <w:tab w:val="left" w:pos="990"/>
          <w:tab w:val="left" w:pos="1080"/>
        </w:tabs>
        <w:ind w:left="0" w:firstLine="0"/>
        <w:contextualSpacing/>
        <w:jc w:val="both"/>
        <w:rPr>
          <w:lang w:eastAsia="en-US"/>
        </w:rPr>
      </w:pPr>
      <w:r w:rsidRPr="00551642">
        <w:rPr>
          <w:lang w:eastAsia="en-US"/>
        </w:rPr>
        <w:t xml:space="preserve">ajutorul social (venitul minim garantat) – pentru un număr mediu lunar de </w:t>
      </w:r>
      <w:r w:rsidRPr="00551642">
        <w:rPr>
          <w:b/>
          <w:lang w:eastAsia="en-US"/>
        </w:rPr>
        <w:t>263</w:t>
      </w:r>
      <w:r w:rsidRPr="00551642">
        <w:rPr>
          <w:lang w:eastAsia="en-US"/>
        </w:rPr>
        <w:t xml:space="preserve"> beneficiari a fost plătită suma de </w:t>
      </w:r>
      <w:r w:rsidRPr="00551642">
        <w:rPr>
          <w:b/>
          <w:lang w:eastAsia="en-US"/>
        </w:rPr>
        <w:t>629.636</w:t>
      </w:r>
      <w:r w:rsidRPr="00551642">
        <w:rPr>
          <w:lang w:eastAsia="en-US"/>
        </w:rPr>
        <w:t xml:space="preserve"> lei; </w:t>
      </w:r>
    </w:p>
    <w:p w:rsidR="00551642" w:rsidRPr="00551642" w:rsidRDefault="00551642" w:rsidP="00980D72">
      <w:pPr>
        <w:numPr>
          <w:ilvl w:val="0"/>
          <w:numId w:val="40"/>
        </w:numPr>
        <w:tabs>
          <w:tab w:val="left" w:pos="284"/>
          <w:tab w:val="left" w:pos="990"/>
          <w:tab w:val="left" w:pos="1080"/>
        </w:tabs>
        <w:ind w:left="0" w:firstLine="0"/>
        <w:contextualSpacing/>
        <w:jc w:val="both"/>
        <w:rPr>
          <w:b/>
          <w:lang w:eastAsia="en-US"/>
        </w:rPr>
      </w:pPr>
      <w:r w:rsidRPr="00551642">
        <w:rPr>
          <w:lang w:eastAsia="en-US"/>
        </w:rPr>
        <w:t xml:space="preserve">alocaţie de plasament - pentru un număr mediu lunar de </w:t>
      </w:r>
      <w:r w:rsidRPr="00551642">
        <w:rPr>
          <w:b/>
          <w:lang w:eastAsia="en-US"/>
        </w:rPr>
        <w:t>1.594</w:t>
      </w:r>
      <w:r w:rsidRPr="00551642">
        <w:rPr>
          <w:lang w:eastAsia="en-US"/>
        </w:rPr>
        <w:t xml:space="preserve"> beneficiari a fost plătită suma de </w:t>
      </w:r>
      <w:r w:rsidRPr="00551642">
        <w:rPr>
          <w:b/>
          <w:lang w:eastAsia="en-US"/>
        </w:rPr>
        <w:t>12.957.300</w:t>
      </w:r>
      <w:r w:rsidRPr="00551642">
        <w:rPr>
          <w:lang w:eastAsia="en-US"/>
        </w:rPr>
        <w:t xml:space="preserve"> lei; </w:t>
      </w:r>
    </w:p>
    <w:p w:rsidR="00551642" w:rsidRPr="00551642" w:rsidRDefault="00551642" w:rsidP="00980D72">
      <w:pPr>
        <w:numPr>
          <w:ilvl w:val="0"/>
          <w:numId w:val="40"/>
        </w:numPr>
        <w:tabs>
          <w:tab w:val="left" w:pos="284"/>
          <w:tab w:val="left" w:pos="990"/>
          <w:tab w:val="left" w:pos="1080"/>
        </w:tabs>
        <w:ind w:left="0" w:firstLine="0"/>
        <w:contextualSpacing/>
        <w:jc w:val="both"/>
        <w:rPr>
          <w:b/>
          <w:lang w:eastAsia="en-US"/>
        </w:rPr>
      </w:pPr>
      <w:r w:rsidRPr="00551642">
        <w:rPr>
          <w:lang w:eastAsia="en-US"/>
        </w:rPr>
        <w:t xml:space="preserve">indemnizaţie lunară de hrană - pentru un număr mediu lunar de </w:t>
      </w:r>
      <w:r w:rsidRPr="00551642">
        <w:rPr>
          <w:b/>
          <w:lang w:eastAsia="en-US"/>
        </w:rPr>
        <w:t>2.395</w:t>
      </w:r>
      <w:r w:rsidRPr="00551642">
        <w:rPr>
          <w:lang w:eastAsia="en-US"/>
        </w:rPr>
        <w:t xml:space="preserve"> beneficiari, a fost plătită suma de </w:t>
      </w:r>
      <w:r w:rsidRPr="00551642">
        <w:rPr>
          <w:b/>
          <w:lang w:eastAsia="en-US"/>
        </w:rPr>
        <w:t>14.184.527 lei</w:t>
      </w:r>
      <w:r w:rsidRPr="00551642">
        <w:rPr>
          <w:lang w:eastAsia="en-US"/>
        </w:rPr>
        <w:t>;</w:t>
      </w:r>
    </w:p>
    <w:p w:rsidR="00551642" w:rsidRPr="00551642" w:rsidRDefault="00551642" w:rsidP="00980D72">
      <w:pPr>
        <w:numPr>
          <w:ilvl w:val="0"/>
          <w:numId w:val="40"/>
        </w:numPr>
        <w:tabs>
          <w:tab w:val="left" w:pos="284"/>
          <w:tab w:val="left" w:pos="990"/>
          <w:tab w:val="left" w:pos="1080"/>
        </w:tabs>
        <w:ind w:left="0" w:firstLine="0"/>
        <w:contextualSpacing/>
        <w:jc w:val="both"/>
        <w:rPr>
          <w:b/>
          <w:lang w:eastAsia="en-US"/>
        </w:rPr>
      </w:pPr>
      <w:r w:rsidRPr="00551642">
        <w:rPr>
          <w:lang w:eastAsia="en-US"/>
        </w:rPr>
        <w:t xml:space="preserve">ajutor refugiaţi - pentru un număr mediu lunar de </w:t>
      </w:r>
      <w:r w:rsidRPr="00551642">
        <w:rPr>
          <w:b/>
          <w:lang w:eastAsia="en-US"/>
        </w:rPr>
        <w:t>181</w:t>
      </w:r>
      <w:r w:rsidRPr="00551642">
        <w:rPr>
          <w:lang w:eastAsia="en-US"/>
        </w:rPr>
        <w:t xml:space="preserve">beneficiari, a fost plătită suma de </w:t>
      </w:r>
      <w:r w:rsidRPr="00551642">
        <w:rPr>
          <w:b/>
          <w:lang w:eastAsia="en-US"/>
        </w:rPr>
        <w:t>914.760</w:t>
      </w:r>
      <w:r w:rsidRPr="00551642">
        <w:rPr>
          <w:lang w:eastAsia="en-US"/>
        </w:rPr>
        <w:t xml:space="preserve"> lei;</w:t>
      </w:r>
    </w:p>
    <w:p w:rsidR="00551642" w:rsidRPr="00551642" w:rsidRDefault="00551642" w:rsidP="00980D72">
      <w:pPr>
        <w:numPr>
          <w:ilvl w:val="0"/>
          <w:numId w:val="40"/>
        </w:numPr>
        <w:tabs>
          <w:tab w:val="left" w:pos="284"/>
          <w:tab w:val="left" w:pos="990"/>
          <w:tab w:val="left" w:pos="1080"/>
        </w:tabs>
        <w:ind w:left="0" w:firstLine="0"/>
        <w:contextualSpacing/>
        <w:jc w:val="both"/>
        <w:rPr>
          <w:b/>
          <w:lang w:eastAsia="en-US"/>
        </w:rPr>
      </w:pPr>
      <w:r w:rsidRPr="00551642">
        <w:rPr>
          <w:lang w:eastAsia="en-US"/>
        </w:rPr>
        <w:t xml:space="preserve">ajutorul pentru încălzirea locuinţei - pentru un număr mediu lunar de </w:t>
      </w:r>
      <w:r w:rsidRPr="00551642">
        <w:rPr>
          <w:b/>
          <w:lang w:eastAsia="en-US"/>
        </w:rPr>
        <w:t>2.326</w:t>
      </w:r>
      <w:r w:rsidRPr="00551642">
        <w:rPr>
          <w:lang w:eastAsia="en-US"/>
        </w:rPr>
        <w:t xml:space="preserve"> beneficiari a fost plătită suma de </w:t>
      </w:r>
      <w:r w:rsidRPr="00551642">
        <w:rPr>
          <w:b/>
          <w:lang w:eastAsia="en-US"/>
        </w:rPr>
        <w:t>1.070.184</w:t>
      </w:r>
      <w:r w:rsidRPr="00551642">
        <w:rPr>
          <w:lang w:eastAsia="en-US"/>
        </w:rPr>
        <w:t xml:space="preserve"> lei; </w:t>
      </w:r>
    </w:p>
    <w:p w:rsidR="00551642" w:rsidRPr="00551642" w:rsidRDefault="00551642" w:rsidP="00980D72">
      <w:pPr>
        <w:numPr>
          <w:ilvl w:val="0"/>
          <w:numId w:val="40"/>
        </w:numPr>
        <w:tabs>
          <w:tab w:val="left" w:pos="284"/>
          <w:tab w:val="left" w:pos="990"/>
          <w:tab w:val="left" w:pos="1080"/>
        </w:tabs>
        <w:ind w:left="0" w:firstLine="0"/>
        <w:contextualSpacing/>
        <w:jc w:val="both"/>
        <w:rPr>
          <w:b/>
          <w:color w:val="FF0000"/>
          <w:lang w:eastAsia="en-US"/>
        </w:rPr>
      </w:pPr>
      <w:r w:rsidRPr="00551642">
        <w:rPr>
          <w:lang w:eastAsia="en-US"/>
        </w:rPr>
        <w:t>ajutoare de urgenţă clubul Colectiv- pentru un numărde</w:t>
      </w:r>
      <w:r w:rsidRPr="00551642">
        <w:rPr>
          <w:b/>
          <w:lang w:eastAsia="en-US"/>
        </w:rPr>
        <w:t>14 beneficiari</w:t>
      </w:r>
      <w:r w:rsidRPr="00551642">
        <w:rPr>
          <w:lang w:eastAsia="en-US"/>
        </w:rPr>
        <w:t xml:space="preserve">, a fost plătită suma de </w:t>
      </w:r>
      <w:r w:rsidRPr="00551642">
        <w:rPr>
          <w:b/>
          <w:lang w:eastAsia="en-US"/>
        </w:rPr>
        <w:t>1.338.103</w:t>
      </w:r>
      <w:r w:rsidRPr="00551642">
        <w:rPr>
          <w:lang w:eastAsia="en-US"/>
        </w:rPr>
        <w:t>, din care:</w:t>
      </w:r>
    </w:p>
    <w:p w:rsidR="00551642" w:rsidRPr="00551642" w:rsidRDefault="00551642" w:rsidP="00980D72">
      <w:pPr>
        <w:numPr>
          <w:ilvl w:val="0"/>
          <w:numId w:val="39"/>
        </w:numPr>
        <w:tabs>
          <w:tab w:val="left" w:pos="284"/>
          <w:tab w:val="left" w:pos="990"/>
          <w:tab w:val="left" w:pos="1080"/>
          <w:tab w:val="left" w:pos="1170"/>
        </w:tabs>
        <w:ind w:left="0" w:firstLine="0"/>
        <w:contextualSpacing/>
        <w:jc w:val="both"/>
        <w:rPr>
          <w:b/>
          <w:color w:val="FF0000"/>
          <w:lang w:eastAsia="en-US"/>
        </w:rPr>
      </w:pPr>
      <w:r w:rsidRPr="00551642">
        <w:rPr>
          <w:lang w:eastAsia="en-US"/>
        </w:rPr>
        <w:t xml:space="preserve">ajutoare pentru însoţitorul în ţară conform H.G. nr. 34/2016 (pentru rănitul aflat în tratament ambulatoriu în spitalele din ţară) - pentru un număr de </w:t>
      </w:r>
      <w:r w:rsidRPr="00551642">
        <w:rPr>
          <w:b/>
          <w:lang w:eastAsia="en-US"/>
        </w:rPr>
        <w:t>2</w:t>
      </w:r>
      <w:r w:rsidRPr="00551642">
        <w:rPr>
          <w:lang w:eastAsia="en-US"/>
        </w:rPr>
        <w:t xml:space="preserve">beneficiari a fost plătită suma de </w:t>
      </w:r>
      <w:r w:rsidRPr="00551642">
        <w:rPr>
          <w:b/>
          <w:lang w:eastAsia="en-US"/>
        </w:rPr>
        <w:t>17.210</w:t>
      </w:r>
      <w:r w:rsidRPr="00551642">
        <w:rPr>
          <w:lang w:eastAsia="en-US"/>
        </w:rPr>
        <w:t xml:space="preserve"> lei;</w:t>
      </w:r>
    </w:p>
    <w:p w:rsidR="00551642" w:rsidRPr="00551642" w:rsidRDefault="00551642" w:rsidP="00980D72">
      <w:pPr>
        <w:numPr>
          <w:ilvl w:val="0"/>
          <w:numId w:val="39"/>
        </w:numPr>
        <w:tabs>
          <w:tab w:val="left" w:pos="284"/>
          <w:tab w:val="left" w:pos="990"/>
          <w:tab w:val="left" w:pos="1080"/>
          <w:tab w:val="left" w:pos="1170"/>
        </w:tabs>
        <w:ind w:left="0" w:firstLine="0"/>
        <w:contextualSpacing/>
        <w:jc w:val="both"/>
        <w:rPr>
          <w:b/>
          <w:color w:val="FF0000"/>
          <w:lang w:eastAsia="en-US"/>
        </w:rPr>
      </w:pPr>
      <w:r w:rsidRPr="00551642">
        <w:rPr>
          <w:lang w:eastAsia="en-US"/>
        </w:rPr>
        <w:t xml:space="preserve">ajutoare pentru însoţitorul în străinătate conform H.G. nr. 34/2016 (pentru rănitul aflat în tratament ambulatoriu în spitalele din străinătate) - pentru un număr de </w:t>
      </w:r>
      <w:r w:rsidRPr="00551642">
        <w:rPr>
          <w:b/>
          <w:lang w:eastAsia="en-US"/>
        </w:rPr>
        <w:t>12</w:t>
      </w:r>
      <w:r w:rsidRPr="00551642">
        <w:rPr>
          <w:lang w:eastAsia="en-US"/>
        </w:rPr>
        <w:t xml:space="preserve">beneficiari a fost plătită suma de </w:t>
      </w:r>
      <w:r w:rsidRPr="00551642">
        <w:rPr>
          <w:b/>
          <w:lang w:eastAsia="en-US"/>
        </w:rPr>
        <w:t>1.320.893</w:t>
      </w:r>
      <w:r w:rsidRPr="00551642">
        <w:rPr>
          <w:lang w:eastAsia="en-US"/>
        </w:rPr>
        <w:t xml:space="preserve"> lei;</w:t>
      </w:r>
    </w:p>
    <w:p w:rsidR="00551642" w:rsidRPr="00551642" w:rsidRDefault="00551642" w:rsidP="00980D72">
      <w:pPr>
        <w:numPr>
          <w:ilvl w:val="0"/>
          <w:numId w:val="40"/>
        </w:numPr>
        <w:tabs>
          <w:tab w:val="left" w:pos="284"/>
          <w:tab w:val="left" w:pos="990"/>
          <w:tab w:val="left" w:pos="1080"/>
        </w:tabs>
        <w:ind w:left="0" w:firstLine="0"/>
        <w:contextualSpacing/>
        <w:jc w:val="both"/>
        <w:rPr>
          <w:b/>
          <w:lang w:eastAsia="en-US"/>
        </w:rPr>
      </w:pPr>
      <w:r w:rsidRPr="00551642">
        <w:rPr>
          <w:lang w:eastAsia="en-US"/>
        </w:rPr>
        <w:t>alte ajutoare de urgenţă, prin hotărâri de Guvern- pentru un număr de</w:t>
      </w:r>
      <w:r w:rsidRPr="00551642">
        <w:rPr>
          <w:b/>
          <w:lang w:eastAsia="en-US"/>
        </w:rPr>
        <w:t xml:space="preserve">80 beneficiari </w:t>
      </w:r>
      <w:r w:rsidRPr="00551642">
        <w:rPr>
          <w:lang w:eastAsia="en-US"/>
        </w:rPr>
        <w:t>fost plătită suma de</w:t>
      </w:r>
      <w:r w:rsidRPr="00551642">
        <w:rPr>
          <w:b/>
          <w:lang w:eastAsia="en-US"/>
        </w:rPr>
        <w:t>93.200 lei</w:t>
      </w:r>
      <w:r w:rsidRPr="00551642">
        <w:rPr>
          <w:lang w:eastAsia="en-US"/>
        </w:rPr>
        <w:t>;</w:t>
      </w:r>
    </w:p>
    <w:p w:rsidR="00551642" w:rsidRPr="00551642" w:rsidRDefault="00551642" w:rsidP="00980D72">
      <w:pPr>
        <w:numPr>
          <w:ilvl w:val="0"/>
          <w:numId w:val="40"/>
        </w:numPr>
        <w:tabs>
          <w:tab w:val="left" w:pos="284"/>
          <w:tab w:val="left" w:pos="990"/>
          <w:tab w:val="left" w:pos="1080"/>
        </w:tabs>
        <w:ind w:left="0" w:firstLine="0"/>
        <w:contextualSpacing/>
        <w:jc w:val="both"/>
        <w:rPr>
          <w:b/>
          <w:lang w:eastAsia="en-US"/>
        </w:rPr>
      </w:pPr>
      <w:r w:rsidRPr="00551642">
        <w:rPr>
          <w:lang w:eastAsia="en-US"/>
        </w:rPr>
        <w:t xml:space="preserve">drepturi acordate persoanelor cu handicap – pentru un număr mediu lunar de </w:t>
      </w:r>
      <w:r w:rsidRPr="00551642">
        <w:rPr>
          <w:b/>
          <w:lang w:eastAsia="en-US"/>
        </w:rPr>
        <w:t>117.348</w:t>
      </w:r>
      <w:r w:rsidRPr="00551642">
        <w:rPr>
          <w:lang w:eastAsia="en-US"/>
        </w:rPr>
        <w:t xml:space="preserve"> beneficiari a fost plătită suma de </w:t>
      </w:r>
      <w:r w:rsidRPr="00551642">
        <w:rPr>
          <w:b/>
          <w:lang w:eastAsia="en-US"/>
        </w:rPr>
        <w:t>293.870.811</w:t>
      </w:r>
      <w:r w:rsidRPr="00551642">
        <w:rPr>
          <w:lang w:eastAsia="en-US"/>
        </w:rPr>
        <w:t xml:space="preserve"> lei; </w:t>
      </w:r>
    </w:p>
    <w:p w:rsidR="00551642" w:rsidRPr="00551642" w:rsidRDefault="00551642" w:rsidP="00980D72">
      <w:pPr>
        <w:numPr>
          <w:ilvl w:val="0"/>
          <w:numId w:val="40"/>
        </w:numPr>
        <w:tabs>
          <w:tab w:val="left" w:pos="284"/>
          <w:tab w:val="left" w:pos="990"/>
          <w:tab w:val="left" w:pos="1080"/>
        </w:tabs>
        <w:ind w:left="0" w:firstLine="0"/>
        <w:contextualSpacing/>
        <w:jc w:val="both"/>
        <w:rPr>
          <w:b/>
          <w:lang w:eastAsia="en-US"/>
        </w:rPr>
      </w:pPr>
      <w:r w:rsidRPr="00551642">
        <w:rPr>
          <w:lang w:eastAsia="en-US"/>
        </w:rPr>
        <w:t xml:space="preserve">ajutorul de încălzire cu lemne, cărbuni, combustibili petrolieri - pentru un număr mediu lunar de </w:t>
      </w:r>
      <w:r w:rsidRPr="00551642">
        <w:rPr>
          <w:b/>
          <w:lang w:eastAsia="en-US"/>
        </w:rPr>
        <w:t>162</w:t>
      </w:r>
      <w:r w:rsidRPr="00551642">
        <w:rPr>
          <w:lang w:eastAsia="en-US"/>
        </w:rPr>
        <w:t xml:space="preserve">beneficiari, a fost plătită suma de </w:t>
      </w:r>
      <w:r w:rsidRPr="00551642">
        <w:rPr>
          <w:b/>
          <w:lang w:eastAsia="en-US"/>
        </w:rPr>
        <w:t>19.640</w:t>
      </w:r>
      <w:r w:rsidRPr="00551642">
        <w:rPr>
          <w:lang w:eastAsia="en-US"/>
        </w:rPr>
        <w:t>;</w:t>
      </w:r>
    </w:p>
    <w:p w:rsidR="00551642" w:rsidRPr="00551642" w:rsidRDefault="00551642" w:rsidP="00980D72">
      <w:pPr>
        <w:numPr>
          <w:ilvl w:val="0"/>
          <w:numId w:val="40"/>
        </w:numPr>
        <w:tabs>
          <w:tab w:val="left" w:pos="284"/>
          <w:tab w:val="left" w:pos="990"/>
          <w:tab w:val="left" w:pos="1080"/>
        </w:tabs>
        <w:ind w:left="0" w:firstLine="0"/>
        <w:contextualSpacing/>
        <w:jc w:val="both"/>
        <w:rPr>
          <w:b/>
          <w:lang w:eastAsia="en-US"/>
        </w:rPr>
      </w:pPr>
      <w:r w:rsidRPr="00551642">
        <w:rPr>
          <w:lang w:eastAsia="en-US"/>
        </w:rPr>
        <w:t xml:space="preserve">contribuţie asigurări sociale de sănătate – indemnizaţie creştere copil - pentru un număr mediu lunar de </w:t>
      </w:r>
      <w:r w:rsidRPr="00551642">
        <w:rPr>
          <w:b/>
          <w:lang w:eastAsia="en-US"/>
        </w:rPr>
        <w:t>27.328</w:t>
      </w:r>
      <w:r w:rsidRPr="00551642">
        <w:rPr>
          <w:lang w:eastAsia="en-US"/>
        </w:rPr>
        <w:t xml:space="preserve"> beneficiari, a fost plătită suma de </w:t>
      </w:r>
      <w:r w:rsidRPr="00551642">
        <w:rPr>
          <w:b/>
          <w:lang w:eastAsia="en-US"/>
        </w:rPr>
        <w:t>4.135.520 lei;</w:t>
      </w:r>
    </w:p>
    <w:p w:rsidR="00551642" w:rsidRPr="00551642" w:rsidRDefault="00551642" w:rsidP="00980D72">
      <w:pPr>
        <w:numPr>
          <w:ilvl w:val="0"/>
          <w:numId w:val="40"/>
        </w:numPr>
        <w:tabs>
          <w:tab w:val="left" w:pos="284"/>
          <w:tab w:val="left" w:pos="990"/>
          <w:tab w:val="left" w:pos="1080"/>
        </w:tabs>
        <w:ind w:left="0" w:firstLine="0"/>
        <w:contextualSpacing/>
        <w:jc w:val="both"/>
        <w:rPr>
          <w:b/>
          <w:lang w:eastAsia="en-US"/>
        </w:rPr>
      </w:pPr>
      <w:r w:rsidRPr="00551642">
        <w:rPr>
          <w:lang w:eastAsia="en-US"/>
        </w:rPr>
        <w:t xml:space="preserve">contribuţie asigurări sociale de sănătate – indemnizaţie lunară acomodare în vederea adopţiei - pentru un număr mediu lunar de </w:t>
      </w:r>
      <w:r w:rsidRPr="00551642">
        <w:rPr>
          <w:b/>
          <w:lang w:eastAsia="en-US"/>
        </w:rPr>
        <w:t>64</w:t>
      </w:r>
      <w:r w:rsidRPr="00551642">
        <w:rPr>
          <w:lang w:eastAsia="en-US"/>
        </w:rPr>
        <w:t xml:space="preserve"> beneficiari, a fost plătită suma de </w:t>
      </w:r>
      <w:r w:rsidRPr="00551642">
        <w:rPr>
          <w:b/>
          <w:lang w:eastAsia="en-US"/>
        </w:rPr>
        <w:t>5.787;</w:t>
      </w:r>
    </w:p>
    <w:p w:rsidR="00551642" w:rsidRPr="00551642" w:rsidRDefault="00551642" w:rsidP="00980D72">
      <w:pPr>
        <w:numPr>
          <w:ilvl w:val="0"/>
          <w:numId w:val="40"/>
        </w:numPr>
        <w:tabs>
          <w:tab w:val="left" w:pos="284"/>
          <w:tab w:val="left" w:pos="990"/>
          <w:tab w:val="left" w:pos="1080"/>
        </w:tabs>
        <w:ind w:left="0" w:firstLine="0"/>
        <w:contextualSpacing/>
        <w:jc w:val="both"/>
        <w:rPr>
          <w:b/>
          <w:lang w:eastAsia="en-US"/>
        </w:rPr>
      </w:pPr>
      <w:r w:rsidRPr="00551642">
        <w:rPr>
          <w:lang w:eastAsia="en-US"/>
        </w:rPr>
        <w:t xml:space="preserve">contribuţie asigurări sociale de sănătate – venit minim garantat - pentru un număr mediu lunar de </w:t>
      </w:r>
      <w:r w:rsidRPr="00551642">
        <w:rPr>
          <w:b/>
          <w:lang w:eastAsia="en-US"/>
        </w:rPr>
        <w:t>260</w:t>
      </w:r>
      <w:r w:rsidRPr="00551642">
        <w:rPr>
          <w:lang w:eastAsia="en-US"/>
        </w:rPr>
        <w:t xml:space="preserve">beneficiari, a fost plătită suma de </w:t>
      </w:r>
      <w:r w:rsidRPr="00551642">
        <w:rPr>
          <w:b/>
          <w:lang w:eastAsia="en-US"/>
        </w:rPr>
        <w:t>3.112lei</w:t>
      </w:r>
      <w:r w:rsidRPr="00551642">
        <w:rPr>
          <w:lang w:eastAsia="en-US"/>
        </w:rPr>
        <w:t>;</w:t>
      </w:r>
    </w:p>
    <w:p w:rsidR="00551642" w:rsidRPr="00551642" w:rsidRDefault="00551642" w:rsidP="00980D72">
      <w:pPr>
        <w:numPr>
          <w:ilvl w:val="0"/>
          <w:numId w:val="40"/>
        </w:numPr>
        <w:tabs>
          <w:tab w:val="left" w:pos="284"/>
          <w:tab w:val="left" w:pos="990"/>
          <w:tab w:val="left" w:pos="1080"/>
        </w:tabs>
        <w:ind w:left="0" w:firstLine="0"/>
        <w:contextualSpacing/>
        <w:jc w:val="both"/>
        <w:rPr>
          <w:b/>
          <w:lang w:eastAsia="en-US"/>
        </w:rPr>
      </w:pPr>
      <w:r w:rsidRPr="00551642">
        <w:rPr>
          <w:lang w:eastAsia="en-US"/>
        </w:rPr>
        <w:t xml:space="preserve">subvenţii pentru asociaţii şi fundaţii - pentru un număr mediu lunar de </w:t>
      </w:r>
      <w:r w:rsidRPr="00551642">
        <w:rPr>
          <w:b/>
          <w:lang w:eastAsia="en-US"/>
        </w:rPr>
        <w:t>912</w:t>
      </w:r>
      <w:r w:rsidRPr="00551642">
        <w:rPr>
          <w:lang w:eastAsia="en-US"/>
        </w:rPr>
        <w:t xml:space="preserve"> beneficiari, a fost plătită suma de </w:t>
      </w:r>
      <w:r w:rsidRPr="00551642">
        <w:rPr>
          <w:b/>
          <w:lang w:eastAsia="en-US"/>
        </w:rPr>
        <w:t>2.045.60</w:t>
      </w:r>
      <w:r w:rsidRPr="00551642">
        <w:rPr>
          <w:lang w:eastAsia="en-US"/>
        </w:rPr>
        <w:t>7 lei.</w:t>
      </w:r>
    </w:p>
    <w:p w:rsidR="00551642" w:rsidRDefault="00551642" w:rsidP="00551642">
      <w:pPr>
        <w:tabs>
          <w:tab w:val="left" w:pos="284"/>
          <w:tab w:val="left" w:pos="990"/>
          <w:tab w:val="left" w:pos="1080"/>
        </w:tabs>
        <w:contextualSpacing/>
        <w:jc w:val="both"/>
        <w:rPr>
          <w:lang w:eastAsia="en-US"/>
        </w:rPr>
      </w:pPr>
    </w:p>
    <w:p w:rsidR="00551642" w:rsidRPr="00551642" w:rsidRDefault="00551642" w:rsidP="00551642">
      <w:pPr>
        <w:tabs>
          <w:tab w:val="left" w:pos="0"/>
        </w:tabs>
        <w:contextualSpacing/>
        <w:jc w:val="both"/>
        <w:rPr>
          <w:lang w:eastAsia="en-US"/>
        </w:rPr>
      </w:pPr>
      <w:r>
        <w:rPr>
          <w:lang w:eastAsia="en-US"/>
        </w:rPr>
        <w:tab/>
      </w:r>
      <w:r w:rsidRPr="00551642">
        <w:rPr>
          <w:lang w:eastAsia="en-US"/>
        </w:rPr>
        <w:t xml:space="preserve">Total drepturi de asistenţă socială achitate </w:t>
      </w:r>
      <w:r w:rsidRPr="00551642">
        <w:rPr>
          <w:b/>
          <w:lang w:eastAsia="en-US"/>
        </w:rPr>
        <w:t>– 1.687.018.772 lei</w:t>
      </w:r>
      <w:r w:rsidRPr="00551642">
        <w:rPr>
          <w:lang w:eastAsia="en-US"/>
        </w:rPr>
        <w:t>, din care:</w:t>
      </w:r>
    </w:p>
    <w:p w:rsidR="00551642" w:rsidRPr="00551642" w:rsidRDefault="00551642" w:rsidP="00980D72">
      <w:pPr>
        <w:numPr>
          <w:ilvl w:val="0"/>
          <w:numId w:val="39"/>
        </w:numPr>
        <w:tabs>
          <w:tab w:val="left" w:pos="0"/>
        </w:tabs>
        <w:ind w:left="0" w:firstLine="0"/>
        <w:contextualSpacing/>
        <w:jc w:val="both"/>
        <w:rPr>
          <w:b/>
          <w:lang w:eastAsia="en-US"/>
        </w:rPr>
      </w:pPr>
      <w:r w:rsidRPr="00551642">
        <w:rPr>
          <w:lang w:eastAsia="en-US"/>
        </w:rPr>
        <w:t xml:space="preserve">Total plăţi drepturi de asistenţă socială – </w:t>
      </w:r>
      <w:r w:rsidRPr="00551642">
        <w:rPr>
          <w:b/>
          <w:lang w:eastAsia="en-US"/>
        </w:rPr>
        <w:t>1.385.083.569 lei</w:t>
      </w:r>
      <w:r w:rsidRPr="00551642">
        <w:rPr>
          <w:lang w:eastAsia="en-US"/>
        </w:rPr>
        <w:t>;</w:t>
      </w:r>
    </w:p>
    <w:p w:rsidR="00551642" w:rsidRPr="00551642" w:rsidRDefault="00551642" w:rsidP="00980D72">
      <w:pPr>
        <w:numPr>
          <w:ilvl w:val="0"/>
          <w:numId w:val="39"/>
        </w:numPr>
        <w:tabs>
          <w:tab w:val="left" w:pos="0"/>
        </w:tabs>
        <w:ind w:left="0" w:firstLine="0"/>
        <w:contextualSpacing/>
        <w:jc w:val="both"/>
        <w:rPr>
          <w:b/>
          <w:lang w:eastAsia="en-US"/>
        </w:rPr>
      </w:pPr>
      <w:r w:rsidRPr="00551642">
        <w:rPr>
          <w:lang w:eastAsia="en-US"/>
        </w:rPr>
        <w:t xml:space="preserve">Taxe poştale de transmitere a drepturilor de asistenţă socială – </w:t>
      </w:r>
      <w:r w:rsidRPr="00551642">
        <w:rPr>
          <w:b/>
          <w:lang w:eastAsia="en-US"/>
        </w:rPr>
        <w:t>1.854.726 lei;</w:t>
      </w:r>
    </w:p>
    <w:p w:rsidR="00551642" w:rsidRPr="00551642" w:rsidRDefault="00551642" w:rsidP="00980D72">
      <w:pPr>
        <w:numPr>
          <w:ilvl w:val="0"/>
          <w:numId w:val="39"/>
        </w:numPr>
        <w:tabs>
          <w:tab w:val="left" w:pos="0"/>
        </w:tabs>
        <w:ind w:left="0" w:firstLine="0"/>
        <w:contextualSpacing/>
        <w:jc w:val="both"/>
        <w:rPr>
          <w:b/>
          <w:lang w:eastAsia="en-US"/>
        </w:rPr>
      </w:pPr>
      <w:r w:rsidRPr="00551642">
        <w:rPr>
          <w:lang w:eastAsia="en-US"/>
        </w:rPr>
        <w:t xml:space="preserve">Total plăţi subvenţii pentru asociaţii şi fundaţii – </w:t>
      </w:r>
      <w:r w:rsidRPr="00551642">
        <w:rPr>
          <w:b/>
          <w:lang w:eastAsia="en-US"/>
        </w:rPr>
        <w:t xml:space="preserve">2.045.607lei; </w:t>
      </w:r>
    </w:p>
    <w:p w:rsidR="00551642" w:rsidRPr="00551642" w:rsidRDefault="00551642" w:rsidP="00980D72">
      <w:pPr>
        <w:numPr>
          <w:ilvl w:val="0"/>
          <w:numId w:val="39"/>
        </w:numPr>
        <w:tabs>
          <w:tab w:val="left" w:pos="0"/>
        </w:tabs>
        <w:ind w:left="0" w:firstLine="0"/>
        <w:contextualSpacing/>
        <w:jc w:val="both"/>
        <w:rPr>
          <w:lang w:eastAsia="en-US"/>
        </w:rPr>
      </w:pPr>
      <w:r w:rsidRPr="00551642">
        <w:rPr>
          <w:lang w:eastAsia="en-US"/>
        </w:rPr>
        <w:t xml:space="preserve">Tranferuri între unităţi ale administraţiei publice – </w:t>
      </w:r>
      <w:r w:rsidRPr="00551642">
        <w:rPr>
          <w:b/>
          <w:lang w:eastAsia="en-US"/>
        </w:rPr>
        <w:t>298.034.870 lei</w:t>
      </w:r>
      <w:r w:rsidRPr="00551642">
        <w:rPr>
          <w:lang w:eastAsia="en-US"/>
        </w:rPr>
        <w:t xml:space="preserve">. </w:t>
      </w:r>
    </w:p>
    <w:p w:rsidR="00551642" w:rsidRPr="00551642" w:rsidRDefault="00551642" w:rsidP="00551642">
      <w:pPr>
        <w:tabs>
          <w:tab w:val="left" w:pos="0"/>
        </w:tabs>
        <w:ind w:right="555"/>
        <w:contextualSpacing/>
        <w:jc w:val="both"/>
        <w:rPr>
          <w:b/>
          <w:color w:val="C00000"/>
          <w:u w:val="single"/>
          <w:lang w:eastAsia="en-US"/>
        </w:rPr>
      </w:pPr>
    </w:p>
    <w:p w:rsidR="00551642" w:rsidRPr="00551642" w:rsidRDefault="00551642" w:rsidP="00551642">
      <w:pPr>
        <w:tabs>
          <w:tab w:val="left" w:pos="0"/>
        </w:tabs>
        <w:contextualSpacing/>
        <w:jc w:val="both"/>
        <w:rPr>
          <w:color w:val="000000"/>
          <w:lang w:val="en-US" w:eastAsia="en-US"/>
        </w:rPr>
      </w:pPr>
      <w:r>
        <w:rPr>
          <w:color w:val="000000"/>
          <w:lang w:val="fr-FR" w:eastAsia="en-US"/>
        </w:rPr>
        <w:lastRenderedPageBreak/>
        <w:tab/>
      </w:r>
      <w:r w:rsidRPr="00551642">
        <w:rPr>
          <w:color w:val="000000"/>
          <w:lang w:val="fr-FR" w:eastAsia="en-US"/>
        </w:rPr>
        <w:t xml:space="preserve">În decursul anului 2018, au fost înregistrate </w:t>
      </w:r>
      <w:r w:rsidRPr="00551642">
        <w:rPr>
          <w:b/>
          <w:color w:val="000000"/>
          <w:lang w:val="fr-FR" w:eastAsia="en-US"/>
        </w:rPr>
        <w:t>193</w:t>
      </w:r>
      <w:r w:rsidR="007218B3">
        <w:rPr>
          <w:b/>
          <w:color w:val="000000"/>
          <w:lang w:val="fr-FR" w:eastAsia="en-US"/>
        </w:rPr>
        <w:t xml:space="preserve"> </w:t>
      </w:r>
      <w:r w:rsidRPr="00551642">
        <w:rPr>
          <w:color w:val="000000"/>
          <w:lang w:val="fr-FR" w:eastAsia="en-US"/>
        </w:rPr>
        <w:t xml:space="preserve">cereri pentru acordarea unor ajutoare financiare. </w:t>
      </w:r>
      <w:r>
        <w:rPr>
          <w:color w:val="000000"/>
          <w:lang w:val="fr-FR" w:eastAsia="en-US"/>
        </w:rPr>
        <w:tab/>
      </w:r>
      <w:r w:rsidRPr="00551642">
        <w:rPr>
          <w:color w:val="000000"/>
          <w:lang w:val="en-US" w:eastAsia="en-US"/>
        </w:rPr>
        <w:t>După efectuarea anchetelor sociale,  situaţia acestora se prezintă astfel:</w:t>
      </w:r>
    </w:p>
    <w:p w:rsidR="00551642" w:rsidRPr="00551642" w:rsidRDefault="00551642" w:rsidP="00980D72">
      <w:pPr>
        <w:numPr>
          <w:ilvl w:val="0"/>
          <w:numId w:val="41"/>
        </w:numPr>
        <w:tabs>
          <w:tab w:val="left" w:pos="0"/>
          <w:tab w:val="left" w:pos="284"/>
        </w:tabs>
        <w:ind w:left="0" w:firstLine="0"/>
        <w:jc w:val="both"/>
        <w:rPr>
          <w:rFonts w:eastAsia="MS Mincho"/>
          <w:color w:val="000000"/>
          <w:lang w:val="en-US" w:eastAsia="en-US"/>
        </w:rPr>
      </w:pPr>
      <w:r w:rsidRPr="00551642">
        <w:rPr>
          <w:rFonts w:eastAsia="MS Mincho"/>
          <w:color w:val="000000"/>
          <w:lang w:val="en-US" w:eastAsia="en-US"/>
        </w:rPr>
        <w:t xml:space="preserve">pentru </w:t>
      </w:r>
      <w:r w:rsidRPr="00551642">
        <w:rPr>
          <w:rFonts w:eastAsia="MS Mincho"/>
          <w:b/>
          <w:color w:val="000000"/>
          <w:lang w:val="en-US" w:eastAsia="en-US"/>
        </w:rPr>
        <w:t>75</w:t>
      </w:r>
      <w:r w:rsidR="007218B3">
        <w:rPr>
          <w:rFonts w:eastAsia="MS Mincho"/>
          <w:b/>
          <w:color w:val="000000"/>
          <w:lang w:val="en-US" w:eastAsia="en-US"/>
        </w:rPr>
        <w:t xml:space="preserve"> </w:t>
      </w:r>
      <w:r w:rsidRPr="00551642">
        <w:rPr>
          <w:rFonts w:eastAsia="MS Mincho"/>
          <w:color w:val="000000"/>
          <w:lang w:val="en-US" w:eastAsia="en-US"/>
        </w:rPr>
        <w:t>s-a propus acordarea unor ajutoare financiare;</w:t>
      </w:r>
    </w:p>
    <w:p w:rsidR="00551642" w:rsidRPr="00551642" w:rsidRDefault="00551642" w:rsidP="00980D72">
      <w:pPr>
        <w:numPr>
          <w:ilvl w:val="0"/>
          <w:numId w:val="41"/>
        </w:numPr>
        <w:tabs>
          <w:tab w:val="left" w:pos="0"/>
          <w:tab w:val="left" w:pos="284"/>
        </w:tabs>
        <w:ind w:left="0" w:firstLine="0"/>
        <w:jc w:val="both"/>
        <w:rPr>
          <w:rFonts w:eastAsia="MS Mincho"/>
          <w:color w:val="000000"/>
          <w:lang w:val="en-US" w:eastAsia="en-US"/>
        </w:rPr>
      </w:pPr>
      <w:r w:rsidRPr="00551642">
        <w:rPr>
          <w:rFonts w:eastAsia="MS Mincho"/>
          <w:b/>
          <w:color w:val="000000"/>
          <w:lang w:val="en-US" w:eastAsia="en-US"/>
        </w:rPr>
        <w:t>118</w:t>
      </w:r>
      <w:r w:rsidRPr="00551642">
        <w:rPr>
          <w:rFonts w:eastAsia="MS Mincho"/>
          <w:color w:val="000000"/>
          <w:lang w:val="en-US" w:eastAsia="en-US"/>
        </w:rPr>
        <w:t xml:space="preserve"> au fost respinse.</w:t>
      </w:r>
    </w:p>
    <w:p w:rsidR="00551642" w:rsidRPr="00551642" w:rsidRDefault="00551642" w:rsidP="00980D72">
      <w:pPr>
        <w:numPr>
          <w:ilvl w:val="0"/>
          <w:numId w:val="41"/>
        </w:numPr>
        <w:tabs>
          <w:tab w:val="left" w:pos="0"/>
          <w:tab w:val="left" w:pos="284"/>
        </w:tabs>
        <w:ind w:left="0" w:firstLine="0"/>
        <w:jc w:val="both"/>
        <w:rPr>
          <w:rFonts w:eastAsia="MS Mincho"/>
          <w:color w:val="000000"/>
          <w:lang w:val="en-US" w:eastAsia="en-US"/>
        </w:rPr>
      </w:pPr>
      <w:r w:rsidRPr="00551642">
        <w:rPr>
          <w:rFonts w:eastAsia="MS Mincho"/>
          <w:b/>
          <w:color w:val="000000"/>
          <w:lang w:val="en-US" w:eastAsia="en-US"/>
        </w:rPr>
        <w:t>186</w:t>
      </w:r>
      <w:r w:rsidRPr="00551642">
        <w:rPr>
          <w:rFonts w:eastAsia="MS Mincho"/>
          <w:color w:val="000000"/>
          <w:lang w:val="en-US" w:eastAsia="en-US"/>
        </w:rPr>
        <w:t xml:space="preserve"> dintre acestea au</w:t>
      </w:r>
      <w:r w:rsidR="007218B3">
        <w:rPr>
          <w:rFonts w:eastAsia="MS Mincho"/>
          <w:color w:val="000000"/>
          <w:lang w:val="en-US" w:eastAsia="en-US"/>
        </w:rPr>
        <w:t xml:space="preserve"> </w:t>
      </w:r>
      <w:r w:rsidRPr="00551642">
        <w:rPr>
          <w:rFonts w:eastAsia="MS Mincho"/>
          <w:color w:val="000000"/>
          <w:lang w:val="en-US" w:eastAsia="en-US"/>
        </w:rPr>
        <w:t>fost aprobate  prin H.G. în cursul anului 201</w:t>
      </w:r>
      <w:r w:rsidR="007218B3">
        <w:rPr>
          <w:rFonts w:eastAsia="MS Mincho"/>
          <w:color w:val="000000"/>
          <w:lang w:val="en-US" w:eastAsia="en-US"/>
        </w:rPr>
        <w:t>8</w:t>
      </w:r>
      <w:r w:rsidRPr="00551642">
        <w:rPr>
          <w:rFonts w:eastAsia="MS Mincho"/>
          <w:color w:val="000000"/>
          <w:lang w:val="en-US" w:eastAsia="en-US"/>
        </w:rPr>
        <w:t>;</w:t>
      </w:r>
    </w:p>
    <w:p w:rsidR="00551642" w:rsidRPr="00551642" w:rsidRDefault="00551642" w:rsidP="00551642">
      <w:pPr>
        <w:tabs>
          <w:tab w:val="left" w:pos="0"/>
        </w:tabs>
        <w:contextualSpacing/>
        <w:jc w:val="both"/>
        <w:rPr>
          <w:color w:val="000000"/>
          <w:lang w:val="en-US" w:eastAsia="en-US"/>
        </w:rPr>
      </w:pPr>
      <w:r>
        <w:rPr>
          <w:color w:val="000000"/>
          <w:lang w:val="en-US" w:eastAsia="en-US"/>
        </w:rPr>
        <w:tab/>
      </w:r>
      <w:r w:rsidRPr="00551642">
        <w:rPr>
          <w:color w:val="000000"/>
          <w:lang w:val="en-US" w:eastAsia="en-US"/>
        </w:rPr>
        <w:t xml:space="preserve">S-au efectuat </w:t>
      </w:r>
      <w:r w:rsidRPr="00551642">
        <w:rPr>
          <w:b/>
          <w:color w:val="000000"/>
          <w:lang w:val="en-US" w:eastAsia="en-US"/>
        </w:rPr>
        <w:t>372</w:t>
      </w:r>
      <w:r w:rsidR="007218B3">
        <w:rPr>
          <w:b/>
          <w:color w:val="000000"/>
          <w:lang w:val="en-US" w:eastAsia="en-US"/>
        </w:rPr>
        <w:t xml:space="preserve"> </w:t>
      </w:r>
      <w:r w:rsidRPr="00551642">
        <w:rPr>
          <w:b/>
          <w:color w:val="000000"/>
          <w:lang w:val="en-US" w:eastAsia="en-US"/>
        </w:rPr>
        <w:t>anchete sociale</w:t>
      </w:r>
      <w:r w:rsidRPr="00551642">
        <w:rPr>
          <w:color w:val="000000"/>
          <w:lang w:val="en-US" w:eastAsia="en-US"/>
        </w:rPr>
        <w:t xml:space="preserve"> pentru acordarea/neacordarea ajutoarelor financiare pentru refugiaţi.</w:t>
      </w:r>
    </w:p>
    <w:p w:rsidR="00551642" w:rsidRPr="00551642" w:rsidRDefault="00551642" w:rsidP="00980D72">
      <w:pPr>
        <w:numPr>
          <w:ilvl w:val="0"/>
          <w:numId w:val="42"/>
        </w:numPr>
        <w:tabs>
          <w:tab w:val="left" w:pos="0"/>
        </w:tabs>
        <w:ind w:left="0" w:firstLine="0"/>
        <w:contextualSpacing/>
        <w:jc w:val="both"/>
        <w:rPr>
          <w:i/>
          <w:color w:val="000000"/>
          <w:lang w:val="fr-FR" w:eastAsia="en-US"/>
        </w:rPr>
      </w:pPr>
      <w:r w:rsidRPr="00551642">
        <w:rPr>
          <w:i/>
          <w:color w:val="000000"/>
          <w:lang w:val="fr-FR" w:eastAsia="en-US"/>
        </w:rPr>
        <w:t>Referitor la solicitările de subvenţii de la bugetul de stat, conform Legii nr. 34/1998 :</w:t>
      </w:r>
    </w:p>
    <w:p w:rsidR="00551642" w:rsidRPr="00551642" w:rsidRDefault="00551642" w:rsidP="00980D72">
      <w:pPr>
        <w:numPr>
          <w:ilvl w:val="0"/>
          <w:numId w:val="41"/>
        </w:numPr>
        <w:tabs>
          <w:tab w:val="left" w:pos="0"/>
          <w:tab w:val="left" w:pos="284"/>
        </w:tabs>
        <w:ind w:left="0" w:firstLine="0"/>
        <w:jc w:val="both"/>
        <w:rPr>
          <w:rFonts w:eastAsia="MS Mincho"/>
          <w:color w:val="000000"/>
          <w:lang w:val="en-US" w:eastAsia="en-US"/>
        </w:rPr>
      </w:pPr>
      <w:r w:rsidRPr="00551642">
        <w:rPr>
          <w:rFonts w:eastAsia="MS Mincho"/>
          <w:color w:val="000000"/>
          <w:lang w:val="en-US" w:eastAsia="en-US"/>
        </w:rPr>
        <w:t>au fost elaborate 23 rapoarte privind oportunitatea acordării subvenţiei pentru unităţile de asistenţă socială cu sediul în municipiul Bucureşti;</w:t>
      </w:r>
    </w:p>
    <w:p w:rsidR="00551642" w:rsidRPr="00551642" w:rsidRDefault="00551642" w:rsidP="00980D72">
      <w:pPr>
        <w:numPr>
          <w:ilvl w:val="0"/>
          <w:numId w:val="41"/>
        </w:numPr>
        <w:tabs>
          <w:tab w:val="left" w:pos="0"/>
          <w:tab w:val="left" w:pos="284"/>
        </w:tabs>
        <w:ind w:left="0" w:firstLine="0"/>
        <w:jc w:val="both"/>
        <w:rPr>
          <w:rFonts w:eastAsia="MS Mincho"/>
          <w:color w:val="000000"/>
          <w:lang w:val="en-US" w:eastAsia="en-US"/>
        </w:rPr>
      </w:pPr>
      <w:r w:rsidRPr="00551642">
        <w:rPr>
          <w:rFonts w:eastAsia="MS Mincho"/>
          <w:color w:val="000000"/>
          <w:lang w:val="en-US" w:eastAsia="en-US"/>
        </w:rPr>
        <w:t xml:space="preserve">în luna ianuarie 2018, au fost elaborate 11rapoarte anuale privind acordarea serviciilor de asistenţă socială şi utilizarea subvenţiei la asociaţiile şi fundaţiile care au beneficiat de subvenţie conform Legii nr. 34/1998în anul 2017. </w:t>
      </w:r>
    </w:p>
    <w:p w:rsidR="00551642" w:rsidRPr="00551642" w:rsidRDefault="00551642" w:rsidP="00551642">
      <w:pPr>
        <w:tabs>
          <w:tab w:val="left" w:pos="0"/>
          <w:tab w:val="left" w:pos="900"/>
        </w:tabs>
        <w:jc w:val="both"/>
        <w:rPr>
          <w:color w:val="000000"/>
          <w:lang w:val="fr-FR" w:eastAsia="en-US"/>
        </w:rPr>
      </w:pPr>
      <w:r>
        <w:rPr>
          <w:color w:val="000000"/>
          <w:lang w:val="fr-FR" w:eastAsia="en-US"/>
        </w:rPr>
        <w:tab/>
      </w:r>
      <w:r w:rsidRPr="00551642">
        <w:rPr>
          <w:color w:val="000000"/>
          <w:lang w:val="fr-FR" w:eastAsia="en-US"/>
        </w:rPr>
        <w:t>La furnizorii de servicii sociale care au beneficiat de subvenţii de la bugetul de stat, conform Legii nr. 34/1998, în anul 2018 au fost efectuate vizite de monitorizare a activităţii, respectiv:</w:t>
      </w:r>
    </w:p>
    <w:p w:rsidR="00551642" w:rsidRPr="00551642" w:rsidRDefault="00551642" w:rsidP="00551642">
      <w:pPr>
        <w:tabs>
          <w:tab w:val="left" w:pos="0"/>
          <w:tab w:val="left" w:pos="900"/>
        </w:tabs>
        <w:jc w:val="both"/>
        <w:rPr>
          <w:color w:val="000000"/>
          <w:lang w:val="fr-FR" w:eastAsia="en-US"/>
        </w:rPr>
      </w:pPr>
      <w:r w:rsidRPr="00551642">
        <w:rPr>
          <w:color w:val="000000"/>
          <w:lang w:val="fr-FR" w:eastAsia="en-US"/>
        </w:rPr>
        <w:t>-în perioada ianuarie-decembrie, 10 vizite lunar.</w:t>
      </w:r>
    </w:p>
    <w:p w:rsidR="00551642" w:rsidRDefault="00551642" w:rsidP="00551642">
      <w:pPr>
        <w:tabs>
          <w:tab w:val="left" w:pos="0"/>
        </w:tabs>
        <w:autoSpaceDE w:val="0"/>
        <w:autoSpaceDN w:val="0"/>
        <w:adjustRightInd w:val="0"/>
        <w:jc w:val="both"/>
        <w:rPr>
          <w:rFonts w:eastAsia="MS Mincho"/>
          <w:b/>
          <w:i/>
          <w:lang w:eastAsia="en-US"/>
        </w:rPr>
      </w:pPr>
    </w:p>
    <w:p w:rsidR="00551642" w:rsidRPr="00551642" w:rsidRDefault="00551642" w:rsidP="00551642">
      <w:pPr>
        <w:tabs>
          <w:tab w:val="left" w:pos="0"/>
        </w:tabs>
        <w:autoSpaceDE w:val="0"/>
        <w:autoSpaceDN w:val="0"/>
        <w:adjustRightInd w:val="0"/>
        <w:jc w:val="both"/>
        <w:rPr>
          <w:rFonts w:eastAsia="MS Mincho"/>
          <w:b/>
          <w:i/>
          <w:lang w:eastAsia="en-US"/>
        </w:rPr>
      </w:pPr>
      <w:r w:rsidRPr="00551642">
        <w:rPr>
          <w:rFonts w:eastAsia="MS Mincho"/>
          <w:b/>
          <w:i/>
          <w:lang w:eastAsia="en-US"/>
        </w:rPr>
        <w:t>Monitorizarea modului de recuperare a sumelor acordate in mod necuvenit cu titlu de beneficii de asistenta sociala</w:t>
      </w:r>
    </w:p>
    <w:p w:rsidR="00551642" w:rsidRPr="00551642" w:rsidRDefault="00551642" w:rsidP="00551642">
      <w:pPr>
        <w:tabs>
          <w:tab w:val="left" w:pos="0"/>
        </w:tabs>
        <w:contextualSpacing/>
        <w:jc w:val="both"/>
        <w:rPr>
          <w:lang w:eastAsia="en-US"/>
        </w:rPr>
      </w:pPr>
      <w:r>
        <w:rPr>
          <w:color w:val="000000"/>
          <w:lang w:eastAsia="en-US"/>
        </w:rPr>
        <w:tab/>
      </w:r>
      <w:r w:rsidRPr="00551642">
        <w:rPr>
          <w:color w:val="000000"/>
          <w:lang w:eastAsia="en-US"/>
        </w:rPr>
        <w:t xml:space="preserve">În perioada ianuarie – decembrie 2018, au fost </w:t>
      </w:r>
      <w:r w:rsidRPr="00551642">
        <w:rPr>
          <w:lang w:eastAsia="en-US"/>
        </w:rPr>
        <w:t xml:space="preserve">recuperate sume încasate necuvenit de la beneficiarii de beneficii de asistenţă socială, în cuantum de </w:t>
      </w:r>
      <w:r w:rsidRPr="00551642">
        <w:rPr>
          <w:b/>
          <w:lang w:val="fr-FR" w:eastAsia="en-US"/>
        </w:rPr>
        <w:t xml:space="preserve">12.895.224,57 lei, </w:t>
      </w:r>
      <w:r w:rsidRPr="00551642">
        <w:rPr>
          <w:lang w:val="fr-FR" w:eastAsia="en-US"/>
        </w:rPr>
        <w:t>valoarea totală a debitelor constituite la 31.12.2018 fiind de 16.083.038,28 lei</w:t>
      </w:r>
      <w:r w:rsidRPr="00551642">
        <w:rPr>
          <w:b/>
          <w:lang w:val="fr-FR" w:eastAsia="en-US"/>
        </w:rPr>
        <w:t xml:space="preserve">. </w:t>
      </w:r>
    </w:p>
    <w:p w:rsidR="00551642" w:rsidRPr="00551642" w:rsidRDefault="00551642" w:rsidP="00551642">
      <w:pPr>
        <w:tabs>
          <w:tab w:val="left" w:pos="0"/>
          <w:tab w:val="left" w:pos="709"/>
        </w:tabs>
        <w:autoSpaceDE w:val="0"/>
        <w:autoSpaceDN w:val="0"/>
        <w:adjustRightInd w:val="0"/>
        <w:contextualSpacing/>
        <w:jc w:val="both"/>
        <w:rPr>
          <w:b/>
          <w:u w:val="single"/>
          <w:lang w:eastAsia="en-US"/>
        </w:rPr>
      </w:pPr>
    </w:p>
    <w:p w:rsidR="00551642" w:rsidRPr="00551642" w:rsidRDefault="00551642" w:rsidP="00551642">
      <w:pPr>
        <w:tabs>
          <w:tab w:val="left" w:pos="0"/>
          <w:tab w:val="left" w:pos="709"/>
        </w:tabs>
        <w:contextualSpacing/>
        <w:jc w:val="both"/>
        <w:rPr>
          <w:lang w:eastAsia="en-US"/>
        </w:rPr>
      </w:pPr>
      <w:r>
        <w:rPr>
          <w:lang w:val="fr-FR" w:eastAsia="en-US"/>
        </w:rPr>
        <w:tab/>
      </w:r>
      <w:r w:rsidRPr="00551642">
        <w:rPr>
          <w:lang w:val="fr-FR" w:eastAsia="en-US"/>
        </w:rPr>
        <w:t>Sintetic, activitatea de inspec</w:t>
      </w:r>
      <w:r w:rsidRPr="00551642">
        <w:rPr>
          <w:lang w:eastAsia="en-US"/>
        </w:rPr>
        <w:t>ţie socială se prezintă astfel:</w:t>
      </w:r>
    </w:p>
    <w:p w:rsidR="00551642" w:rsidRPr="00551642" w:rsidRDefault="00551642" w:rsidP="00551642">
      <w:pPr>
        <w:tabs>
          <w:tab w:val="left" w:pos="0"/>
          <w:tab w:val="left" w:pos="709"/>
        </w:tabs>
        <w:jc w:val="both"/>
        <w:rPr>
          <w:rFonts w:eastAsia="MS Mincho"/>
          <w:iCs/>
          <w:lang w:eastAsia="en-US"/>
        </w:rPr>
      </w:pPr>
      <w:r>
        <w:rPr>
          <w:rFonts w:eastAsia="MS Mincho"/>
          <w:iCs/>
          <w:lang w:eastAsia="en-US"/>
        </w:rPr>
        <w:tab/>
      </w:r>
      <w:r w:rsidRPr="00551642">
        <w:rPr>
          <w:rFonts w:eastAsia="MS Mincho"/>
          <w:iCs/>
          <w:lang w:eastAsia="en-US"/>
        </w:rPr>
        <w:t>În perioada 01.01-31.12.2018, au fost efectuate următoarele activităţi:</w:t>
      </w:r>
    </w:p>
    <w:p w:rsidR="00551642" w:rsidRPr="00551642" w:rsidRDefault="00551642" w:rsidP="00551642">
      <w:pPr>
        <w:tabs>
          <w:tab w:val="left" w:pos="0"/>
          <w:tab w:val="left" w:pos="709"/>
        </w:tabs>
        <w:jc w:val="both"/>
        <w:rPr>
          <w:rFonts w:eastAsia="MS Mincho"/>
          <w:b/>
          <w:lang w:eastAsia="en-US"/>
        </w:rPr>
      </w:pPr>
      <w:r w:rsidRPr="00551642">
        <w:rPr>
          <w:rFonts w:eastAsia="MS Mincho"/>
          <w:lang w:eastAsia="en-US"/>
        </w:rPr>
        <w:t>1.</w:t>
      </w:r>
      <w:r>
        <w:rPr>
          <w:rFonts w:eastAsia="MS Mincho"/>
          <w:lang w:eastAsia="en-US"/>
        </w:rPr>
        <w:t xml:space="preserve"> </w:t>
      </w:r>
      <w:r w:rsidRPr="00551642">
        <w:rPr>
          <w:rFonts w:eastAsia="MS Mincho"/>
          <w:lang w:eastAsia="en-US"/>
        </w:rPr>
        <w:t>În perioada 02.04.2018 – 30.04.2018 s-a desfăşurat Campania naţională de control „Verificarea asigurării accesului persoanelor cu dizabilităţi la mediul fizic – respectiv unităţile hoteliere care oferă servicii de tratament balnear şi recuperare medicală”</w:t>
      </w:r>
    </w:p>
    <w:p w:rsidR="00551642" w:rsidRPr="00551642" w:rsidRDefault="00551642" w:rsidP="00551642">
      <w:pPr>
        <w:tabs>
          <w:tab w:val="left" w:pos="0"/>
          <w:tab w:val="left" w:pos="709"/>
        </w:tabs>
        <w:jc w:val="both"/>
        <w:rPr>
          <w:rFonts w:eastAsia="MS Mincho"/>
          <w:lang w:val="en-US" w:eastAsia="en-US"/>
        </w:rPr>
      </w:pPr>
      <w:r w:rsidRPr="00551642">
        <w:rPr>
          <w:rFonts w:eastAsia="MS Mincho"/>
          <w:lang w:val="en-US" w:eastAsia="en-US"/>
        </w:rPr>
        <w:t>- număr unităţi hoteliere verificate/număr unităţi accesibilizate: 4/4;</w:t>
      </w:r>
    </w:p>
    <w:p w:rsidR="00551642" w:rsidRPr="00551642" w:rsidRDefault="00551642" w:rsidP="00551642">
      <w:pPr>
        <w:tabs>
          <w:tab w:val="left" w:pos="0"/>
          <w:tab w:val="left" w:pos="709"/>
        </w:tabs>
        <w:jc w:val="both"/>
        <w:rPr>
          <w:rFonts w:eastAsia="MS Mincho"/>
          <w:lang w:val="fr-FR" w:eastAsia="en-US"/>
        </w:rPr>
      </w:pPr>
      <w:r w:rsidRPr="00551642">
        <w:rPr>
          <w:rFonts w:eastAsia="MS Mincho"/>
          <w:lang w:val="fr-FR" w:eastAsia="en-US"/>
        </w:rPr>
        <w:t>- număr unităţi hoteliere la care au fost dispuse măsuri/ număr unităţi verificate: 0/4;</w:t>
      </w:r>
    </w:p>
    <w:p w:rsidR="00551642" w:rsidRPr="00551642" w:rsidRDefault="00551642" w:rsidP="00551642">
      <w:pPr>
        <w:tabs>
          <w:tab w:val="left" w:pos="0"/>
          <w:tab w:val="left" w:pos="709"/>
        </w:tabs>
        <w:jc w:val="both"/>
        <w:rPr>
          <w:rFonts w:eastAsia="MS Mincho"/>
          <w:lang w:val="fr-FR" w:eastAsia="en-US"/>
        </w:rPr>
      </w:pPr>
      <w:r w:rsidRPr="00551642">
        <w:rPr>
          <w:rFonts w:eastAsia="MS Mincho"/>
          <w:lang w:val="fr-FR" w:eastAsia="en-US"/>
        </w:rPr>
        <w:t>- număr măsuri de remediere a deficienţelor constatate: 0;</w:t>
      </w:r>
    </w:p>
    <w:p w:rsidR="00551642" w:rsidRPr="00551642" w:rsidRDefault="00551642" w:rsidP="00551642">
      <w:pPr>
        <w:tabs>
          <w:tab w:val="left" w:pos="0"/>
          <w:tab w:val="left" w:pos="709"/>
        </w:tabs>
        <w:jc w:val="both"/>
        <w:rPr>
          <w:rFonts w:eastAsia="MS Mincho"/>
          <w:lang w:val="fr-FR" w:eastAsia="en-US"/>
        </w:rPr>
      </w:pPr>
      <w:r w:rsidRPr="00551642">
        <w:rPr>
          <w:rFonts w:eastAsia="MS Mincho"/>
          <w:lang w:val="fr-FR" w:eastAsia="en-US"/>
        </w:rPr>
        <w:t>- număr sancţiuni contravenţionale aplicate: 0.</w:t>
      </w:r>
    </w:p>
    <w:p w:rsidR="00551642" w:rsidRPr="00551642" w:rsidRDefault="00551642" w:rsidP="00551642">
      <w:pPr>
        <w:tabs>
          <w:tab w:val="left" w:pos="0"/>
          <w:tab w:val="left" w:pos="709"/>
        </w:tabs>
        <w:jc w:val="both"/>
        <w:rPr>
          <w:rFonts w:eastAsia="MS Mincho"/>
          <w:lang w:val="fr-FR" w:eastAsia="en-US"/>
        </w:rPr>
      </w:pPr>
      <w:r w:rsidRPr="00551642">
        <w:rPr>
          <w:rFonts w:eastAsia="MS Mincho"/>
          <w:lang w:val="fr-FR" w:eastAsia="en-US"/>
        </w:rPr>
        <w:t>Nu au fost dispuse măsuri de remediere.</w:t>
      </w:r>
    </w:p>
    <w:p w:rsidR="00551642" w:rsidRPr="00551642" w:rsidRDefault="00551642" w:rsidP="00551642">
      <w:pPr>
        <w:tabs>
          <w:tab w:val="left" w:pos="0"/>
          <w:tab w:val="left" w:pos="709"/>
        </w:tabs>
        <w:jc w:val="both"/>
        <w:rPr>
          <w:rFonts w:eastAsia="MS Mincho"/>
          <w:lang w:val="fr-FR" w:eastAsia="en-US"/>
        </w:rPr>
      </w:pPr>
      <w:r w:rsidRPr="00551642">
        <w:rPr>
          <w:rFonts w:eastAsia="MS Mincho"/>
          <w:lang w:val="fr-FR" w:eastAsia="en-US"/>
        </w:rPr>
        <w:t>Nu au fost aplicate sancţiuni contravenţionale.</w:t>
      </w:r>
    </w:p>
    <w:p w:rsidR="00551642" w:rsidRPr="00551642" w:rsidRDefault="00551642" w:rsidP="00551642">
      <w:pPr>
        <w:tabs>
          <w:tab w:val="left" w:pos="0"/>
          <w:tab w:val="left" w:pos="709"/>
        </w:tabs>
        <w:jc w:val="both"/>
        <w:rPr>
          <w:rFonts w:eastAsia="MS Mincho"/>
          <w:lang w:val="fr-FR" w:eastAsia="en-US"/>
        </w:rPr>
      </w:pPr>
      <w:r w:rsidRPr="00551642">
        <w:rPr>
          <w:rFonts w:eastAsia="MS Mincho"/>
          <w:lang w:val="fr-FR" w:eastAsia="en-US"/>
        </w:rPr>
        <w:t>2</w:t>
      </w:r>
      <w:r>
        <w:rPr>
          <w:rFonts w:eastAsia="MS Mincho"/>
          <w:lang w:val="fr-FR" w:eastAsia="en-US"/>
        </w:rPr>
        <w:t xml:space="preserve"> </w:t>
      </w:r>
      <w:r w:rsidRPr="00551642">
        <w:rPr>
          <w:rFonts w:eastAsia="MS Mincho"/>
          <w:lang w:val="fr-FR" w:eastAsia="en-US"/>
        </w:rPr>
        <w:t xml:space="preserve">.În perioada 30.03.2018  –  11.05.2018 </w:t>
      </w:r>
      <w:r w:rsidRPr="00551642">
        <w:rPr>
          <w:rFonts w:eastAsia="MS Mincho"/>
          <w:lang w:eastAsia="en-US"/>
        </w:rPr>
        <w:t xml:space="preserve">s-a desfăşurat </w:t>
      </w:r>
      <w:r w:rsidRPr="00551642">
        <w:rPr>
          <w:rFonts w:eastAsia="MS Mincho"/>
          <w:lang w:val="fr-FR" w:eastAsia="en-US"/>
        </w:rPr>
        <w:t>Campania „Controlui beneficiarilor încadraţi într-un grad de handicap care nu au fost reevaluaţi în perioada 2000-2001, în conformitate cu O.U.G. nr.  102/1999, art. 59”</w:t>
      </w:r>
    </w:p>
    <w:p w:rsidR="00551642" w:rsidRPr="00551642" w:rsidRDefault="00551642" w:rsidP="00551642">
      <w:pPr>
        <w:tabs>
          <w:tab w:val="left" w:pos="0"/>
          <w:tab w:val="left" w:pos="709"/>
        </w:tabs>
        <w:contextualSpacing/>
        <w:jc w:val="both"/>
        <w:rPr>
          <w:lang w:val="fr-FR" w:eastAsia="en-US"/>
        </w:rPr>
      </w:pPr>
      <w:r w:rsidRPr="00551642">
        <w:rPr>
          <w:lang w:val="fr-FR" w:eastAsia="en-US"/>
        </w:rPr>
        <w:t>- au fost transmise spre verificare 58 de CNP  -uri;</w:t>
      </w:r>
    </w:p>
    <w:p w:rsidR="00551642" w:rsidRPr="00551642" w:rsidRDefault="00551642" w:rsidP="00551642">
      <w:pPr>
        <w:tabs>
          <w:tab w:val="left" w:pos="0"/>
          <w:tab w:val="left" w:pos="709"/>
        </w:tabs>
        <w:contextualSpacing/>
        <w:jc w:val="both"/>
        <w:rPr>
          <w:lang w:val="fr-FR" w:eastAsia="en-US"/>
        </w:rPr>
      </w:pPr>
      <w:r w:rsidRPr="00551642">
        <w:rPr>
          <w:lang w:val="fr-FR" w:eastAsia="en-US"/>
        </w:rPr>
        <w:t xml:space="preserve">- pentru 1 CNP a fost dispusă reevaluarea/din 54 de cazuri ( CNP-uri) verificate. </w:t>
      </w:r>
    </w:p>
    <w:p w:rsidR="00551642" w:rsidRPr="00551642" w:rsidRDefault="00551642" w:rsidP="00551642">
      <w:pPr>
        <w:tabs>
          <w:tab w:val="left" w:pos="0"/>
          <w:tab w:val="left" w:pos="709"/>
        </w:tabs>
        <w:contextualSpacing/>
        <w:jc w:val="both"/>
        <w:rPr>
          <w:lang w:val="fr-FR" w:eastAsia="en-US"/>
        </w:rPr>
      </w:pPr>
      <w:r w:rsidRPr="00551642">
        <w:rPr>
          <w:lang w:val="fr-FR" w:eastAsia="en-US"/>
        </w:rPr>
        <w:t xml:space="preserve">  Nu au fost dispuse măsuri de remediere.</w:t>
      </w:r>
    </w:p>
    <w:p w:rsidR="00551642" w:rsidRPr="00551642" w:rsidRDefault="00551642" w:rsidP="00551642">
      <w:pPr>
        <w:tabs>
          <w:tab w:val="left" w:pos="0"/>
          <w:tab w:val="left" w:pos="709"/>
        </w:tabs>
        <w:contextualSpacing/>
        <w:jc w:val="both"/>
        <w:rPr>
          <w:lang w:val="fr-FR" w:eastAsia="en-US"/>
        </w:rPr>
      </w:pPr>
      <w:r w:rsidRPr="00551642">
        <w:rPr>
          <w:lang w:val="fr-FR" w:eastAsia="en-US"/>
        </w:rPr>
        <w:t xml:space="preserve">  Nu au fost aplicate sancţiuni contravenţionale.</w:t>
      </w:r>
    </w:p>
    <w:p w:rsidR="00551642" w:rsidRPr="00551642" w:rsidRDefault="00551642" w:rsidP="00551642">
      <w:pPr>
        <w:tabs>
          <w:tab w:val="left" w:pos="0"/>
          <w:tab w:val="left" w:pos="709"/>
        </w:tabs>
        <w:contextualSpacing/>
        <w:jc w:val="both"/>
        <w:rPr>
          <w:lang w:val="fr-FR" w:eastAsia="en-US"/>
        </w:rPr>
      </w:pPr>
      <w:r w:rsidRPr="00551642">
        <w:rPr>
          <w:lang w:val="fr-FR" w:eastAsia="en-US"/>
        </w:rPr>
        <w:t>3.</w:t>
      </w:r>
      <w:r>
        <w:rPr>
          <w:lang w:val="fr-FR" w:eastAsia="en-US"/>
        </w:rPr>
        <w:t xml:space="preserve"> </w:t>
      </w:r>
      <w:r w:rsidRPr="00551642">
        <w:rPr>
          <w:lang w:val="fr-FR" w:eastAsia="en-US"/>
        </w:rPr>
        <w:t xml:space="preserve">În perioada 18.06.2018 – 14.12.2018 </w:t>
      </w:r>
      <w:r w:rsidRPr="00551642">
        <w:rPr>
          <w:lang w:eastAsia="en-US"/>
        </w:rPr>
        <w:t xml:space="preserve">s-a desfăşurat </w:t>
      </w:r>
      <w:r w:rsidRPr="00551642">
        <w:rPr>
          <w:lang w:val="fr-FR" w:eastAsia="en-US"/>
        </w:rPr>
        <w:t>Campania „Controlul de fond al serviciilor publice de asistenţă socială .</w:t>
      </w:r>
    </w:p>
    <w:p w:rsidR="00551642" w:rsidRPr="00551642" w:rsidRDefault="00551642" w:rsidP="00551642">
      <w:pPr>
        <w:tabs>
          <w:tab w:val="left" w:pos="0"/>
          <w:tab w:val="left" w:pos="709"/>
        </w:tabs>
        <w:contextualSpacing/>
        <w:jc w:val="both"/>
        <w:rPr>
          <w:lang w:val="fr-FR" w:eastAsia="en-US"/>
        </w:rPr>
      </w:pPr>
      <w:r w:rsidRPr="00551642">
        <w:rPr>
          <w:lang w:val="fr-FR" w:eastAsia="en-US"/>
        </w:rPr>
        <w:t>- au fost verificate 7 entităţi : cele 6 D.G.A.S.P.C.-uri şi D.G.A.S.M.B. .</w:t>
      </w:r>
    </w:p>
    <w:p w:rsidR="00551642" w:rsidRPr="00551642" w:rsidRDefault="00551642" w:rsidP="00551642">
      <w:pPr>
        <w:tabs>
          <w:tab w:val="left" w:pos="0"/>
          <w:tab w:val="left" w:pos="709"/>
        </w:tabs>
        <w:jc w:val="both"/>
        <w:rPr>
          <w:rFonts w:eastAsia="MS Mincho"/>
          <w:iCs/>
          <w:lang w:val="fr-FR" w:eastAsia="en-US"/>
        </w:rPr>
      </w:pPr>
      <w:r w:rsidRPr="00551642">
        <w:rPr>
          <w:rFonts w:eastAsia="MS Mincho"/>
          <w:iCs/>
          <w:lang w:val="fr-FR" w:eastAsia="en-US"/>
        </w:rPr>
        <w:t xml:space="preserve">- au fost dispuse 143 de măsuri, din care, până la 31.12.2018,  au fost implementate 41 măsuri. </w:t>
      </w:r>
    </w:p>
    <w:p w:rsidR="00551642" w:rsidRPr="00551642" w:rsidRDefault="00551642" w:rsidP="00551642">
      <w:pPr>
        <w:tabs>
          <w:tab w:val="left" w:pos="0"/>
          <w:tab w:val="left" w:pos="709"/>
        </w:tabs>
        <w:jc w:val="both"/>
        <w:rPr>
          <w:rFonts w:eastAsia="MS Mincho"/>
          <w:iCs/>
          <w:lang w:val="fr-FR" w:eastAsia="en-US"/>
        </w:rPr>
      </w:pPr>
      <w:r w:rsidRPr="00551642">
        <w:rPr>
          <w:rFonts w:eastAsia="MS Mincho"/>
          <w:iCs/>
          <w:lang w:val="fr-FR" w:eastAsia="en-US"/>
        </w:rPr>
        <w:t xml:space="preserve">Au fost dispuse 2 sancţiuni : 1 avertisment verbal şi un avertisment scris. </w:t>
      </w:r>
    </w:p>
    <w:p w:rsidR="00551642" w:rsidRDefault="00551642" w:rsidP="00551642">
      <w:pPr>
        <w:tabs>
          <w:tab w:val="left" w:pos="0"/>
          <w:tab w:val="left" w:pos="709"/>
        </w:tabs>
        <w:contextualSpacing/>
        <w:jc w:val="both"/>
        <w:rPr>
          <w:lang w:eastAsia="en-US"/>
        </w:rPr>
      </w:pPr>
    </w:p>
    <w:p w:rsidR="00551642" w:rsidRPr="00551642" w:rsidRDefault="00551642" w:rsidP="00551642">
      <w:pPr>
        <w:tabs>
          <w:tab w:val="left" w:pos="0"/>
          <w:tab w:val="left" w:pos="709"/>
        </w:tabs>
        <w:contextualSpacing/>
        <w:jc w:val="both"/>
        <w:rPr>
          <w:b/>
          <w:lang w:eastAsia="en-US"/>
        </w:rPr>
      </w:pPr>
      <w:r>
        <w:rPr>
          <w:lang w:eastAsia="en-US"/>
        </w:rPr>
        <w:tab/>
      </w:r>
      <w:r w:rsidRPr="00551642">
        <w:rPr>
          <w:lang w:eastAsia="en-US"/>
        </w:rPr>
        <w:t xml:space="preserve">În ceea ce priveşte activitatea de </w:t>
      </w:r>
      <w:r w:rsidRPr="00551642">
        <w:rPr>
          <w:b/>
          <w:lang w:eastAsia="en-US"/>
        </w:rPr>
        <w:t>acordarea licenţei de funcţionare pentru  serviciile sociale</w:t>
      </w:r>
    </w:p>
    <w:p w:rsidR="00551642" w:rsidRPr="00551642" w:rsidRDefault="00551642" w:rsidP="00551642">
      <w:pPr>
        <w:tabs>
          <w:tab w:val="left" w:pos="0"/>
          <w:tab w:val="left" w:pos="709"/>
        </w:tabs>
        <w:jc w:val="both"/>
        <w:rPr>
          <w:rFonts w:eastAsia="MS Mincho"/>
          <w:lang w:eastAsia="en-US"/>
        </w:rPr>
      </w:pPr>
      <w:r>
        <w:rPr>
          <w:rFonts w:eastAsia="MS Mincho"/>
          <w:lang w:eastAsia="en-US"/>
        </w:rPr>
        <w:tab/>
      </w:r>
      <w:r w:rsidRPr="00551642">
        <w:rPr>
          <w:rFonts w:eastAsia="MS Mincho"/>
          <w:lang w:eastAsia="en-US"/>
        </w:rPr>
        <w:t>În perioada ianuarie – decembrie  2018, s-au desfăşurat următoarele activităţi:</w:t>
      </w:r>
    </w:p>
    <w:p w:rsidR="00551642" w:rsidRPr="00551642" w:rsidRDefault="00551642" w:rsidP="00980D72">
      <w:pPr>
        <w:numPr>
          <w:ilvl w:val="0"/>
          <w:numId w:val="43"/>
        </w:numPr>
        <w:tabs>
          <w:tab w:val="left" w:pos="0"/>
          <w:tab w:val="left" w:pos="709"/>
        </w:tabs>
        <w:ind w:left="0" w:firstLine="0"/>
        <w:contextualSpacing/>
        <w:jc w:val="both"/>
        <w:rPr>
          <w:lang w:eastAsia="en-US"/>
        </w:rPr>
      </w:pPr>
      <w:r w:rsidRPr="00551642">
        <w:rPr>
          <w:lang w:eastAsia="en-US"/>
        </w:rPr>
        <w:lastRenderedPageBreak/>
        <w:t>au fost înregistrate 34 de solicitări de efectuare a evaluării în teren a entităţilor pentru care MMJS, ANPD, ANPDCA, ANES au eliberat licenţe de funcţionare provizorii.</w:t>
      </w:r>
    </w:p>
    <w:p w:rsidR="00551642" w:rsidRPr="00551642" w:rsidRDefault="00551642" w:rsidP="00980D72">
      <w:pPr>
        <w:numPr>
          <w:ilvl w:val="0"/>
          <w:numId w:val="43"/>
        </w:numPr>
        <w:tabs>
          <w:tab w:val="left" w:pos="0"/>
          <w:tab w:val="left" w:pos="709"/>
        </w:tabs>
        <w:ind w:left="0" w:firstLine="0"/>
        <w:contextualSpacing/>
        <w:jc w:val="both"/>
        <w:rPr>
          <w:lang w:val="fr-FR" w:eastAsia="en-US"/>
        </w:rPr>
      </w:pPr>
      <w:r w:rsidRPr="00551642">
        <w:rPr>
          <w:lang w:val="fr-FR" w:eastAsia="en-US"/>
        </w:rPr>
        <w:t>au fost planificate, conform legislaţiei în vigoare, 34 de evaluări în teren : 19 controale planificate în 2018, 15 planificate în  2019.</w:t>
      </w:r>
    </w:p>
    <w:p w:rsidR="00551642" w:rsidRPr="00551642" w:rsidRDefault="00551642" w:rsidP="00551642">
      <w:pPr>
        <w:tabs>
          <w:tab w:val="left" w:pos="0"/>
          <w:tab w:val="left" w:pos="709"/>
        </w:tabs>
        <w:jc w:val="both"/>
        <w:rPr>
          <w:rFonts w:eastAsia="MS Mincho"/>
          <w:lang w:val="fr-FR" w:eastAsia="en-US"/>
        </w:rPr>
      </w:pPr>
      <w:r>
        <w:rPr>
          <w:rFonts w:eastAsia="MS Mincho"/>
          <w:lang w:val="fr-FR" w:eastAsia="en-US"/>
        </w:rPr>
        <w:tab/>
      </w:r>
      <w:r w:rsidRPr="00551642">
        <w:rPr>
          <w:rFonts w:eastAsia="MS Mincho"/>
          <w:lang w:val="fr-FR" w:eastAsia="en-US"/>
        </w:rPr>
        <w:t>Inspectorii sociali au realizat 95 controale în teren, respectiv :</w:t>
      </w:r>
    </w:p>
    <w:p w:rsidR="00551642" w:rsidRPr="00551642" w:rsidRDefault="00551642" w:rsidP="00551642">
      <w:pPr>
        <w:tabs>
          <w:tab w:val="left" w:pos="0"/>
          <w:tab w:val="left" w:pos="709"/>
        </w:tabs>
        <w:jc w:val="both"/>
        <w:rPr>
          <w:rFonts w:eastAsia="MS Mincho"/>
          <w:lang w:val="fr-FR" w:eastAsia="en-US"/>
        </w:rPr>
      </w:pPr>
      <w:r w:rsidRPr="00551642">
        <w:rPr>
          <w:rFonts w:eastAsia="MS Mincho"/>
          <w:lang w:val="fr-FR" w:eastAsia="en-US"/>
        </w:rPr>
        <w:t>- 14 controale :18 înregistrate în anul 2018, 6 înregistrate în anul 2017 şi planificate în 2018 ;</w:t>
      </w:r>
    </w:p>
    <w:p w:rsidR="00551642" w:rsidRPr="00551642" w:rsidRDefault="00551642" w:rsidP="00551642">
      <w:pPr>
        <w:tabs>
          <w:tab w:val="left" w:pos="0"/>
          <w:tab w:val="left" w:pos="709"/>
        </w:tabs>
        <w:jc w:val="both"/>
        <w:rPr>
          <w:rFonts w:eastAsia="MS Mincho"/>
          <w:lang w:val="fr-FR" w:eastAsia="en-US"/>
        </w:rPr>
      </w:pPr>
      <w:r w:rsidRPr="00551642">
        <w:rPr>
          <w:rFonts w:eastAsia="MS Mincho"/>
          <w:lang w:val="fr-FR" w:eastAsia="en-US"/>
        </w:rPr>
        <w:t>-20 controale pentru servicii sociale înregistrate în anul 2017 şi pentru care au fost dispuse măsuri cu termen în 2018 ;</w:t>
      </w:r>
    </w:p>
    <w:p w:rsidR="00551642" w:rsidRPr="00551642" w:rsidRDefault="00551642" w:rsidP="00551642">
      <w:pPr>
        <w:tabs>
          <w:tab w:val="left" w:pos="0"/>
          <w:tab w:val="left" w:pos="709"/>
        </w:tabs>
        <w:jc w:val="both"/>
        <w:rPr>
          <w:rFonts w:eastAsia="MS Mincho"/>
          <w:lang w:val="fr-FR" w:eastAsia="en-US"/>
        </w:rPr>
      </w:pPr>
      <w:r w:rsidRPr="00551642">
        <w:rPr>
          <w:rFonts w:eastAsia="MS Mincho"/>
          <w:lang w:val="fr-FR" w:eastAsia="en-US"/>
        </w:rPr>
        <w:t>- 51 controale privind monitorizarea standardelor minime de calitate de către entităţi care deţin licenţe de funcţionare ;</w:t>
      </w:r>
    </w:p>
    <w:p w:rsidR="00551642" w:rsidRPr="00551642" w:rsidRDefault="00551642" w:rsidP="00551642">
      <w:pPr>
        <w:tabs>
          <w:tab w:val="left" w:pos="0"/>
          <w:tab w:val="left" w:pos="709"/>
        </w:tabs>
        <w:jc w:val="both"/>
        <w:rPr>
          <w:rFonts w:eastAsia="MS Mincho"/>
          <w:lang w:val="fr-FR" w:eastAsia="en-US"/>
        </w:rPr>
      </w:pPr>
      <w:r w:rsidRPr="00551642">
        <w:rPr>
          <w:rFonts w:eastAsia="MS Mincho"/>
          <w:lang w:val="fr-FR" w:eastAsia="en-US"/>
        </w:rPr>
        <w:t>S-au dispus 19 retrageri a licenţelor de funcţionare.</w:t>
      </w:r>
    </w:p>
    <w:p w:rsidR="00551642" w:rsidRPr="00551642" w:rsidRDefault="00551642" w:rsidP="00551642">
      <w:pPr>
        <w:tabs>
          <w:tab w:val="left" w:pos="0"/>
          <w:tab w:val="left" w:pos="709"/>
        </w:tabs>
        <w:jc w:val="both"/>
        <w:rPr>
          <w:rFonts w:eastAsia="MS Mincho"/>
          <w:lang w:val="fr-FR" w:eastAsia="en-US"/>
        </w:rPr>
      </w:pPr>
      <w:r w:rsidRPr="00551642">
        <w:rPr>
          <w:rFonts w:eastAsia="MS Mincho"/>
          <w:lang w:val="fr-FR" w:eastAsia="en-US"/>
        </w:rPr>
        <w:t>Nu au fost dispuse sancţiuni contravenţionale.</w:t>
      </w:r>
    </w:p>
    <w:p w:rsidR="00551642" w:rsidRPr="00551642" w:rsidRDefault="00551642" w:rsidP="00551642">
      <w:pPr>
        <w:tabs>
          <w:tab w:val="left" w:pos="0"/>
          <w:tab w:val="left" w:pos="709"/>
        </w:tabs>
        <w:jc w:val="both"/>
        <w:rPr>
          <w:rFonts w:eastAsia="MS Mincho"/>
          <w:lang w:val="fr-FR" w:eastAsia="en-US"/>
        </w:rPr>
      </w:pPr>
      <w:r w:rsidRPr="00551642">
        <w:rPr>
          <w:rFonts w:eastAsia="MS Mincho"/>
          <w:lang w:val="fr-FR" w:eastAsia="en-US"/>
        </w:rPr>
        <w:t>Nu au existat rapoarte de evaluare/rapoarte de monitorizare contestate.</w:t>
      </w:r>
    </w:p>
    <w:p w:rsidR="00551642" w:rsidRDefault="00551642" w:rsidP="00551642">
      <w:pPr>
        <w:tabs>
          <w:tab w:val="left" w:pos="0"/>
          <w:tab w:val="left" w:pos="709"/>
        </w:tabs>
        <w:contextualSpacing/>
        <w:jc w:val="both"/>
        <w:rPr>
          <w:lang w:eastAsia="en-US"/>
        </w:rPr>
      </w:pPr>
    </w:p>
    <w:p w:rsidR="00551642" w:rsidRPr="00551642" w:rsidRDefault="00551642" w:rsidP="00551642">
      <w:pPr>
        <w:tabs>
          <w:tab w:val="left" w:pos="0"/>
        </w:tabs>
        <w:contextualSpacing/>
        <w:jc w:val="both"/>
        <w:rPr>
          <w:b/>
          <w:lang w:val="fr-FR" w:eastAsia="en-US"/>
        </w:rPr>
      </w:pPr>
      <w:r>
        <w:rPr>
          <w:lang w:eastAsia="en-US"/>
        </w:rPr>
        <w:tab/>
      </w:r>
      <w:r w:rsidRPr="00551642">
        <w:rPr>
          <w:lang w:eastAsia="en-US"/>
        </w:rPr>
        <w:t xml:space="preserve">În ceea ce priveşte </w:t>
      </w:r>
      <w:r w:rsidRPr="00551642">
        <w:rPr>
          <w:b/>
          <w:lang w:eastAsia="en-US"/>
        </w:rPr>
        <w:t>activitatea de m</w:t>
      </w:r>
      <w:r w:rsidRPr="00551642">
        <w:rPr>
          <w:b/>
          <w:lang w:val="fr-FR" w:eastAsia="en-US"/>
        </w:rPr>
        <w:t>onitorizarea serviciilor sociale</w:t>
      </w:r>
    </w:p>
    <w:p w:rsidR="00551642" w:rsidRPr="00551642" w:rsidRDefault="00551642" w:rsidP="00551642">
      <w:pPr>
        <w:tabs>
          <w:tab w:val="left" w:pos="0"/>
          <w:tab w:val="left" w:pos="709"/>
        </w:tabs>
        <w:jc w:val="both"/>
        <w:rPr>
          <w:rFonts w:eastAsia="MS Mincho"/>
          <w:lang w:val="fr-FR" w:eastAsia="en-US"/>
        </w:rPr>
      </w:pPr>
      <w:r>
        <w:rPr>
          <w:rFonts w:eastAsia="MS Mincho"/>
          <w:lang w:val="fr-FR" w:eastAsia="en-US"/>
        </w:rPr>
        <w:tab/>
      </w:r>
      <w:r w:rsidRPr="00551642">
        <w:rPr>
          <w:rFonts w:eastAsia="MS Mincho"/>
          <w:lang w:val="fr-FR" w:eastAsia="en-US"/>
        </w:rPr>
        <w:t>Au fost realizate 220  de monitorizări în teren privind accesibilizarea  unităţilor de învăţământ .</w:t>
      </w:r>
    </w:p>
    <w:p w:rsidR="00551642" w:rsidRPr="00551642" w:rsidRDefault="00551642" w:rsidP="00551642">
      <w:pPr>
        <w:tabs>
          <w:tab w:val="left" w:pos="0"/>
          <w:tab w:val="left" w:pos="709"/>
        </w:tabs>
        <w:jc w:val="both"/>
        <w:rPr>
          <w:rFonts w:eastAsia="MS Mincho"/>
          <w:lang w:eastAsia="en-US"/>
        </w:rPr>
      </w:pPr>
      <w:r>
        <w:rPr>
          <w:rFonts w:eastAsia="MS Mincho"/>
          <w:lang w:eastAsia="en-US"/>
        </w:rPr>
        <w:tab/>
      </w:r>
      <w:r w:rsidRPr="00551642">
        <w:rPr>
          <w:rFonts w:eastAsia="MS Mincho"/>
          <w:lang w:eastAsia="en-US"/>
        </w:rPr>
        <w:t>Au fost realizate 135 controale inopinate ca urmare a petiţiilor înregistrate la nivelul A.P.I.S.M.B.</w:t>
      </w:r>
    </w:p>
    <w:p w:rsidR="00551642" w:rsidRPr="00551642" w:rsidRDefault="00551642" w:rsidP="00551642">
      <w:pPr>
        <w:tabs>
          <w:tab w:val="left" w:pos="0"/>
          <w:tab w:val="left" w:pos="709"/>
        </w:tabs>
        <w:jc w:val="both"/>
        <w:rPr>
          <w:rFonts w:eastAsia="MS Mincho"/>
          <w:iCs/>
        </w:rPr>
      </w:pPr>
      <w:r>
        <w:rPr>
          <w:rFonts w:eastAsia="MS Mincho"/>
          <w:iCs/>
          <w:lang w:eastAsia="en-US"/>
        </w:rPr>
        <w:tab/>
      </w:r>
      <w:r w:rsidRPr="00551642">
        <w:rPr>
          <w:rFonts w:eastAsia="MS Mincho"/>
          <w:iCs/>
          <w:lang w:eastAsia="en-US"/>
        </w:rPr>
        <w:t>În anul 2018 s-au aplicat 49 sancţiuni contravenţionale</w:t>
      </w:r>
      <w:r w:rsidRPr="00551642">
        <w:rPr>
          <w:rFonts w:eastAsia="MS Mincho"/>
          <w:iCs/>
        </w:rPr>
        <w:t xml:space="preserve"> (33  avertismente şi 16  amenzi în cuantum  de </w:t>
      </w:r>
      <w:r w:rsidRPr="00551642">
        <w:rPr>
          <w:rFonts w:eastAsia="MS Mincho"/>
          <w:lang w:val="fr-FR" w:eastAsia="en-US"/>
        </w:rPr>
        <w:t xml:space="preserve">104.000 </w:t>
      </w:r>
      <w:r w:rsidRPr="00551642">
        <w:rPr>
          <w:rFonts w:eastAsia="MS Mincho"/>
          <w:iCs/>
        </w:rPr>
        <w:t xml:space="preserve">lei).S-a recuperat suma de </w:t>
      </w:r>
      <w:r w:rsidRPr="00551642">
        <w:rPr>
          <w:rFonts w:eastAsia="MS Mincho"/>
          <w:lang w:eastAsia="en-US"/>
        </w:rPr>
        <w:t xml:space="preserve">104.000 </w:t>
      </w:r>
      <w:r w:rsidRPr="00551642">
        <w:rPr>
          <w:rFonts w:eastAsia="MS Mincho"/>
          <w:iCs/>
        </w:rPr>
        <w:t>lei.</w:t>
      </w:r>
    </w:p>
    <w:p w:rsidR="00551642" w:rsidRPr="00551642" w:rsidRDefault="00551642" w:rsidP="00551642">
      <w:pPr>
        <w:tabs>
          <w:tab w:val="left" w:pos="0"/>
          <w:tab w:val="left" w:pos="709"/>
        </w:tabs>
        <w:contextualSpacing/>
        <w:jc w:val="both"/>
        <w:rPr>
          <w:lang w:eastAsia="en-US"/>
        </w:rPr>
      </w:pPr>
      <w:r>
        <w:rPr>
          <w:lang w:eastAsia="en-US"/>
        </w:rPr>
        <w:tab/>
      </w:r>
      <w:r w:rsidRPr="00551642">
        <w:rPr>
          <w:lang w:eastAsia="en-US"/>
        </w:rPr>
        <w:t>În ceea ce priveşte activitatea de consiliere/informare, a</w:t>
      </w:r>
      <w:r w:rsidRPr="00551642">
        <w:rPr>
          <w:rFonts w:eastAsia="Calibri"/>
          <w:lang w:eastAsia="en-US"/>
        </w:rPr>
        <w:t xml:space="preserve">u fost consiliate </w:t>
      </w:r>
      <w:r w:rsidRPr="00551642">
        <w:rPr>
          <w:rFonts w:eastAsia="Calibri"/>
          <w:b/>
          <w:lang w:eastAsia="en-US"/>
        </w:rPr>
        <w:t>256 entitaţi</w:t>
      </w:r>
      <w:r w:rsidRPr="00551642">
        <w:rPr>
          <w:rFonts w:eastAsia="Calibri"/>
          <w:lang w:eastAsia="en-US"/>
        </w:rPr>
        <w:t>. Consilierea acestora s-a realizat prin introducerea unui capitol distinct în procesele verbale de control</w:t>
      </w:r>
      <w:r w:rsidRPr="00551642">
        <w:rPr>
          <w:lang w:eastAsia="en-US"/>
        </w:rPr>
        <w:t xml:space="preserve">. </w:t>
      </w:r>
    </w:p>
    <w:p w:rsidR="00551642" w:rsidRPr="00551642" w:rsidRDefault="00551642" w:rsidP="00551642">
      <w:pPr>
        <w:tabs>
          <w:tab w:val="left" w:pos="0"/>
          <w:tab w:val="left" w:pos="709"/>
        </w:tabs>
        <w:jc w:val="both"/>
        <w:rPr>
          <w:rFonts w:eastAsia="MS Mincho"/>
          <w:b/>
          <w:color w:val="000000"/>
          <w:lang w:eastAsia="en-US"/>
        </w:rPr>
      </w:pPr>
      <w:r>
        <w:rPr>
          <w:rFonts w:eastAsia="MS Mincho"/>
          <w:lang w:eastAsia="en-US"/>
        </w:rPr>
        <w:tab/>
      </w:r>
      <w:r w:rsidRPr="00551642">
        <w:rPr>
          <w:rFonts w:eastAsia="MS Mincho"/>
          <w:lang w:eastAsia="en-US"/>
        </w:rPr>
        <w:t xml:space="preserve">În anul 2018, Serviciului Inspecţie Socială i-au fost repartizate, în vederea soluţionării, un număr de </w:t>
      </w:r>
      <w:r w:rsidRPr="00551642">
        <w:rPr>
          <w:rFonts w:eastAsia="MS Mincho"/>
          <w:b/>
          <w:bCs/>
          <w:color w:val="000000"/>
          <w:lang w:eastAsia="en-US"/>
        </w:rPr>
        <w:t>64</w:t>
      </w:r>
      <w:r w:rsidRPr="00551642">
        <w:rPr>
          <w:rFonts w:eastAsia="MS Mincho"/>
          <w:lang w:eastAsia="en-US"/>
        </w:rPr>
        <w:t xml:space="preserve"> petiţii/sesizări transmise de persoane fizice, juridice, instituţii publice sau private.  </w:t>
      </w:r>
      <w:r w:rsidRPr="00551642">
        <w:rPr>
          <w:rFonts w:eastAsia="Calibri"/>
          <w:lang w:eastAsia="en-US"/>
        </w:rPr>
        <w:t>9 nu au intrat în aria de competenţă a institutiei și au fost redirecţionate. 37 s-au solutionat în teren prin încheierea proceselor -verbale de control, iar pentru 18 s-a formulat răspuns de birou (informaţii legislative)</w:t>
      </w:r>
    </w:p>
    <w:p w:rsidR="00551642" w:rsidRPr="00551642" w:rsidRDefault="00551642" w:rsidP="00551642">
      <w:pPr>
        <w:tabs>
          <w:tab w:val="left" w:pos="0"/>
          <w:tab w:val="left" w:pos="709"/>
        </w:tabs>
        <w:contextualSpacing/>
        <w:jc w:val="both"/>
        <w:rPr>
          <w:color w:val="000000"/>
          <w:lang w:eastAsia="en-US"/>
        </w:rPr>
      </w:pPr>
      <w:r>
        <w:rPr>
          <w:color w:val="000000"/>
          <w:lang w:eastAsia="en-US"/>
        </w:rPr>
        <w:tab/>
      </w:r>
      <w:r w:rsidRPr="00551642">
        <w:rPr>
          <w:color w:val="000000"/>
          <w:lang w:eastAsia="en-US"/>
        </w:rPr>
        <w:t xml:space="preserve">Referitor la executarea verificărilor încrucişate cu baze de date externe în vederea identificării suspiciunilor de acordare în mod necuvenit a sumelor cu titlu de beneficii  de asistenţă socială, au fost verificare </w:t>
      </w:r>
      <w:r w:rsidRPr="00551642">
        <w:rPr>
          <w:b/>
          <w:color w:val="000000"/>
          <w:lang w:eastAsia="en-US"/>
        </w:rPr>
        <w:t>694  de CNP-uri</w:t>
      </w:r>
      <w:r w:rsidRPr="00551642">
        <w:rPr>
          <w:color w:val="000000"/>
          <w:lang w:eastAsia="en-US"/>
        </w:rPr>
        <w:t xml:space="preserve"> și s-au  confirmat 88 de suspiciuni. </w:t>
      </w:r>
      <w:r w:rsidRPr="00551642">
        <w:rPr>
          <w:rFonts w:eastAsia="Calibri"/>
          <w:lang w:eastAsia="en-US"/>
        </w:rPr>
        <w:t>Verificările au fost realizate pe parcursul derulării Campaniei „Controlul de fond al serviciilor publice de asistenţă socială” din 2018</w:t>
      </w:r>
    </w:p>
    <w:p w:rsidR="00551642" w:rsidRPr="00551642" w:rsidRDefault="00551642" w:rsidP="00551642">
      <w:pPr>
        <w:tabs>
          <w:tab w:val="left" w:pos="0"/>
        </w:tabs>
        <w:autoSpaceDE w:val="0"/>
        <w:autoSpaceDN w:val="0"/>
        <w:adjustRightInd w:val="0"/>
        <w:jc w:val="both"/>
        <w:rPr>
          <w:rFonts w:eastAsia="MS Mincho"/>
          <w:b/>
          <w:i/>
          <w:lang w:val="en-US" w:eastAsia="en-US"/>
        </w:rPr>
      </w:pPr>
      <w:r w:rsidRPr="00551642">
        <w:rPr>
          <w:rFonts w:eastAsia="MS Mincho"/>
          <w:b/>
          <w:i/>
          <w:lang w:val="en-US" w:eastAsia="en-US"/>
        </w:rPr>
        <w:t>Sustinerea procesului de autorizare a furnizorilor de formare profesionala prin indeplinirea eficienta a atributiilor de secretariat tehnic al comisiei de autorizare</w:t>
      </w:r>
    </w:p>
    <w:p w:rsidR="00551642" w:rsidRPr="00551642" w:rsidRDefault="00551642" w:rsidP="00980D72">
      <w:pPr>
        <w:numPr>
          <w:ilvl w:val="0"/>
          <w:numId w:val="45"/>
        </w:numPr>
        <w:tabs>
          <w:tab w:val="left" w:pos="0"/>
          <w:tab w:val="left" w:pos="284"/>
        </w:tabs>
        <w:autoSpaceDE w:val="0"/>
        <w:autoSpaceDN w:val="0"/>
        <w:adjustRightInd w:val="0"/>
        <w:ind w:left="0" w:firstLine="0"/>
        <w:contextualSpacing/>
        <w:jc w:val="both"/>
        <w:rPr>
          <w:lang w:val="en-US" w:eastAsia="en-US"/>
        </w:rPr>
      </w:pPr>
      <w:r w:rsidRPr="00551642">
        <w:rPr>
          <w:lang w:val="en-US" w:eastAsia="en-US"/>
        </w:rPr>
        <w:t>Asigurarea îndrumării metodologice pentru aplicarea actelor normative din domeniul autorizării furnizorilor de formare profesională a adulţilor;</w:t>
      </w:r>
    </w:p>
    <w:p w:rsidR="00551642" w:rsidRPr="00551642" w:rsidRDefault="00551642" w:rsidP="00980D72">
      <w:pPr>
        <w:numPr>
          <w:ilvl w:val="0"/>
          <w:numId w:val="45"/>
        </w:numPr>
        <w:tabs>
          <w:tab w:val="left" w:pos="0"/>
          <w:tab w:val="left" w:pos="284"/>
        </w:tabs>
        <w:autoSpaceDE w:val="0"/>
        <w:autoSpaceDN w:val="0"/>
        <w:adjustRightInd w:val="0"/>
        <w:ind w:left="0" w:firstLine="0"/>
        <w:contextualSpacing/>
        <w:jc w:val="both"/>
        <w:rPr>
          <w:lang w:val="en-US" w:eastAsia="en-US"/>
        </w:rPr>
      </w:pPr>
      <w:r w:rsidRPr="00551642">
        <w:rPr>
          <w:lang w:val="en-US" w:eastAsia="en-US"/>
        </w:rPr>
        <w:t>Autorizarea furnizorilor de formare profesională;</w:t>
      </w:r>
    </w:p>
    <w:p w:rsidR="00551642" w:rsidRPr="00551642" w:rsidRDefault="00551642" w:rsidP="00980D72">
      <w:pPr>
        <w:numPr>
          <w:ilvl w:val="0"/>
          <w:numId w:val="45"/>
        </w:numPr>
        <w:tabs>
          <w:tab w:val="left" w:pos="0"/>
          <w:tab w:val="left" w:pos="284"/>
        </w:tabs>
        <w:autoSpaceDE w:val="0"/>
        <w:autoSpaceDN w:val="0"/>
        <w:adjustRightInd w:val="0"/>
        <w:ind w:left="0" w:firstLine="0"/>
        <w:contextualSpacing/>
        <w:jc w:val="both"/>
        <w:rPr>
          <w:lang w:val="en-US" w:eastAsia="en-US"/>
        </w:rPr>
      </w:pPr>
      <w:r w:rsidRPr="00551642">
        <w:rPr>
          <w:lang w:val="en-US" w:eastAsia="en-US"/>
        </w:rPr>
        <w:t>Monitorizarea furnizorilor de formare profesională autorizaţi;</w:t>
      </w:r>
    </w:p>
    <w:p w:rsidR="00551642" w:rsidRPr="00551642" w:rsidRDefault="00551642" w:rsidP="00980D72">
      <w:pPr>
        <w:numPr>
          <w:ilvl w:val="0"/>
          <w:numId w:val="45"/>
        </w:numPr>
        <w:tabs>
          <w:tab w:val="left" w:pos="0"/>
          <w:tab w:val="left" w:pos="284"/>
        </w:tabs>
        <w:autoSpaceDE w:val="0"/>
        <w:autoSpaceDN w:val="0"/>
        <w:adjustRightInd w:val="0"/>
        <w:ind w:left="0" w:firstLine="0"/>
        <w:contextualSpacing/>
        <w:jc w:val="both"/>
        <w:rPr>
          <w:lang w:val="en-US" w:eastAsia="en-US"/>
        </w:rPr>
      </w:pPr>
      <w:r w:rsidRPr="00551642">
        <w:rPr>
          <w:lang w:val="en-US" w:eastAsia="en-US"/>
        </w:rPr>
        <w:t>Certificarea formării profesionale a adulţilor;</w:t>
      </w:r>
    </w:p>
    <w:p w:rsidR="00551642" w:rsidRPr="00551642" w:rsidRDefault="00551642" w:rsidP="00980D72">
      <w:pPr>
        <w:numPr>
          <w:ilvl w:val="0"/>
          <w:numId w:val="45"/>
        </w:numPr>
        <w:tabs>
          <w:tab w:val="left" w:pos="0"/>
          <w:tab w:val="left" w:pos="284"/>
        </w:tabs>
        <w:autoSpaceDE w:val="0"/>
        <w:autoSpaceDN w:val="0"/>
        <w:adjustRightInd w:val="0"/>
        <w:ind w:left="0" w:firstLine="0"/>
        <w:contextualSpacing/>
        <w:jc w:val="both"/>
        <w:rPr>
          <w:lang w:val="fr-FR" w:eastAsia="en-US"/>
        </w:rPr>
      </w:pPr>
      <w:r w:rsidRPr="00551642">
        <w:rPr>
          <w:lang w:val="fr-FR" w:eastAsia="en-US"/>
        </w:rPr>
        <w:t>Aplicarea vizei în vederea apostilării pentru certificatele de absolvire si de calificare.</w:t>
      </w:r>
    </w:p>
    <w:p w:rsidR="00551642" w:rsidRPr="00551642" w:rsidRDefault="00551642" w:rsidP="00980D72">
      <w:pPr>
        <w:numPr>
          <w:ilvl w:val="0"/>
          <w:numId w:val="44"/>
        </w:numPr>
        <w:tabs>
          <w:tab w:val="left" w:pos="0"/>
          <w:tab w:val="left" w:pos="284"/>
          <w:tab w:val="left" w:pos="900"/>
          <w:tab w:val="left" w:pos="1560"/>
        </w:tabs>
        <w:ind w:left="0" w:firstLine="0"/>
        <w:contextualSpacing/>
        <w:jc w:val="both"/>
        <w:rPr>
          <w:lang w:val="fr-FR" w:eastAsia="en-US"/>
        </w:rPr>
      </w:pPr>
      <w:r w:rsidRPr="00551642">
        <w:rPr>
          <w:lang w:val="fr-FR" w:eastAsia="en-US"/>
        </w:rPr>
        <w:t>Zilnic, s-au oferit informaţii de specialitate pentru o medie de 50 solicitări.</w:t>
      </w:r>
    </w:p>
    <w:p w:rsidR="00551642" w:rsidRDefault="00551642" w:rsidP="00551642">
      <w:pPr>
        <w:tabs>
          <w:tab w:val="left" w:pos="0"/>
          <w:tab w:val="left" w:pos="284"/>
          <w:tab w:val="left" w:pos="900"/>
          <w:tab w:val="left" w:pos="1560"/>
        </w:tabs>
        <w:contextualSpacing/>
        <w:jc w:val="both"/>
        <w:rPr>
          <w:color w:val="000000"/>
          <w:lang w:eastAsia="en-US"/>
        </w:rPr>
      </w:pPr>
      <w:r>
        <w:rPr>
          <w:color w:val="000000"/>
          <w:lang w:eastAsia="en-US"/>
        </w:rPr>
        <w:tab/>
      </w:r>
      <w:r>
        <w:rPr>
          <w:color w:val="000000"/>
          <w:lang w:eastAsia="en-US"/>
        </w:rPr>
        <w:tab/>
      </w:r>
    </w:p>
    <w:p w:rsidR="00551642" w:rsidRPr="00551642" w:rsidRDefault="00551642" w:rsidP="00551642">
      <w:pPr>
        <w:tabs>
          <w:tab w:val="left" w:pos="0"/>
          <w:tab w:val="left" w:pos="284"/>
          <w:tab w:val="left" w:pos="900"/>
          <w:tab w:val="left" w:pos="1560"/>
        </w:tabs>
        <w:contextualSpacing/>
        <w:jc w:val="both"/>
        <w:rPr>
          <w:b/>
          <w:lang w:val="en-US" w:eastAsia="en-US"/>
        </w:rPr>
      </w:pPr>
      <w:r>
        <w:rPr>
          <w:color w:val="000000"/>
          <w:lang w:eastAsia="en-US"/>
        </w:rPr>
        <w:tab/>
      </w:r>
      <w:r>
        <w:rPr>
          <w:color w:val="000000"/>
          <w:lang w:eastAsia="en-US"/>
        </w:rPr>
        <w:tab/>
      </w:r>
      <w:r w:rsidRPr="00551642">
        <w:rPr>
          <w:color w:val="000000"/>
          <w:lang w:eastAsia="en-US"/>
        </w:rPr>
        <w:t xml:space="preserve">În perioada ianuarie-decembrie 2018, s-a verificat documentaţia în vederea autorizării pentru </w:t>
      </w:r>
      <w:r w:rsidRPr="00551642">
        <w:rPr>
          <w:b/>
          <w:color w:val="000000"/>
          <w:lang w:eastAsia="en-US"/>
        </w:rPr>
        <w:t>510 de programe de formare profesională</w:t>
      </w:r>
      <w:r w:rsidRPr="00551642">
        <w:rPr>
          <w:color w:val="000000"/>
          <w:lang w:eastAsia="en-US"/>
        </w:rPr>
        <w:t>.</w:t>
      </w:r>
    </w:p>
    <w:p w:rsidR="00551642" w:rsidRPr="00551642" w:rsidRDefault="00551642" w:rsidP="00551642">
      <w:pPr>
        <w:tabs>
          <w:tab w:val="left" w:pos="0"/>
          <w:tab w:val="left" w:pos="284"/>
          <w:tab w:val="left" w:pos="900"/>
          <w:tab w:val="left" w:pos="1560"/>
        </w:tabs>
        <w:contextualSpacing/>
        <w:jc w:val="both"/>
        <w:rPr>
          <w:lang w:val="fr-FR" w:eastAsia="en-US"/>
        </w:rPr>
      </w:pPr>
      <w:r>
        <w:rPr>
          <w:color w:val="000000"/>
          <w:lang w:eastAsia="en-US"/>
        </w:rPr>
        <w:t xml:space="preserve">- </w:t>
      </w:r>
      <w:r w:rsidRPr="00551642">
        <w:rPr>
          <w:color w:val="000000"/>
          <w:lang w:eastAsia="en-US"/>
        </w:rPr>
        <w:t xml:space="preserve">Au fost </w:t>
      </w:r>
      <w:r w:rsidRPr="00551642">
        <w:rPr>
          <w:b/>
          <w:color w:val="000000"/>
          <w:lang w:eastAsia="en-US"/>
        </w:rPr>
        <w:t>autorizaţi 277 furnizori</w:t>
      </w:r>
      <w:r w:rsidRPr="00551642">
        <w:rPr>
          <w:color w:val="000000"/>
          <w:lang w:eastAsia="en-US"/>
        </w:rPr>
        <w:t xml:space="preserve"> de formare profesională. </w:t>
      </w:r>
    </w:p>
    <w:p w:rsidR="00551642" w:rsidRPr="00551642" w:rsidRDefault="00551642" w:rsidP="00551642">
      <w:pPr>
        <w:tabs>
          <w:tab w:val="left" w:pos="0"/>
          <w:tab w:val="left" w:pos="284"/>
          <w:tab w:val="left" w:pos="900"/>
          <w:tab w:val="left" w:pos="1560"/>
        </w:tabs>
        <w:contextualSpacing/>
        <w:jc w:val="both"/>
        <w:rPr>
          <w:lang w:val="fr-FR" w:eastAsia="en-US"/>
        </w:rPr>
      </w:pPr>
      <w:r>
        <w:rPr>
          <w:color w:val="000000"/>
          <w:lang w:eastAsia="en-US"/>
        </w:rPr>
        <w:t xml:space="preserve">- </w:t>
      </w:r>
      <w:r w:rsidRPr="00551642">
        <w:rPr>
          <w:color w:val="000000"/>
          <w:lang w:eastAsia="en-US"/>
        </w:rPr>
        <w:t xml:space="preserve">Au fost </w:t>
      </w:r>
      <w:r w:rsidRPr="00551642">
        <w:rPr>
          <w:b/>
          <w:color w:val="000000"/>
          <w:lang w:eastAsia="en-US"/>
        </w:rPr>
        <w:t>organizate şi finalizate 7232 cursuri de formare profesională</w:t>
      </w:r>
      <w:r w:rsidRPr="00551642">
        <w:rPr>
          <w:color w:val="000000"/>
          <w:lang w:eastAsia="en-US"/>
        </w:rPr>
        <w:t>;</w:t>
      </w:r>
    </w:p>
    <w:p w:rsidR="00551642" w:rsidRDefault="00551642" w:rsidP="00551642">
      <w:pPr>
        <w:tabs>
          <w:tab w:val="left" w:pos="0"/>
          <w:tab w:val="left" w:pos="284"/>
          <w:tab w:val="left" w:pos="900"/>
          <w:tab w:val="left" w:pos="1560"/>
        </w:tabs>
        <w:contextualSpacing/>
        <w:jc w:val="both"/>
        <w:rPr>
          <w:color w:val="000000"/>
          <w:lang w:eastAsia="en-US"/>
        </w:rPr>
      </w:pPr>
      <w:r>
        <w:rPr>
          <w:color w:val="000000"/>
          <w:lang w:eastAsia="en-US"/>
        </w:rPr>
        <w:t xml:space="preserve">- </w:t>
      </w:r>
      <w:r w:rsidRPr="00551642">
        <w:rPr>
          <w:color w:val="000000"/>
          <w:lang w:eastAsia="en-US"/>
        </w:rPr>
        <w:t xml:space="preserve">S-a verificat documentaţia pentru </w:t>
      </w:r>
      <w:r w:rsidRPr="00551642">
        <w:rPr>
          <w:b/>
          <w:lang w:eastAsia="en-US"/>
        </w:rPr>
        <w:t>891</w:t>
      </w:r>
      <w:r w:rsidRPr="00551642">
        <w:rPr>
          <w:color w:val="000000"/>
          <w:lang w:eastAsia="en-US"/>
        </w:rPr>
        <w:t xml:space="preserve"> de </w:t>
      </w:r>
      <w:r w:rsidRPr="00551642">
        <w:rPr>
          <w:b/>
          <w:color w:val="000000"/>
          <w:lang w:eastAsia="en-US"/>
        </w:rPr>
        <w:t>solicitări în vedereaapostilării certificatelor</w:t>
      </w:r>
      <w:r w:rsidRPr="00551642">
        <w:rPr>
          <w:color w:val="000000"/>
          <w:lang w:eastAsia="en-US"/>
        </w:rPr>
        <w:t xml:space="preserve"> de calificare.</w:t>
      </w:r>
    </w:p>
    <w:p w:rsidR="00551642" w:rsidRPr="00551642" w:rsidRDefault="00551642" w:rsidP="00551642">
      <w:pPr>
        <w:tabs>
          <w:tab w:val="left" w:pos="0"/>
          <w:tab w:val="left" w:pos="284"/>
          <w:tab w:val="left" w:pos="900"/>
          <w:tab w:val="left" w:pos="1560"/>
        </w:tabs>
        <w:contextualSpacing/>
        <w:jc w:val="both"/>
        <w:rPr>
          <w:lang w:val="fr-FR" w:eastAsia="en-US"/>
        </w:rPr>
      </w:pPr>
    </w:p>
    <w:p w:rsidR="00551642" w:rsidRPr="00551642" w:rsidRDefault="00551642" w:rsidP="00551642">
      <w:pPr>
        <w:tabs>
          <w:tab w:val="left" w:pos="0"/>
        </w:tabs>
        <w:autoSpaceDE w:val="0"/>
        <w:autoSpaceDN w:val="0"/>
        <w:adjustRightInd w:val="0"/>
        <w:jc w:val="both"/>
        <w:rPr>
          <w:rFonts w:eastAsia="MS Mincho"/>
          <w:b/>
          <w:i/>
          <w:lang w:val="fr-FR" w:eastAsia="en-US"/>
        </w:rPr>
      </w:pPr>
      <w:r w:rsidRPr="00551642">
        <w:rPr>
          <w:rFonts w:eastAsia="MS Mincho"/>
          <w:b/>
          <w:i/>
          <w:lang w:val="fr-FR" w:eastAsia="en-US"/>
        </w:rPr>
        <w:t>Urmărirea aplicarii si respectarii politicilor in domeniul autorizarii si functionarii agentului de munca temporara</w:t>
      </w:r>
    </w:p>
    <w:p w:rsidR="00551642" w:rsidRPr="00551642" w:rsidRDefault="00551642" w:rsidP="00551642">
      <w:pPr>
        <w:tabs>
          <w:tab w:val="left" w:pos="0"/>
        </w:tabs>
        <w:autoSpaceDE w:val="0"/>
        <w:autoSpaceDN w:val="0"/>
        <w:adjustRightInd w:val="0"/>
        <w:contextualSpacing/>
        <w:jc w:val="both"/>
        <w:rPr>
          <w:lang w:val="en-US" w:eastAsia="en-US"/>
        </w:rPr>
      </w:pPr>
      <w:r>
        <w:rPr>
          <w:lang w:val="en-US" w:eastAsia="en-US"/>
        </w:rPr>
        <w:tab/>
      </w:r>
      <w:r w:rsidRPr="00551642">
        <w:rPr>
          <w:lang w:val="en-US" w:eastAsia="en-US"/>
        </w:rPr>
        <w:t>Rezolvarea solicitarilor privind eliberarea/prelungirea autorizatiei de functionare ca agent de munca temporara</w:t>
      </w:r>
    </w:p>
    <w:p w:rsidR="00D55356" w:rsidRDefault="00551642" w:rsidP="00551642">
      <w:pPr>
        <w:tabs>
          <w:tab w:val="left" w:pos="0"/>
        </w:tabs>
        <w:autoSpaceDE w:val="0"/>
        <w:autoSpaceDN w:val="0"/>
        <w:adjustRightInd w:val="0"/>
        <w:contextualSpacing/>
        <w:jc w:val="both"/>
        <w:rPr>
          <w:lang w:val="en-US" w:eastAsia="en-US"/>
        </w:rPr>
      </w:pPr>
      <w:r>
        <w:rPr>
          <w:lang w:val="en-US" w:eastAsia="en-US"/>
        </w:rPr>
        <w:lastRenderedPageBreak/>
        <w:tab/>
      </w:r>
      <w:r w:rsidRPr="00551642">
        <w:rPr>
          <w:lang w:val="en-US" w:eastAsia="en-US"/>
        </w:rPr>
        <w:t xml:space="preserve">Au fost înregistrate </w:t>
      </w:r>
      <w:r w:rsidRPr="00551642">
        <w:rPr>
          <w:b/>
          <w:lang w:val="en-US" w:eastAsia="en-US"/>
        </w:rPr>
        <w:t>66 de solicitări</w:t>
      </w:r>
      <w:r w:rsidRPr="00551642">
        <w:rPr>
          <w:lang w:val="en-US" w:eastAsia="en-US"/>
        </w:rPr>
        <w:t xml:space="preserve"> privind eliberarea/prelungirea autorizaţiei de funcţionare ca agent de muncă temporară, înfiinţarea punctelor de lucru, schimbarea denumirii, schimbarea sediului. </w:t>
      </w:r>
    </w:p>
    <w:p w:rsidR="00551642" w:rsidRPr="00551642" w:rsidRDefault="00551642" w:rsidP="00551642">
      <w:pPr>
        <w:tabs>
          <w:tab w:val="left" w:pos="0"/>
        </w:tabs>
        <w:autoSpaceDE w:val="0"/>
        <w:autoSpaceDN w:val="0"/>
        <w:adjustRightInd w:val="0"/>
        <w:contextualSpacing/>
        <w:jc w:val="both"/>
        <w:rPr>
          <w:lang w:val="en-US" w:eastAsia="en-US"/>
        </w:rPr>
      </w:pPr>
    </w:p>
    <w:p w:rsidR="0014428E" w:rsidRDefault="0014428E" w:rsidP="00A77970">
      <w:pPr>
        <w:jc w:val="both"/>
      </w:pPr>
    </w:p>
    <w:p w:rsidR="005C57E2" w:rsidRDefault="005C57E2" w:rsidP="00A77970">
      <w:pPr>
        <w:pStyle w:val="ListParagraph"/>
        <w:numPr>
          <w:ilvl w:val="1"/>
          <w:numId w:val="5"/>
        </w:numPr>
        <w:ind w:left="709" w:hanging="709"/>
        <w:jc w:val="both"/>
        <w:rPr>
          <w:b/>
        </w:rPr>
      </w:pPr>
      <w:r w:rsidRPr="00663B57">
        <w:rPr>
          <w:b/>
        </w:rPr>
        <w:t>Protecția mediului</w:t>
      </w:r>
    </w:p>
    <w:p w:rsidR="00E12B6B" w:rsidRPr="00E12B6B" w:rsidRDefault="00E12B6B" w:rsidP="00A77970">
      <w:pPr>
        <w:jc w:val="both"/>
        <w:rPr>
          <w:b/>
        </w:rPr>
      </w:pPr>
    </w:p>
    <w:p w:rsidR="00DA6F5C" w:rsidRDefault="0014428E" w:rsidP="00A77970">
      <w:pPr>
        <w:jc w:val="both"/>
        <w:rPr>
          <w:b/>
        </w:rPr>
      </w:pPr>
      <w:r>
        <w:rPr>
          <w:b/>
          <w:kern w:val="28"/>
          <w:lang w:val="en-US" w:eastAsia="en-US"/>
        </w:rPr>
        <w:t>P</w:t>
      </w:r>
      <w:r w:rsidRPr="001A0ECE">
        <w:rPr>
          <w:b/>
          <w:kern w:val="28"/>
          <w:lang w:val="en-US" w:eastAsia="en-US"/>
        </w:rPr>
        <w:t xml:space="preserve">rincipalele realizări </w:t>
      </w:r>
      <w:r>
        <w:rPr>
          <w:b/>
          <w:kern w:val="28"/>
          <w:lang w:val="en-US" w:eastAsia="en-US"/>
        </w:rPr>
        <w:t xml:space="preserve">ale </w:t>
      </w:r>
      <w:r w:rsidRPr="00DA6F5C">
        <w:rPr>
          <w:b/>
        </w:rPr>
        <w:t>Agenți</w:t>
      </w:r>
      <w:r>
        <w:rPr>
          <w:b/>
        </w:rPr>
        <w:t>ei</w:t>
      </w:r>
      <w:r w:rsidRPr="00DA6F5C">
        <w:rPr>
          <w:b/>
        </w:rPr>
        <w:t xml:space="preserve"> </w:t>
      </w:r>
      <w:r>
        <w:rPr>
          <w:b/>
        </w:rPr>
        <w:t>d</w:t>
      </w:r>
      <w:r w:rsidRPr="00DA6F5C">
        <w:rPr>
          <w:b/>
        </w:rPr>
        <w:t xml:space="preserve">e Protecție </w:t>
      </w:r>
      <w:r>
        <w:rPr>
          <w:b/>
        </w:rPr>
        <w:t>a</w:t>
      </w:r>
      <w:r w:rsidRPr="00DA6F5C">
        <w:rPr>
          <w:b/>
        </w:rPr>
        <w:t xml:space="preserve"> Mediului București (A</w:t>
      </w:r>
      <w:r>
        <w:rPr>
          <w:b/>
        </w:rPr>
        <w:t>PMB</w:t>
      </w:r>
      <w:r w:rsidRPr="00DA6F5C">
        <w:rPr>
          <w:b/>
        </w:rPr>
        <w:t>)</w:t>
      </w:r>
    </w:p>
    <w:p w:rsidR="008A0893" w:rsidRPr="009C6A35" w:rsidRDefault="008A0893" w:rsidP="00A77970">
      <w:pPr>
        <w:tabs>
          <w:tab w:val="left" w:pos="212"/>
        </w:tabs>
        <w:jc w:val="both"/>
        <w:rPr>
          <w:rFonts w:eastAsia="Calibri"/>
          <w:spacing w:val="-4"/>
          <w:highlight w:val="lightGray"/>
          <w:lang w:eastAsia="en-US"/>
        </w:rPr>
      </w:pPr>
    </w:p>
    <w:p w:rsidR="004222EA" w:rsidRDefault="004222EA" w:rsidP="008A0893">
      <w:pPr>
        <w:tabs>
          <w:tab w:val="left" w:pos="0"/>
        </w:tabs>
        <w:contextualSpacing/>
        <w:jc w:val="both"/>
        <w:rPr>
          <w:rFonts w:eastAsia="Calibri"/>
          <w:lang w:eastAsia="en-US"/>
        </w:rPr>
      </w:pPr>
      <w:r w:rsidRPr="008A0893">
        <w:rPr>
          <w:rFonts w:eastAsia="Calibri"/>
          <w:lang w:eastAsia="en-US"/>
        </w:rPr>
        <w:tab/>
        <w:t>La nivelul APMB s-au emis în anul 201</w:t>
      </w:r>
      <w:r w:rsidR="008A0893" w:rsidRPr="008A0893">
        <w:rPr>
          <w:rFonts w:eastAsia="Calibri"/>
          <w:lang w:eastAsia="en-US"/>
        </w:rPr>
        <w:t>8</w:t>
      </w:r>
      <w:r w:rsidRPr="008A0893">
        <w:rPr>
          <w:rFonts w:eastAsia="Calibri"/>
          <w:lang w:eastAsia="en-US"/>
        </w:rPr>
        <w:t xml:space="preserve"> următoarele acte de reglementare, cu respectarea termenelor impuse prin legislație:</w:t>
      </w:r>
    </w:p>
    <w:p w:rsidR="005625ED" w:rsidRPr="008A0893" w:rsidRDefault="005625ED" w:rsidP="008A0893">
      <w:pPr>
        <w:tabs>
          <w:tab w:val="left" w:pos="0"/>
        </w:tabs>
        <w:contextualSpacing/>
        <w:jc w:val="both"/>
        <w:rPr>
          <w:rFonts w:eastAsia="Calibri"/>
          <w:lang w:eastAsia="en-US"/>
        </w:rPr>
      </w:pPr>
    </w:p>
    <w:p w:rsidR="004222EA" w:rsidRPr="008A0893" w:rsidRDefault="004222EA" w:rsidP="000E7C15">
      <w:pPr>
        <w:numPr>
          <w:ilvl w:val="0"/>
          <w:numId w:val="21"/>
        </w:numPr>
        <w:tabs>
          <w:tab w:val="left" w:pos="0"/>
        </w:tabs>
        <w:spacing w:after="200"/>
        <w:ind w:left="0" w:firstLine="284"/>
        <w:contextualSpacing/>
        <w:jc w:val="both"/>
        <w:rPr>
          <w:noProof/>
          <w:lang w:eastAsia="en-US"/>
        </w:rPr>
      </w:pPr>
      <w:r w:rsidRPr="008A0893">
        <w:rPr>
          <w:noProof/>
          <w:lang w:eastAsia="en-US"/>
        </w:rPr>
        <w:t>Autorizaţii integrate de mediu :</w:t>
      </w:r>
    </w:p>
    <w:p w:rsidR="008A0893" w:rsidRPr="008A0893" w:rsidRDefault="008A0893" w:rsidP="000E7C15">
      <w:pPr>
        <w:numPr>
          <w:ilvl w:val="0"/>
          <w:numId w:val="46"/>
        </w:numPr>
        <w:tabs>
          <w:tab w:val="left" w:pos="0"/>
        </w:tabs>
        <w:ind w:left="0" w:firstLine="0"/>
        <w:jc w:val="both"/>
        <w:rPr>
          <w:snapToGrid w:val="0"/>
          <w:lang w:eastAsia="en-US"/>
        </w:rPr>
      </w:pPr>
      <w:r w:rsidRPr="008A0893">
        <w:rPr>
          <w:snapToGrid w:val="0"/>
          <w:lang w:eastAsia="en-US"/>
        </w:rPr>
        <w:t xml:space="preserve">Autorizaţii  integrate de mediu - </w:t>
      </w:r>
      <w:r w:rsidRPr="008A0893">
        <w:rPr>
          <w:b/>
          <w:snapToGrid w:val="0"/>
          <w:lang w:eastAsia="en-US"/>
        </w:rPr>
        <w:t>1</w:t>
      </w:r>
      <w:r w:rsidRPr="008A0893">
        <w:rPr>
          <w:snapToGrid w:val="0"/>
          <w:lang w:eastAsia="en-US"/>
        </w:rPr>
        <w:t>;</w:t>
      </w:r>
    </w:p>
    <w:p w:rsidR="008A0893" w:rsidRPr="008A0893" w:rsidRDefault="008A0893" w:rsidP="000E7C15">
      <w:pPr>
        <w:numPr>
          <w:ilvl w:val="0"/>
          <w:numId w:val="46"/>
        </w:numPr>
        <w:tabs>
          <w:tab w:val="left" w:pos="0"/>
        </w:tabs>
        <w:ind w:left="0" w:firstLine="0"/>
        <w:jc w:val="both"/>
        <w:rPr>
          <w:snapToGrid w:val="0"/>
          <w:lang w:eastAsia="en-US"/>
        </w:rPr>
      </w:pPr>
      <w:r w:rsidRPr="008A0893">
        <w:rPr>
          <w:snapToGrid w:val="0"/>
          <w:lang w:eastAsia="en-US"/>
        </w:rPr>
        <w:t xml:space="preserve">Autorizaţii integrate de mediu revizuite - </w:t>
      </w:r>
      <w:r w:rsidRPr="008A0893">
        <w:rPr>
          <w:b/>
          <w:snapToGrid w:val="0"/>
          <w:lang w:eastAsia="en-US"/>
        </w:rPr>
        <w:t>1</w:t>
      </w:r>
      <w:r w:rsidRPr="008A0893">
        <w:rPr>
          <w:snapToGrid w:val="0"/>
          <w:lang w:eastAsia="en-US"/>
        </w:rPr>
        <w:t xml:space="preserve"> </w:t>
      </w:r>
    </w:p>
    <w:p w:rsidR="008A0893" w:rsidRPr="008A0893" w:rsidRDefault="008A0893" w:rsidP="000E7C15">
      <w:pPr>
        <w:numPr>
          <w:ilvl w:val="0"/>
          <w:numId w:val="46"/>
        </w:numPr>
        <w:tabs>
          <w:tab w:val="left" w:pos="0"/>
        </w:tabs>
        <w:ind w:left="0" w:firstLine="0"/>
        <w:jc w:val="both"/>
        <w:rPr>
          <w:snapToGrid w:val="0"/>
          <w:lang w:eastAsia="en-US"/>
        </w:rPr>
      </w:pPr>
      <w:r w:rsidRPr="008A0893">
        <w:rPr>
          <w:snapToGrid w:val="0"/>
          <w:lang w:eastAsia="en-US"/>
        </w:rPr>
        <w:t xml:space="preserve">Decizie de transfer a autorizaţiei  integrate de mediu - </w:t>
      </w:r>
      <w:r w:rsidRPr="008A0893">
        <w:rPr>
          <w:b/>
          <w:snapToGrid w:val="0"/>
          <w:lang w:eastAsia="en-US"/>
        </w:rPr>
        <w:t>0</w:t>
      </w:r>
    </w:p>
    <w:p w:rsidR="008A0893" w:rsidRPr="008A0893" w:rsidRDefault="008A0893" w:rsidP="000E7C15">
      <w:pPr>
        <w:numPr>
          <w:ilvl w:val="0"/>
          <w:numId w:val="46"/>
        </w:numPr>
        <w:tabs>
          <w:tab w:val="left" w:pos="0"/>
        </w:tabs>
        <w:ind w:left="0" w:firstLine="0"/>
        <w:jc w:val="both"/>
        <w:rPr>
          <w:snapToGrid w:val="0"/>
          <w:lang w:eastAsia="en-US"/>
        </w:rPr>
      </w:pPr>
      <w:r w:rsidRPr="008A0893">
        <w:rPr>
          <w:snapToGrid w:val="0"/>
          <w:lang w:eastAsia="en-US"/>
        </w:rPr>
        <w:t xml:space="preserve">Obligații de mediu </w:t>
      </w:r>
      <w:r w:rsidRPr="008A0893">
        <w:rPr>
          <w:b/>
          <w:snapToGrid w:val="0"/>
          <w:lang w:eastAsia="en-US"/>
        </w:rPr>
        <w:t>- 0</w:t>
      </w:r>
      <w:r w:rsidRPr="008A0893">
        <w:rPr>
          <w:snapToGrid w:val="0"/>
          <w:lang w:eastAsia="en-US"/>
        </w:rPr>
        <w:t xml:space="preserve"> </w:t>
      </w:r>
    </w:p>
    <w:p w:rsidR="005625ED" w:rsidRPr="005625ED" w:rsidRDefault="005625ED" w:rsidP="005625ED">
      <w:pPr>
        <w:tabs>
          <w:tab w:val="left" w:pos="0"/>
          <w:tab w:val="left" w:pos="90"/>
          <w:tab w:val="left" w:pos="426"/>
        </w:tabs>
        <w:jc w:val="both"/>
        <w:rPr>
          <w:snapToGrid w:val="0"/>
          <w:lang w:eastAsia="en-US"/>
        </w:rPr>
      </w:pPr>
      <w:r>
        <w:rPr>
          <w:snapToGrid w:val="0"/>
          <w:lang w:eastAsia="en-US"/>
        </w:rPr>
        <w:tab/>
      </w:r>
      <w:r>
        <w:rPr>
          <w:snapToGrid w:val="0"/>
          <w:lang w:eastAsia="en-US"/>
        </w:rPr>
        <w:tab/>
      </w:r>
      <w:r w:rsidR="008A0893" w:rsidRPr="008A0893">
        <w:rPr>
          <w:snapToGrid w:val="0"/>
          <w:lang w:eastAsia="en-US"/>
        </w:rPr>
        <w:t xml:space="preserve">În procedură de reglementare se află </w:t>
      </w:r>
      <w:r w:rsidR="008A0893" w:rsidRPr="005625ED">
        <w:rPr>
          <w:snapToGrid w:val="0"/>
          <w:lang w:eastAsia="en-US"/>
        </w:rPr>
        <w:t>2 solicitări de revizuire/emitere autorizaţii integrate de mediu</w:t>
      </w:r>
      <w:r>
        <w:rPr>
          <w:snapToGrid w:val="0"/>
          <w:lang w:eastAsia="en-US"/>
        </w:rPr>
        <w:t>.</w:t>
      </w:r>
    </w:p>
    <w:p w:rsidR="004222EA" w:rsidRPr="008A0893" w:rsidRDefault="004222EA" w:rsidP="000E7C15">
      <w:pPr>
        <w:numPr>
          <w:ilvl w:val="0"/>
          <w:numId w:val="21"/>
        </w:numPr>
        <w:tabs>
          <w:tab w:val="left" w:pos="0"/>
        </w:tabs>
        <w:ind w:left="0" w:firstLine="284"/>
        <w:contextualSpacing/>
        <w:jc w:val="both"/>
        <w:rPr>
          <w:noProof/>
          <w:lang w:eastAsia="en-US"/>
        </w:rPr>
      </w:pPr>
      <w:r w:rsidRPr="008A0893">
        <w:rPr>
          <w:noProof/>
          <w:lang w:eastAsia="en-US"/>
        </w:rPr>
        <w:t>Autorizaţii de mediu:</w:t>
      </w:r>
    </w:p>
    <w:p w:rsidR="008A0893" w:rsidRPr="006116CF" w:rsidRDefault="008A0893" w:rsidP="000E7C15">
      <w:pPr>
        <w:numPr>
          <w:ilvl w:val="0"/>
          <w:numId w:val="46"/>
        </w:numPr>
        <w:tabs>
          <w:tab w:val="left" w:pos="0"/>
        </w:tabs>
        <w:ind w:left="0" w:firstLine="0"/>
        <w:jc w:val="both"/>
        <w:rPr>
          <w:snapToGrid w:val="0"/>
          <w:lang w:eastAsia="en-US"/>
        </w:rPr>
      </w:pPr>
      <w:r w:rsidRPr="006116CF">
        <w:rPr>
          <w:snapToGrid w:val="0"/>
          <w:lang w:eastAsia="en-US"/>
        </w:rPr>
        <w:t xml:space="preserve">Autorizaţii de mediu emise </w:t>
      </w:r>
      <w:r w:rsidRPr="000E7C15">
        <w:rPr>
          <w:snapToGrid w:val="0"/>
          <w:lang w:eastAsia="en-US"/>
        </w:rPr>
        <w:t>- 280</w:t>
      </w:r>
      <w:r w:rsidRPr="006116CF">
        <w:rPr>
          <w:snapToGrid w:val="0"/>
          <w:lang w:eastAsia="en-US"/>
        </w:rPr>
        <w:t xml:space="preserve"> </w:t>
      </w:r>
    </w:p>
    <w:p w:rsidR="008A0893" w:rsidRPr="000E7C15" w:rsidRDefault="008A0893" w:rsidP="000E7C15">
      <w:pPr>
        <w:numPr>
          <w:ilvl w:val="0"/>
          <w:numId w:val="46"/>
        </w:numPr>
        <w:tabs>
          <w:tab w:val="left" w:pos="0"/>
        </w:tabs>
        <w:ind w:left="0" w:firstLine="0"/>
        <w:jc w:val="both"/>
        <w:rPr>
          <w:snapToGrid w:val="0"/>
          <w:lang w:eastAsia="en-US"/>
        </w:rPr>
      </w:pPr>
      <w:r w:rsidRPr="006116CF">
        <w:rPr>
          <w:snapToGrid w:val="0"/>
          <w:lang w:eastAsia="en-US"/>
        </w:rPr>
        <w:t xml:space="preserve">Autorizaţii de mediu revizuite – </w:t>
      </w:r>
      <w:r w:rsidRPr="000E7C15">
        <w:rPr>
          <w:snapToGrid w:val="0"/>
          <w:lang w:eastAsia="en-US"/>
        </w:rPr>
        <w:t>70</w:t>
      </w:r>
    </w:p>
    <w:p w:rsidR="008A0893" w:rsidRPr="000E7C15" w:rsidRDefault="008A0893" w:rsidP="000E7C15">
      <w:pPr>
        <w:numPr>
          <w:ilvl w:val="0"/>
          <w:numId w:val="46"/>
        </w:numPr>
        <w:tabs>
          <w:tab w:val="left" w:pos="0"/>
        </w:tabs>
        <w:ind w:left="0" w:firstLine="0"/>
        <w:jc w:val="both"/>
        <w:rPr>
          <w:snapToGrid w:val="0"/>
          <w:lang w:eastAsia="en-US"/>
        </w:rPr>
      </w:pPr>
      <w:r w:rsidRPr="006116CF">
        <w:rPr>
          <w:snapToGrid w:val="0"/>
          <w:lang w:eastAsia="en-US"/>
        </w:rPr>
        <w:t xml:space="preserve">Decizie de transfer a autorizaţiei de mediu – </w:t>
      </w:r>
      <w:r w:rsidRPr="000E7C15">
        <w:rPr>
          <w:snapToGrid w:val="0"/>
          <w:lang w:eastAsia="en-US"/>
        </w:rPr>
        <w:t>67</w:t>
      </w:r>
    </w:p>
    <w:p w:rsidR="005625ED" w:rsidRPr="005625ED" w:rsidRDefault="008A0893" w:rsidP="000E7C15">
      <w:pPr>
        <w:numPr>
          <w:ilvl w:val="0"/>
          <w:numId w:val="46"/>
        </w:numPr>
        <w:tabs>
          <w:tab w:val="left" w:pos="0"/>
        </w:tabs>
        <w:ind w:left="0" w:firstLine="0"/>
        <w:jc w:val="both"/>
        <w:rPr>
          <w:snapToGrid w:val="0"/>
          <w:lang w:eastAsia="en-US"/>
        </w:rPr>
      </w:pPr>
      <w:r w:rsidRPr="006116CF">
        <w:rPr>
          <w:snapToGrid w:val="0"/>
          <w:lang w:eastAsia="en-US"/>
        </w:rPr>
        <w:t xml:space="preserve">Obligații de mediu stabilite – </w:t>
      </w:r>
      <w:r w:rsidRPr="000E7C15">
        <w:rPr>
          <w:snapToGrid w:val="0"/>
          <w:lang w:eastAsia="en-US"/>
        </w:rPr>
        <w:t>67</w:t>
      </w:r>
    </w:p>
    <w:p w:rsidR="004222EA" w:rsidRPr="008A0893" w:rsidRDefault="004222EA" w:rsidP="000E7C15">
      <w:pPr>
        <w:numPr>
          <w:ilvl w:val="0"/>
          <w:numId w:val="21"/>
        </w:numPr>
        <w:tabs>
          <w:tab w:val="left" w:pos="0"/>
        </w:tabs>
        <w:ind w:left="0" w:firstLine="284"/>
        <w:contextualSpacing/>
        <w:jc w:val="both"/>
        <w:rPr>
          <w:noProof/>
          <w:lang w:eastAsia="en-US"/>
        </w:rPr>
      </w:pPr>
      <w:r w:rsidRPr="008A0893">
        <w:rPr>
          <w:noProof/>
          <w:lang w:eastAsia="en-US"/>
        </w:rPr>
        <w:t>Avize de mediu:</w:t>
      </w:r>
    </w:p>
    <w:p w:rsidR="004222EA" w:rsidRPr="000E7C15" w:rsidRDefault="004222EA" w:rsidP="000E7C15">
      <w:pPr>
        <w:numPr>
          <w:ilvl w:val="0"/>
          <w:numId w:val="46"/>
        </w:numPr>
        <w:tabs>
          <w:tab w:val="left" w:pos="0"/>
        </w:tabs>
        <w:ind w:left="0" w:firstLine="0"/>
        <w:jc w:val="both"/>
        <w:rPr>
          <w:snapToGrid w:val="0"/>
          <w:lang w:eastAsia="en-US"/>
        </w:rPr>
      </w:pPr>
      <w:r w:rsidRPr="000E7C15">
        <w:rPr>
          <w:snapToGrid w:val="0"/>
          <w:lang w:eastAsia="en-US"/>
        </w:rPr>
        <w:t xml:space="preserve">un număr de </w:t>
      </w:r>
      <w:r w:rsidR="008A0893" w:rsidRPr="000E7C15">
        <w:rPr>
          <w:snapToGrid w:val="0"/>
          <w:lang w:eastAsia="en-US"/>
        </w:rPr>
        <w:t>117</w:t>
      </w:r>
      <w:r w:rsidRPr="000E7C15">
        <w:rPr>
          <w:snapToGrid w:val="0"/>
          <w:lang w:eastAsia="en-US"/>
        </w:rPr>
        <w:t xml:space="preserve">- decizii </w:t>
      </w:r>
      <w:r w:rsidR="008A0893" w:rsidRPr="000E7C15">
        <w:rPr>
          <w:snapToGrid w:val="0"/>
          <w:lang w:eastAsia="en-US"/>
        </w:rPr>
        <w:t>/ 2 avize de mediu emise</w:t>
      </w:r>
      <w:r w:rsidRPr="000E7C15">
        <w:rPr>
          <w:snapToGrid w:val="0"/>
          <w:lang w:eastAsia="en-US"/>
        </w:rPr>
        <w:t>;</w:t>
      </w:r>
    </w:p>
    <w:p w:rsidR="005625ED" w:rsidRDefault="005625ED" w:rsidP="008A0893">
      <w:pPr>
        <w:tabs>
          <w:tab w:val="left" w:pos="0"/>
          <w:tab w:val="left" w:pos="212"/>
        </w:tabs>
        <w:jc w:val="both"/>
        <w:rPr>
          <w:rFonts w:eastAsia="Calibri"/>
          <w:noProof/>
          <w:lang w:eastAsia="en-US"/>
        </w:rPr>
      </w:pPr>
    </w:p>
    <w:p w:rsidR="008A0893" w:rsidRPr="008A0893" w:rsidRDefault="008A0893" w:rsidP="008A0893">
      <w:pPr>
        <w:tabs>
          <w:tab w:val="left" w:pos="0"/>
        </w:tabs>
        <w:jc w:val="both"/>
        <w:rPr>
          <w:rFonts w:eastAsia="Calibri"/>
          <w:b/>
          <w:i/>
          <w:noProof/>
          <w:lang w:eastAsia="en-US"/>
        </w:rPr>
      </w:pPr>
      <w:r w:rsidRPr="008A0893">
        <w:rPr>
          <w:rFonts w:eastAsia="Calibri"/>
          <w:b/>
          <w:i/>
          <w:noProof/>
          <w:lang w:eastAsia="en-US"/>
        </w:rPr>
        <w:t>Activitatea în domeniul deșeurilor</w:t>
      </w:r>
    </w:p>
    <w:p w:rsidR="008A0893" w:rsidRPr="008A0893" w:rsidRDefault="008A0893" w:rsidP="008A0893">
      <w:pPr>
        <w:tabs>
          <w:tab w:val="left" w:pos="0"/>
        </w:tabs>
        <w:jc w:val="both"/>
        <w:rPr>
          <w:rFonts w:eastAsia="Calibri"/>
          <w:noProof/>
          <w:lang w:eastAsia="en-US"/>
        </w:rPr>
      </w:pPr>
      <w:r>
        <w:rPr>
          <w:rFonts w:eastAsia="Calibri"/>
          <w:noProof/>
          <w:lang w:eastAsia="en-US"/>
        </w:rPr>
        <w:tab/>
      </w:r>
      <w:r w:rsidRPr="008A0893">
        <w:rPr>
          <w:rFonts w:eastAsia="Calibri"/>
          <w:noProof/>
          <w:lang w:eastAsia="en-US"/>
        </w:rPr>
        <w:t>În anul 2018 s-au introdus datele privind gestionarea ambalajelor şi a deşeurilor de ambalaje pe baza raportărilor primite de la aproximativ 1000 de operatori economici şi primării din Municipiul Bucureşti, dintr-un total de aproximativ 1600 de inscrieri</w:t>
      </w:r>
      <w:r>
        <w:rPr>
          <w:rFonts w:eastAsia="Calibri"/>
          <w:noProof/>
          <w:lang w:eastAsia="en-US"/>
        </w:rPr>
        <w:t>.</w:t>
      </w:r>
    </w:p>
    <w:p w:rsidR="008A0893" w:rsidRDefault="008A0893" w:rsidP="008A0893">
      <w:pPr>
        <w:tabs>
          <w:tab w:val="left" w:pos="0"/>
        </w:tabs>
        <w:jc w:val="both"/>
        <w:rPr>
          <w:rFonts w:eastAsia="Calibri"/>
          <w:noProof/>
          <w:lang w:eastAsia="en-US"/>
        </w:rPr>
      </w:pPr>
      <w:r>
        <w:rPr>
          <w:rFonts w:eastAsia="Calibri"/>
          <w:noProof/>
          <w:lang w:eastAsia="en-US"/>
        </w:rPr>
        <w:tab/>
      </w:r>
      <w:r w:rsidRPr="008A0893">
        <w:rPr>
          <w:rFonts w:eastAsia="Calibri"/>
          <w:noProof/>
          <w:lang w:eastAsia="en-US"/>
        </w:rPr>
        <w:t>În anul 2018 au fost prelucrate datele raportate de 6 deţinători de condensatori cu conţinut de P.C.B./P.C.T., în funcţiun</w:t>
      </w:r>
      <w:r w:rsidR="007218B3">
        <w:rPr>
          <w:rFonts w:eastAsia="Calibri"/>
          <w:noProof/>
          <w:lang w:eastAsia="en-US"/>
        </w:rPr>
        <w:t>e sau nu, transportabili sau nu</w:t>
      </w:r>
      <w:r w:rsidRPr="008A0893">
        <w:rPr>
          <w:rFonts w:eastAsia="Calibri"/>
          <w:noProof/>
          <w:lang w:eastAsia="en-US"/>
        </w:rPr>
        <w:t>. Operatorii au primit înştiinţări prin e-mail de transmitere a datelor şi, ulterior, au fost contactaţi şi telefonic</w:t>
      </w:r>
      <w:r>
        <w:rPr>
          <w:rFonts w:eastAsia="Calibri"/>
          <w:noProof/>
          <w:lang w:eastAsia="en-US"/>
        </w:rPr>
        <w:t>.</w:t>
      </w:r>
    </w:p>
    <w:p w:rsidR="008A0893" w:rsidRDefault="008A0893" w:rsidP="008A0893">
      <w:pPr>
        <w:tabs>
          <w:tab w:val="left" w:pos="0"/>
        </w:tabs>
        <w:jc w:val="both"/>
        <w:rPr>
          <w:rFonts w:eastAsia="Calibri"/>
          <w:noProof/>
          <w:lang w:eastAsia="en-US"/>
        </w:rPr>
      </w:pPr>
    </w:p>
    <w:p w:rsidR="008A0893" w:rsidRPr="008A0893" w:rsidRDefault="008A0893" w:rsidP="005625ED">
      <w:pPr>
        <w:tabs>
          <w:tab w:val="left" w:pos="0"/>
        </w:tabs>
        <w:jc w:val="both"/>
        <w:rPr>
          <w:rFonts w:eastAsia="Calibri"/>
          <w:b/>
          <w:i/>
          <w:noProof/>
          <w:lang w:eastAsia="en-US"/>
        </w:rPr>
      </w:pPr>
      <w:r w:rsidRPr="005625ED">
        <w:rPr>
          <w:rFonts w:eastAsia="Calibri"/>
          <w:b/>
          <w:i/>
          <w:noProof/>
          <w:lang w:eastAsia="en-US"/>
        </w:rPr>
        <w:t>Activitatea în domeniul dezvoltare durabilă</w:t>
      </w:r>
      <w:r w:rsidR="005625ED">
        <w:rPr>
          <w:rFonts w:eastAsia="Calibri"/>
          <w:b/>
          <w:i/>
          <w:noProof/>
          <w:lang w:eastAsia="en-US"/>
        </w:rPr>
        <w:t xml:space="preserve"> - </w:t>
      </w:r>
      <w:r w:rsidRPr="008A0893">
        <w:rPr>
          <w:rFonts w:eastAsia="Calibri"/>
          <w:b/>
          <w:i/>
          <w:noProof/>
          <w:lang w:eastAsia="en-US"/>
        </w:rPr>
        <w:t>Elaborarea şi implementarea P.L.A.M. Bucureşti</w:t>
      </w:r>
    </w:p>
    <w:p w:rsidR="008A0893" w:rsidRPr="008A0893" w:rsidRDefault="008A0893" w:rsidP="005625ED">
      <w:pPr>
        <w:tabs>
          <w:tab w:val="left" w:pos="0"/>
        </w:tabs>
        <w:ind w:right="-23"/>
        <w:jc w:val="both"/>
        <w:rPr>
          <w:rFonts w:eastAsia="Calibri"/>
          <w:spacing w:val="-4"/>
          <w:lang w:eastAsia="en-US"/>
        </w:rPr>
      </w:pPr>
      <w:r w:rsidRPr="008A0893">
        <w:rPr>
          <w:rFonts w:eastAsia="Calibri"/>
          <w:spacing w:val="-4"/>
          <w:lang w:eastAsia="en-US"/>
        </w:rPr>
        <w:t xml:space="preserve">    </w:t>
      </w:r>
      <w:r w:rsidR="005625ED">
        <w:rPr>
          <w:rFonts w:eastAsia="Calibri"/>
          <w:spacing w:val="-4"/>
          <w:lang w:eastAsia="en-US"/>
        </w:rPr>
        <w:tab/>
      </w:r>
      <w:r w:rsidRPr="008A0893">
        <w:rPr>
          <w:rFonts w:eastAsia="Calibri"/>
          <w:spacing w:val="-4"/>
          <w:lang w:eastAsia="en-US"/>
        </w:rPr>
        <w:t>A.P.M. București este instituția responsabilă pentru realizarea/revizuirea, implementarea și monitorizarea</w:t>
      </w:r>
      <w:r w:rsidRPr="008A0893">
        <w:rPr>
          <w:rFonts w:eastAsia="Calibri"/>
          <w:lang w:val="it-IT" w:eastAsia="en-US"/>
        </w:rPr>
        <w:t xml:space="preserve"> Planului Local de Acțiune pentru Mediu la nivelul</w:t>
      </w:r>
      <w:r w:rsidRPr="008A0893">
        <w:rPr>
          <w:rFonts w:eastAsia="Calibri"/>
          <w:spacing w:val="-4"/>
          <w:lang w:eastAsia="en-US"/>
        </w:rPr>
        <w:t xml:space="preserve"> Municipiului Bucureşti.    </w:t>
      </w:r>
    </w:p>
    <w:p w:rsidR="008A0893" w:rsidRPr="008A0893" w:rsidRDefault="005625ED" w:rsidP="005625ED">
      <w:pPr>
        <w:tabs>
          <w:tab w:val="left" w:pos="0"/>
        </w:tabs>
        <w:ind w:right="-23"/>
        <w:jc w:val="both"/>
        <w:rPr>
          <w:rFonts w:eastAsia="Calibri"/>
          <w:spacing w:val="-4"/>
          <w:lang w:eastAsia="en-US"/>
        </w:rPr>
      </w:pPr>
      <w:r>
        <w:rPr>
          <w:rFonts w:eastAsia="Calibri"/>
          <w:spacing w:val="-4"/>
          <w:lang w:eastAsia="en-US"/>
        </w:rPr>
        <w:tab/>
      </w:r>
      <w:r w:rsidR="008A0893" w:rsidRPr="008A0893">
        <w:rPr>
          <w:rFonts w:eastAsia="Calibri"/>
          <w:spacing w:val="-4"/>
          <w:lang w:eastAsia="en-US"/>
        </w:rPr>
        <w:t xml:space="preserve">P.L.A.M. - ul reprezintă un instrument de planificare </w:t>
      </w:r>
      <w:r w:rsidR="008A0893" w:rsidRPr="008A0893">
        <w:rPr>
          <w:rFonts w:eastAsia="Calibri"/>
          <w:lang w:val="pt-BR" w:eastAsia="en-US"/>
        </w:rPr>
        <w:t xml:space="preserve">care identifică şi prioritizează problemele existente la nivel judeţean, soluţiile găsite trebuind să se bazeze pe o împletire de strategii şi de capacităţi instituţionale şi investiţionale, astfel încât resursele financiare disponibile să fie cât mai bine utilizate. </w:t>
      </w:r>
      <w:r>
        <w:rPr>
          <w:rFonts w:eastAsia="Calibri"/>
          <w:lang w:val="pt-BR" w:eastAsia="en-US"/>
        </w:rPr>
        <w:tab/>
      </w:r>
      <w:r w:rsidR="008A0893" w:rsidRPr="008A0893">
        <w:rPr>
          <w:rFonts w:eastAsia="Calibri"/>
          <w:lang w:val="pt-BR" w:eastAsia="en-US"/>
        </w:rPr>
        <w:t>Prin P.L.A.M. se urmăreşte</w:t>
      </w:r>
      <w:r w:rsidR="008A0893" w:rsidRPr="008A0893">
        <w:rPr>
          <w:rFonts w:eastAsia="Calibri"/>
          <w:spacing w:val="-4"/>
          <w:lang w:eastAsia="en-US"/>
        </w:rPr>
        <w:t xml:space="preserve"> îndeplinirea la nivelul comunităţilor locale a obiectivelor privind protecţia mediului şi  obiectivelor de dezvoltare durabilă, cu implicarea instituţiilor şi organizaţiilor interesate.</w:t>
      </w:r>
    </w:p>
    <w:p w:rsidR="008A0893" w:rsidRPr="008A0893" w:rsidRDefault="005625ED" w:rsidP="005625ED">
      <w:pPr>
        <w:tabs>
          <w:tab w:val="left" w:pos="0"/>
          <w:tab w:val="left" w:pos="212"/>
        </w:tabs>
        <w:spacing w:after="200"/>
        <w:contextualSpacing/>
        <w:jc w:val="both"/>
        <w:rPr>
          <w:rFonts w:eastAsia="Calibri"/>
          <w:bCs/>
          <w:spacing w:val="-4"/>
          <w:lang w:val="es-ES" w:eastAsia="en-US"/>
        </w:rPr>
      </w:pPr>
      <w:r>
        <w:rPr>
          <w:rFonts w:eastAsia="Calibri"/>
          <w:bCs/>
          <w:spacing w:val="-4"/>
          <w:lang w:eastAsia="en-US"/>
        </w:rPr>
        <w:tab/>
      </w:r>
      <w:r>
        <w:rPr>
          <w:rFonts w:eastAsia="Calibri"/>
          <w:bCs/>
          <w:spacing w:val="-4"/>
          <w:lang w:eastAsia="en-US"/>
        </w:rPr>
        <w:tab/>
      </w:r>
      <w:r w:rsidR="008A0893" w:rsidRPr="008A0893">
        <w:rPr>
          <w:rFonts w:eastAsia="Calibri"/>
          <w:bCs/>
          <w:spacing w:val="-4"/>
          <w:lang w:val="es-ES" w:eastAsia="en-US"/>
        </w:rPr>
        <w:t xml:space="preserve">Planul Local de Actiune pentru Mediu se afla in etapa de implementare (iunie 2016 - iunie 2019). </w:t>
      </w:r>
    </w:p>
    <w:p w:rsidR="008A0893" w:rsidRPr="008A0893" w:rsidRDefault="005625ED" w:rsidP="005625ED">
      <w:pPr>
        <w:tabs>
          <w:tab w:val="left" w:pos="0"/>
          <w:tab w:val="left" w:pos="212"/>
        </w:tabs>
        <w:spacing w:after="200"/>
        <w:contextualSpacing/>
        <w:jc w:val="both"/>
        <w:rPr>
          <w:rFonts w:eastAsia="Calibri"/>
          <w:spacing w:val="-4"/>
          <w:lang w:eastAsia="en-US"/>
        </w:rPr>
      </w:pPr>
      <w:r>
        <w:rPr>
          <w:rFonts w:eastAsia="Calibri"/>
          <w:bCs/>
          <w:spacing w:val="-4"/>
          <w:lang w:eastAsia="en-US"/>
        </w:rPr>
        <w:tab/>
      </w:r>
      <w:r>
        <w:rPr>
          <w:rFonts w:eastAsia="Calibri"/>
          <w:bCs/>
          <w:spacing w:val="-4"/>
          <w:lang w:eastAsia="en-US"/>
        </w:rPr>
        <w:tab/>
      </w:r>
      <w:r w:rsidR="008A0893" w:rsidRPr="008A0893">
        <w:rPr>
          <w:rFonts w:eastAsia="Calibri"/>
          <w:bCs/>
          <w:spacing w:val="-4"/>
          <w:lang w:eastAsia="en-US"/>
        </w:rPr>
        <w:t xml:space="preserve">Monitorizarea şi urmărirea implementării Planului Local de Acţiune pentru Mediu Bucureşti, precum şi evaluarea rezultatelor implementării, se realizează de către Comitetul de Coordonare, din care fac parte instituţile/autorităţile locale responsabile cu realizarea acţiunilor prevăzute în plan, având drept coordonator Agenţia pentru Protecţia Mediului Bucureşti. </w:t>
      </w:r>
    </w:p>
    <w:p w:rsidR="008A0893" w:rsidRPr="008A0893" w:rsidRDefault="005625ED" w:rsidP="005625ED">
      <w:pPr>
        <w:tabs>
          <w:tab w:val="left" w:pos="0"/>
          <w:tab w:val="left" w:pos="212"/>
        </w:tabs>
        <w:spacing w:after="200"/>
        <w:contextualSpacing/>
        <w:jc w:val="both"/>
        <w:rPr>
          <w:rFonts w:eastAsia="Calibri"/>
          <w:spacing w:val="-4"/>
          <w:lang w:eastAsia="en-US"/>
        </w:rPr>
      </w:pPr>
      <w:r>
        <w:rPr>
          <w:rFonts w:eastAsia="Calibri"/>
          <w:spacing w:val="-4"/>
          <w:lang w:eastAsia="en-US"/>
        </w:rPr>
        <w:tab/>
      </w:r>
      <w:r>
        <w:rPr>
          <w:rFonts w:eastAsia="Calibri"/>
          <w:spacing w:val="-4"/>
          <w:lang w:eastAsia="en-US"/>
        </w:rPr>
        <w:tab/>
      </w:r>
      <w:r w:rsidR="008A0893" w:rsidRPr="008A0893">
        <w:rPr>
          <w:rFonts w:eastAsia="Calibri"/>
          <w:spacing w:val="-4"/>
          <w:lang w:eastAsia="en-US"/>
        </w:rPr>
        <w:t xml:space="preserve">În acest sens, în anul 2018 s-au realizat următoarele activități: </w:t>
      </w:r>
    </w:p>
    <w:p w:rsidR="008A0893" w:rsidRPr="008A0893" w:rsidRDefault="008A0893" w:rsidP="00980D72">
      <w:pPr>
        <w:numPr>
          <w:ilvl w:val="0"/>
          <w:numId w:val="47"/>
        </w:numPr>
        <w:tabs>
          <w:tab w:val="left" w:pos="0"/>
          <w:tab w:val="left" w:pos="212"/>
        </w:tabs>
        <w:ind w:left="0" w:firstLine="0"/>
        <w:jc w:val="both"/>
        <w:rPr>
          <w:rFonts w:eastAsia="Calibri"/>
          <w:spacing w:val="-4"/>
          <w:lang w:eastAsia="en-US"/>
        </w:rPr>
      </w:pPr>
      <w:r w:rsidRPr="008A0893">
        <w:rPr>
          <w:rFonts w:eastAsia="Calibri"/>
          <w:spacing w:val="-4"/>
          <w:lang w:eastAsia="en-US"/>
        </w:rPr>
        <w:t xml:space="preserve">Întocmirea rapoartelor semestriale către A.N.P.M. privind implementarea acțiunilor cuprinse în </w:t>
      </w:r>
      <w:r w:rsidRPr="008A0893">
        <w:rPr>
          <w:rFonts w:eastAsia="Calibri"/>
          <w:lang w:eastAsia="en-US"/>
        </w:rPr>
        <w:t>Planul Local de Acţiune pentru Mediu al Municipiului Bucure</w:t>
      </w:r>
      <w:r w:rsidRPr="008A0893">
        <w:rPr>
          <w:rFonts w:eastAsia="Calibri"/>
          <w:bCs/>
          <w:lang w:eastAsia="en-US"/>
        </w:rPr>
        <w:t>ş</w:t>
      </w:r>
      <w:r w:rsidRPr="008A0893">
        <w:rPr>
          <w:rFonts w:eastAsia="Calibri"/>
          <w:lang w:eastAsia="en-US"/>
        </w:rPr>
        <w:t xml:space="preserve">ti (pentru semestrul II 2017 şi semestrul I 2018). </w:t>
      </w:r>
    </w:p>
    <w:p w:rsidR="008A0893" w:rsidRPr="008A0893" w:rsidRDefault="008A0893" w:rsidP="00980D72">
      <w:pPr>
        <w:numPr>
          <w:ilvl w:val="0"/>
          <w:numId w:val="47"/>
        </w:numPr>
        <w:tabs>
          <w:tab w:val="left" w:pos="0"/>
          <w:tab w:val="left" w:pos="212"/>
        </w:tabs>
        <w:ind w:left="0" w:firstLine="0"/>
        <w:jc w:val="both"/>
        <w:rPr>
          <w:rFonts w:eastAsia="Calibri"/>
          <w:bCs/>
          <w:spacing w:val="-4"/>
          <w:lang w:eastAsia="en-US"/>
        </w:rPr>
      </w:pPr>
      <w:r w:rsidRPr="008A0893">
        <w:rPr>
          <w:rFonts w:eastAsia="Calibri"/>
          <w:spacing w:val="-4"/>
          <w:lang w:eastAsia="en-US"/>
        </w:rPr>
        <w:lastRenderedPageBreak/>
        <w:t>Elaborarea Raportului anual de monitorizare a rezultatelor implementării P.L.A.M. al Municipiului Bucureşti pentru anul 2017 →</w:t>
      </w:r>
      <w:r w:rsidRPr="008A0893">
        <w:rPr>
          <w:rFonts w:eastAsia="Calibri"/>
          <w:lang w:val="pt-BR" w:eastAsia="en-US"/>
        </w:rPr>
        <w:t xml:space="preserve"> corespondență cu membrii grupurilor de lucru, </w:t>
      </w:r>
      <w:r w:rsidRPr="008A0893">
        <w:rPr>
          <w:rFonts w:eastAsia="Calibri"/>
          <w:spacing w:val="-4"/>
          <w:lang w:eastAsia="en-US"/>
        </w:rPr>
        <w:t xml:space="preserve"> i</w:t>
      </w:r>
      <w:r w:rsidRPr="008A0893">
        <w:rPr>
          <w:rFonts w:eastAsia="Calibri"/>
          <w:bCs/>
          <w:spacing w:val="-4"/>
          <w:lang w:eastAsia="en-US"/>
        </w:rPr>
        <w:t xml:space="preserve">n vederea monitorizării;    s-au transmis adrese către autorităţile responsabile de implementarea acţiunilor cuprinse în P.L.A.M. Bucuresti şi s-au organizat întâlniri, discutii asupra modului în care s-au soluţionat sau urmează a fi soluţionate problemele de mediu. </w:t>
      </w:r>
    </w:p>
    <w:p w:rsidR="008A0893" w:rsidRPr="008A0893" w:rsidRDefault="008A0893" w:rsidP="00980D72">
      <w:pPr>
        <w:numPr>
          <w:ilvl w:val="0"/>
          <w:numId w:val="47"/>
        </w:numPr>
        <w:tabs>
          <w:tab w:val="left" w:pos="0"/>
          <w:tab w:val="left" w:pos="212"/>
        </w:tabs>
        <w:ind w:left="0" w:firstLine="0"/>
        <w:jc w:val="both"/>
        <w:rPr>
          <w:rFonts w:eastAsia="Calibri"/>
          <w:spacing w:val="-4"/>
          <w:lang w:eastAsia="en-US"/>
        </w:rPr>
      </w:pPr>
      <w:r w:rsidRPr="008A0893">
        <w:rPr>
          <w:rFonts w:eastAsia="Calibri"/>
          <w:spacing w:val="-4"/>
          <w:lang w:eastAsia="en-US"/>
        </w:rPr>
        <w:t xml:space="preserve">Întalnirea Comitetului de Coordonare al P.L.A.M. București în data 26.06.2018, la sediul A.P.M. Bucuresti, în vederea aprobării Raportului </w:t>
      </w:r>
      <w:r w:rsidRPr="008A0893">
        <w:rPr>
          <w:rFonts w:eastAsia="Calibri"/>
          <w:bCs/>
          <w:spacing w:val="-4"/>
          <w:lang w:eastAsia="en-US"/>
        </w:rPr>
        <w:t>Monitorizarea implementarii P.L.A.M. Bucuresti / 2017</w:t>
      </w:r>
      <w:r w:rsidRPr="008A0893">
        <w:rPr>
          <w:rFonts w:eastAsia="Calibri"/>
          <w:bCs/>
          <w:i/>
          <w:spacing w:val="-4"/>
          <w:lang w:eastAsia="en-US"/>
        </w:rPr>
        <w:t xml:space="preserve"> </w:t>
      </w:r>
      <w:r w:rsidRPr="008A0893">
        <w:rPr>
          <w:rFonts w:eastAsia="Calibri"/>
          <w:bCs/>
          <w:spacing w:val="-4"/>
          <w:lang w:eastAsia="en-US"/>
        </w:rPr>
        <w:t>(p</w:t>
      </w:r>
      <w:r w:rsidRPr="008A0893">
        <w:rPr>
          <w:rFonts w:eastAsia="Calibri"/>
          <w:spacing w:val="-4"/>
          <w:lang w:eastAsia="en-US"/>
        </w:rPr>
        <w:t>rezentarea rapoartelor spre aprobare Comitetului de Coordonare; realizarea prezentărilor şi documentelor pentru întâlnirile Comitetului de Coordonare).</w:t>
      </w:r>
    </w:p>
    <w:p w:rsidR="008A0893" w:rsidRPr="008A0893" w:rsidRDefault="008A0893" w:rsidP="00980D72">
      <w:pPr>
        <w:numPr>
          <w:ilvl w:val="0"/>
          <w:numId w:val="47"/>
        </w:numPr>
        <w:tabs>
          <w:tab w:val="left" w:pos="0"/>
          <w:tab w:val="left" w:pos="212"/>
        </w:tabs>
        <w:ind w:left="0" w:firstLine="0"/>
        <w:jc w:val="both"/>
        <w:rPr>
          <w:rFonts w:eastAsia="Calibri"/>
          <w:spacing w:val="-4"/>
          <w:lang w:eastAsia="en-US"/>
        </w:rPr>
      </w:pPr>
      <w:r w:rsidRPr="008A0893">
        <w:rPr>
          <w:rFonts w:eastAsia="Calibri"/>
          <w:spacing w:val="-4"/>
          <w:lang w:eastAsia="en-US"/>
        </w:rPr>
        <w:t xml:space="preserve">Organizarea de seminarii pe tema urbanizării durabile, cu scopul prezentării acțiunilor, proiectelor și programelor de finanțare pentru dezvoltare durabilă, cu participarea membrilor grupurilor de lucru din </w:t>
      </w:r>
      <w:r w:rsidRPr="008A0893">
        <w:rPr>
          <w:rFonts w:eastAsia="Calibri"/>
          <w:noProof/>
          <w:lang w:val="es-ES" w:eastAsia="en-US"/>
        </w:rPr>
        <w:t>Instituții/O.N.G.-uri/Universități/Agenți economici.</w:t>
      </w:r>
    </w:p>
    <w:p w:rsidR="005625ED" w:rsidRPr="005625ED" w:rsidRDefault="008A0893" w:rsidP="00980D72">
      <w:pPr>
        <w:numPr>
          <w:ilvl w:val="0"/>
          <w:numId w:val="47"/>
        </w:numPr>
        <w:tabs>
          <w:tab w:val="left" w:pos="0"/>
          <w:tab w:val="left" w:pos="212"/>
        </w:tabs>
        <w:ind w:left="0" w:firstLine="0"/>
        <w:jc w:val="both"/>
        <w:rPr>
          <w:rFonts w:eastAsia="Calibri"/>
          <w:spacing w:val="-4"/>
          <w:lang w:eastAsia="en-US"/>
        </w:rPr>
      </w:pPr>
      <w:r w:rsidRPr="008A0893">
        <w:rPr>
          <w:rFonts w:eastAsia="Calibri"/>
          <w:lang w:eastAsia="en-US"/>
        </w:rPr>
        <w:t xml:space="preserve">Colaborare si </w:t>
      </w:r>
      <w:r w:rsidRPr="008A0893">
        <w:rPr>
          <w:rFonts w:eastAsia="Calibri"/>
          <w:lang w:val="pt-BR" w:eastAsia="en-US"/>
        </w:rPr>
        <w:t>corespondență</w:t>
      </w:r>
      <w:r w:rsidRPr="008A0893">
        <w:rPr>
          <w:rFonts w:eastAsia="Calibri"/>
          <w:lang w:eastAsia="en-US"/>
        </w:rPr>
        <w:t xml:space="preserve"> cu instituțiile responsabile de implementarea acțiunilor din PLAM, in cazul în care au avut a</w:t>
      </w:r>
      <w:r w:rsidRPr="008A0893">
        <w:rPr>
          <w:rFonts w:eastAsia="Calibri"/>
          <w:bCs/>
          <w:lang w:eastAsia="en-US"/>
        </w:rPr>
        <w:t>cţiuni nerealizate</w:t>
      </w:r>
      <w:r w:rsidRPr="008A0893">
        <w:rPr>
          <w:rFonts w:eastAsia="Calibri"/>
          <w:lang w:eastAsia="en-US"/>
        </w:rPr>
        <w:t xml:space="preserve">; transmiterea corespondenței mai sus mentionate către </w:t>
      </w:r>
      <w:r w:rsidRPr="008A0893">
        <w:rPr>
          <w:rFonts w:eastAsia="Calibri"/>
          <w:bCs/>
          <w:lang w:val="es-ES" w:eastAsia="en-US"/>
        </w:rPr>
        <w:t xml:space="preserve">Garda Naţionala de Mediu - Comisariatul municipiului Bucureşti, </w:t>
      </w:r>
      <w:r w:rsidRPr="008A0893">
        <w:rPr>
          <w:rFonts w:eastAsia="Calibri"/>
          <w:lang w:eastAsia="en-US"/>
        </w:rPr>
        <w:t xml:space="preserve">spre informare. </w:t>
      </w:r>
    </w:p>
    <w:p w:rsidR="005625ED" w:rsidRPr="005625ED" w:rsidRDefault="005625ED" w:rsidP="005625ED">
      <w:pPr>
        <w:tabs>
          <w:tab w:val="left" w:pos="0"/>
          <w:tab w:val="left" w:pos="212"/>
        </w:tabs>
        <w:jc w:val="both"/>
        <w:rPr>
          <w:rFonts w:eastAsia="Calibri"/>
          <w:spacing w:val="-4"/>
          <w:lang w:eastAsia="en-US"/>
        </w:rPr>
      </w:pPr>
    </w:p>
    <w:p w:rsidR="008A0893" w:rsidRPr="005625ED" w:rsidRDefault="008A0893" w:rsidP="00980D72">
      <w:pPr>
        <w:numPr>
          <w:ilvl w:val="0"/>
          <w:numId w:val="49"/>
        </w:numPr>
        <w:tabs>
          <w:tab w:val="left" w:pos="0"/>
        </w:tabs>
        <w:ind w:left="0" w:firstLine="0"/>
        <w:jc w:val="both"/>
        <w:rPr>
          <w:rFonts w:eastAsia="Calibri"/>
          <w:b/>
          <w:i/>
          <w:lang w:val="es-ES" w:eastAsia="en-US"/>
        </w:rPr>
      </w:pPr>
      <w:r w:rsidRPr="008A0893">
        <w:rPr>
          <w:rFonts w:eastAsia="Calibri"/>
          <w:b/>
          <w:i/>
          <w:lang w:val="es-ES" w:eastAsia="en-US"/>
        </w:rPr>
        <w:t>În domeniul evaluare calitate aer:</w:t>
      </w:r>
    </w:p>
    <w:p w:rsidR="008A0893" w:rsidRPr="008A0893" w:rsidRDefault="008A0893" w:rsidP="00980D72">
      <w:pPr>
        <w:numPr>
          <w:ilvl w:val="0"/>
          <w:numId w:val="50"/>
        </w:numPr>
        <w:tabs>
          <w:tab w:val="left" w:pos="0"/>
        </w:tabs>
        <w:spacing w:after="200"/>
        <w:ind w:left="0" w:firstLine="0"/>
        <w:contextualSpacing/>
        <w:jc w:val="both"/>
        <w:rPr>
          <w:rFonts w:eastAsia="Calibri"/>
          <w:lang w:val="es-ES" w:eastAsia="en-US"/>
        </w:rPr>
      </w:pPr>
      <w:r w:rsidRPr="008A0893">
        <w:rPr>
          <w:rFonts w:eastAsia="Calibri"/>
          <w:lang w:val="es-ES" w:eastAsia="en-US"/>
        </w:rPr>
        <w:t xml:space="preserve">Validarea zilnică a datelor de calitate a aerului. </w:t>
      </w:r>
    </w:p>
    <w:p w:rsidR="008A0893" w:rsidRPr="008A0893" w:rsidRDefault="005625ED" w:rsidP="005625ED">
      <w:pPr>
        <w:tabs>
          <w:tab w:val="left" w:pos="0"/>
        </w:tabs>
        <w:jc w:val="both"/>
        <w:rPr>
          <w:rFonts w:eastAsia="Calibri"/>
          <w:lang w:val="es-ES" w:eastAsia="en-US"/>
        </w:rPr>
      </w:pPr>
      <w:r>
        <w:rPr>
          <w:rFonts w:eastAsia="Calibri"/>
          <w:lang w:val="es-ES" w:eastAsia="en-US"/>
        </w:rPr>
        <w:tab/>
      </w:r>
      <w:r w:rsidR="008A0893" w:rsidRPr="008A0893">
        <w:rPr>
          <w:rFonts w:eastAsia="Calibri"/>
          <w:lang w:val="es-ES" w:eastAsia="en-US"/>
        </w:rPr>
        <w:t>Activitatea este zilnică și presupune verificarea funcționării echipamentelor de monitorizare, a transmisiilor de date, a calibrărilor automate, derularea unor verificari amănunțite ale datelor (verificări încrucisate poluanți, creare grafice, corelare cu date meteo, verificare procente de date valide, verificari date negative etc)  având ca scop final incadrarea fiecărei concentrații intr-o categorie de validare (validată corect, validată incert sau validată incorect)</w:t>
      </w:r>
    </w:p>
    <w:p w:rsidR="008A0893" w:rsidRPr="008A0893" w:rsidRDefault="005625ED" w:rsidP="005625ED">
      <w:pPr>
        <w:tabs>
          <w:tab w:val="left" w:pos="0"/>
        </w:tabs>
        <w:jc w:val="both"/>
        <w:rPr>
          <w:rFonts w:eastAsia="Calibri"/>
          <w:lang w:val="es-ES" w:eastAsia="en-US"/>
        </w:rPr>
      </w:pPr>
      <w:r>
        <w:rPr>
          <w:rFonts w:eastAsia="Calibri"/>
          <w:lang w:val="es-ES" w:eastAsia="en-US"/>
        </w:rPr>
        <w:tab/>
      </w:r>
      <w:r w:rsidR="008A0893" w:rsidRPr="008A0893">
        <w:rPr>
          <w:rFonts w:eastAsia="Calibri"/>
          <w:lang w:val="es-ES" w:eastAsia="en-US"/>
        </w:rPr>
        <w:t>Datele considerate ca validate corect sunt utilizate pentru realizarea buletinului zilnic de calitate a aerului, buletin care este afișat apoi pe pagina de web a institutiei.</w:t>
      </w:r>
    </w:p>
    <w:p w:rsidR="008A0893" w:rsidRPr="008A0893" w:rsidRDefault="005625ED" w:rsidP="005625ED">
      <w:pPr>
        <w:tabs>
          <w:tab w:val="left" w:pos="0"/>
        </w:tabs>
        <w:jc w:val="both"/>
        <w:rPr>
          <w:rFonts w:eastAsia="Calibri"/>
          <w:lang w:val="es-ES" w:eastAsia="en-US"/>
        </w:rPr>
      </w:pPr>
      <w:r>
        <w:rPr>
          <w:rFonts w:eastAsia="Calibri"/>
          <w:lang w:val="es-ES" w:eastAsia="en-US"/>
        </w:rPr>
        <w:tab/>
      </w:r>
      <w:r w:rsidR="008A0893" w:rsidRPr="008A0893">
        <w:rPr>
          <w:rFonts w:eastAsia="Calibri"/>
          <w:lang w:val="es-ES" w:eastAsia="en-US"/>
        </w:rPr>
        <w:t>Pentru valorile concentrațiilor ce depășesc valorile limită, la solicitarea ANPM sunt transmise cauzele probabile ale depășirilor și măsurile luate (dacă este cazul)</w:t>
      </w:r>
    </w:p>
    <w:p w:rsidR="008A0893" w:rsidRPr="008A0893" w:rsidRDefault="005625ED" w:rsidP="005625ED">
      <w:pPr>
        <w:tabs>
          <w:tab w:val="left" w:pos="0"/>
        </w:tabs>
        <w:jc w:val="both"/>
        <w:rPr>
          <w:rFonts w:eastAsia="Calibri"/>
          <w:lang w:val="es-ES" w:eastAsia="en-US"/>
        </w:rPr>
      </w:pPr>
      <w:r>
        <w:rPr>
          <w:rFonts w:eastAsia="Calibri"/>
          <w:lang w:val="es-ES" w:eastAsia="en-US"/>
        </w:rPr>
        <w:tab/>
      </w:r>
      <w:r w:rsidR="008A0893" w:rsidRPr="008A0893">
        <w:rPr>
          <w:rFonts w:eastAsia="Calibri"/>
          <w:lang w:val="es-ES" w:eastAsia="en-US"/>
        </w:rPr>
        <w:t xml:space="preserve">In anul 2018 au fost verificate și validate concentrațiile măsurate automat pentru </w:t>
      </w:r>
      <w:r w:rsidR="008A0893" w:rsidRPr="008A0893">
        <w:rPr>
          <w:rFonts w:eastAsia="Calibri"/>
          <w:b/>
          <w:lang w:val="es-ES" w:eastAsia="en-US"/>
        </w:rPr>
        <w:t>190335</w:t>
      </w:r>
      <w:r w:rsidR="008A0893" w:rsidRPr="008A0893">
        <w:rPr>
          <w:rFonts w:eastAsia="Calibri"/>
          <w:lang w:val="es-ES" w:eastAsia="en-US"/>
        </w:rPr>
        <w:t xml:space="preserve"> valori (49250 concentrații de SO2, 65698 concentratii NO2, 40678 concentratii CO, 34709 concentratii O3) La acestea se adauga verificare si validarea concentratiilor de benzen, toluen, xilen si a datelor meteo</w:t>
      </w:r>
    </w:p>
    <w:p w:rsidR="008A0893" w:rsidRPr="008A0893" w:rsidRDefault="005625ED" w:rsidP="005625ED">
      <w:pPr>
        <w:tabs>
          <w:tab w:val="left" w:pos="0"/>
        </w:tabs>
        <w:contextualSpacing/>
        <w:jc w:val="both"/>
        <w:rPr>
          <w:rFonts w:eastAsia="Calibri"/>
          <w:lang w:val="es-ES" w:eastAsia="en-US"/>
        </w:rPr>
      </w:pPr>
      <w:r>
        <w:rPr>
          <w:rFonts w:eastAsia="Calibri"/>
          <w:lang w:val="es-ES" w:eastAsia="en-US"/>
        </w:rPr>
        <w:tab/>
      </w:r>
      <w:r w:rsidR="008A0893" w:rsidRPr="008A0893">
        <w:rPr>
          <w:rFonts w:eastAsia="Calibri"/>
          <w:lang w:val="es-ES" w:eastAsia="en-US"/>
        </w:rPr>
        <w:t xml:space="preserve">Introducerea manuală în baza de date a concentrațiilor poluanților care se analizeaza manual, in laborator (PM10, PM2,5, Pb, Cd, Ni). </w:t>
      </w:r>
    </w:p>
    <w:p w:rsidR="008A0893" w:rsidRPr="008A0893" w:rsidRDefault="005625ED" w:rsidP="005625ED">
      <w:pPr>
        <w:tabs>
          <w:tab w:val="left" w:pos="0"/>
        </w:tabs>
        <w:jc w:val="both"/>
        <w:rPr>
          <w:rFonts w:eastAsia="Calibri"/>
          <w:lang w:val="es-ES" w:eastAsia="en-US"/>
        </w:rPr>
      </w:pPr>
      <w:r>
        <w:rPr>
          <w:rFonts w:eastAsia="Calibri"/>
          <w:lang w:val="es-ES" w:eastAsia="en-US"/>
        </w:rPr>
        <w:tab/>
      </w:r>
      <w:r w:rsidR="008A0893" w:rsidRPr="008A0893">
        <w:rPr>
          <w:rFonts w:eastAsia="Calibri"/>
          <w:lang w:val="es-ES" w:eastAsia="en-US"/>
        </w:rPr>
        <w:t>Pe parcursul anului 2018, au fost analizate manual și introduse concentrațiile in baza de date pentru 2301 probe PM10, 1212 probe PM2,5 si 6652 probe metale.</w:t>
      </w:r>
    </w:p>
    <w:p w:rsidR="008A0893" w:rsidRPr="008A0893" w:rsidRDefault="008A0893" w:rsidP="00980D72">
      <w:pPr>
        <w:numPr>
          <w:ilvl w:val="0"/>
          <w:numId w:val="50"/>
        </w:numPr>
        <w:tabs>
          <w:tab w:val="left" w:pos="0"/>
        </w:tabs>
        <w:ind w:left="0" w:firstLine="0"/>
        <w:contextualSpacing/>
        <w:jc w:val="both"/>
        <w:rPr>
          <w:rFonts w:eastAsia="Calibri"/>
          <w:lang w:val="es-ES" w:eastAsia="en-US"/>
        </w:rPr>
      </w:pPr>
      <w:r w:rsidRPr="008A0893">
        <w:rPr>
          <w:rFonts w:eastAsia="Calibri"/>
          <w:lang w:val="es-ES" w:eastAsia="en-US"/>
        </w:rPr>
        <w:t>Realizarea buletinului lunar de calitate a aerului si afisarea acestuia pe pagina de web a instituției- 12 buletine lunare</w:t>
      </w:r>
    </w:p>
    <w:p w:rsidR="008A0893" w:rsidRPr="008A0893" w:rsidRDefault="008A0893" w:rsidP="00980D72">
      <w:pPr>
        <w:numPr>
          <w:ilvl w:val="0"/>
          <w:numId w:val="50"/>
        </w:numPr>
        <w:tabs>
          <w:tab w:val="left" w:pos="0"/>
        </w:tabs>
        <w:spacing w:after="200"/>
        <w:ind w:left="0" w:firstLine="0"/>
        <w:contextualSpacing/>
        <w:jc w:val="both"/>
        <w:rPr>
          <w:rFonts w:eastAsia="Calibri"/>
          <w:lang w:val="es-ES" w:eastAsia="en-US"/>
        </w:rPr>
      </w:pPr>
      <w:r w:rsidRPr="008A0893">
        <w:rPr>
          <w:rFonts w:eastAsia="Calibri"/>
          <w:lang w:val="es-ES" w:eastAsia="en-US"/>
        </w:rPr>
        <w:t>Realizarea raportului preliminar anual privind calitatea aerului inconjurător, conform L104/2011 și afișarea acestuia pe pagina de web.</w:t>
      </w:r>
    </w:p>
    <w:p w:rsidR="008A0893" w:rsidRPr="008A0893" w:rsidRDefault="008A0893" w:rsidP="00980D72">
      <w:pPr>
        <w:numPr>
          <w:ilvl w:val="0"/>
          <w:numId w:val="50"/>
        </w:numPr>
        <w:tabs>
          <w:tab w:val="left" w:pos="0"/>
        </w:tabs>
        <w:spacing w:after="200"/>
        <w:ind w:left="0" w:firstLine="0"/>
        <w:contextualSpacing/>
        <w:jc w:val="both"/>
        <w:rPr>
          <w:rFonts w:eastAsia="Calibri"/>
          <w:lang w:val="es-ES" w:eastAsia="en-US"/>
        </w:rPr>
      </w:pPr>
      <w:r w:rsidRPr="008A0893">
        <w:rPr>
          <w:rFonts w:eastAsia="Calibri"/>
          <w:lang w:val="es-ES" w:eastAsia="en-US"/>
        </w:rPr>
        <w:t>Realizarea inventarului local al emisiilor de poluanți atmosferici</w:t>
      </w:r>
    </w:p>
    <w:p w:rsidR="008A0893" w:rsidRPr="008A0893" w:rsidRDefault="005625ED" w:rsidP="005625ED">
      <w:pPr>
        <w:tabs>
          <w:tab w:val="left" w:pos="0"/>
        </w:tabs>
        <w:jc w:val="both"/>
        <w:rPr>
          <w:rFonts w:eastAsia="Calibri"/>
          <w:lang w:val="es-ES" w:eastAsia="en-US"/>
        </w:rPr>
      </w:pPr>
      <w:r>
        <w:rPr>
          <w:rFonts w:eastAsia="Calibri"/>
          <w:lang w:val="es-ES" w:eastAsia="en-US"/>
        </w:rPr>
        <w:tab/>
      </w:r>
      <w:r w:rsidR="008A0893" w:rsidRPr="008A0893">
        <w:rPr>
          <w:rFonts w:eastAsia="Calibri"/>
          <w:lang w:val="es-ES" w:eastAsia="en-US"/>
        </w:rPr>
        <w:t xml:space="preserve">Acțiunea este anuală și, datorită unor nefuncționalități repetate ale aplicației dedicate inventarului de emisii, s-a prelungit pe parcursul intregului an 2018. </w:t>
      </w:r>
      <w:r w:rsidR="008A0893" w:rsidRPr="008A0893">
        <w:rPr>
          <w:rFonts w:eastAsia="Calibri"/>
          <w:lang w:val="en-US" w:eastAsia="en-US"/>
        </w:rPr>
        <w:t xml:space="preserve">A fost furnizat sprijin permanent, telefonic, operatorilor economici pentru completarea chestionarelor, in final fiind validate 234 chestionare. </w:t>
      </w:r>
      <w:r>
        <w:rPr>
          <w:rFonts w:eastAsia="Calibri"/>
          <w:lang w:val="en-US" w:eastAsia="en-US"/>
        </w:rPr>
        <w:tab/>
      </w:r>
      <w:r w:rsidR="008A0893" w:rsidRPr="008A0893">
        <w:rPr>
          <w:rFonts w:eastAsia="Calibri"/>
          <w:lang w:val="es-ES" w:eastAsia="en-US"/>
        </w:rPr>
        <w:t>Datorita nefunctionarii aplicației, activitatea de inventariere pentru sesiunea de raportare 2018 va fi continuata in anul 2019, cand se vor stabili factorii de emisie necesari calculului emisiilor finale.</w:t>
      </w:r>
    </w:p>
    <w:p w:rsidR="008A0893" w:rsidRPr="008A0893" w:rsidRDefault="008A0893" w:rsidP="00980D72">
      <w:pPr>
        <w:numPr>
          <w:ilvl w:val="0"/>
          <w:numId w:val="50"/>
        </w:numPr>
        <w:tabs>
          <w:tab w:val="left" w:pos="0"/>
        </w:tabs>
        <w:ind w:left="0" w:firstLine="0"/>
        <w:contextualSpacing/>
        <w:jc w:val="both"/>
        <w:rPr>
          <w:rFonts w:eastAsia="Calibri"/>
          <w:lang w:val="es-ES" w:eastAsia="en-US"/>
        </w:rPr>
      </w:pPr>
      <w:r w:rsidRPr="008A0893">
        <w:rPr>
          <w:rFonts w:eastAsia="Calibri"/>
          <w:lang w:val="es-ES" w:eastAsia="en-US"/>
        </w:rPr>
        <w:t>Analizarea și avizarea planului de calitate a aerului și a planului de menținere a calității aerului elaborat de Primăria Municipiului București.</w:t>
      </w:r>
    </w:p>
    <w:p w:rsidR="008A0893" w:rsidRDefault="008A0893" w:rsidP="00980D72">
      <w:pPr>
        <w:numPr>
          <w:ilvl w:val="0"/>
          <w:numId w:val="50"/>
        </w:numPr>
        <w:tabs>
          <w:tab w:val="left" w:pos="0"/>
        </w:tabs>
        <w:ind w:left="0" w:firstLine="0"/>
        <w:jc w:val="both"/>
        <w:rPr>
          <w:rFonts w:eastAsia="Calibri"/>
          <w:lang w:val="es-ES" w:eastAsia="en-US"/>
        </w:rPr>
      </w:pPr>
      <w:r w:rsidRPr="008A0893">
        <w:rPr>
          <w:rFonts w:eastAsia="Calibri"/>
          <w:lang w:val="es-ES" w:eastAsia="en-US"/>
        </w:rPr>
        <w:t>Acțiunea s-a desfășurat pe parcursul mai multor luni, implicând un volum mare de timp alocat verificării, atât datorită complexității și volumului mare de date tehnice cât și multiplelor completări solicitate. Planurile au fost avizate final și de ANPM si apoi aprobate prin HCGMB.</w:t>
      </w:r>
    </w:p>
    <w:p w:rsidR="005625ED" w:rsidRPr="005625ED" w:rsidRDefault="005625ED" w:rsidP="005625ED">
      <w:pPr>
        <w:tabs>
          <w:tab w:val="left" w:pos="0"/>
        </w:tabs>
        <w:jc w:val="both"/>
        <w:rPr>
          <w:rFonts w:eastAsia="Calibri"/>
          <w:lang w:val="es-ES" w:eastAsia="en-US"/>
        </w:rPr>
      </w:pPr>
    </w:p>
    <w:p w:rsidR="008A0893" w:rsidRPr="008A0893" w:rsidRDefault="008A0893" w:rsidP="00980D72">
      <w:pPr>
        <w:numPr>
          <w:ilvl w:val="0"/>
          <w:numId w:val="49"/>
        </w:numPr>
        <w:tabs>
          <w:tab w:val="left" w:pos="0"/>
        </w:tabs>
        <w:ind w:left="0" w:firstLine="0"/>
        <w:jc w:val="both"/>
        <w:rPr>
          <w:rFonts w:eastAsia="Calibri"/>
          <w:b/>
          <w:i/>
          <w:lang w:val="en-US" w:eastAsia="en-US"/>
        </w:rPr>
      </w:pPr>
      <w:r w:rsidRPr="008A0893">
        <w:rPr>
          <w:rFonts w:eastAsia="Calibri"/>
          <w:b/>
          <w:i/>
          <w:lang w:val="en-US" w:eastAsia="en-US"/>
        </w:rPr>
        <w:lastRenderedPageBreak/>
        <w:t>In domeniul Sinteză și Rapoarte:</w:t>
      </w:r>
    </w:p>
    <w:p w:rsidR="008A0893" w:rsidRPr="008A0893" w:rsidRDefault="008A0893" w:rsidP="00980D72">
      <w:pPr>
        <w:numPr>
          <w:ilvl w:val="0"/>
          <w:numId w:val="51"/>
        </w:numPr>
        <w:tabs>
          <w:tab w:val="left" w:pos="0"/>
        </w:tabs>
        <w:ind w:left="0" w:firstLine="0"/>
        <w:contextualSpacing/>
        <w:jc w:val="both"/>
        <w:rPr>
          <w:rFonts w:eastAsia="Calibri"/>
          <w:lang w:val="en-US" w:eastAsia="en-US"/>
        </w:rPr>
      </w:pPr>
      <w:r w:rsidRPr="008A0893">
        <w:rPr>
          <w:rFonts w:eastAsia="Calibri"/>
          <w:lang w:val="en-US" w:eastAsia="en-US"/>
        </w:rPr>
        <w:t xml:space="preserve">Realizarea raportului anual privind calitatea factorilor de mediu, având conținutul și  formatul stabilit de ANPM (formatul SOER - </w:t>
      </w:r>
      <w:r w:rsidRPr="008A0893">
        <w:rPr>
          <w:rFonts w:eastAsia="Calibri"/>
          <w:i/>
          <w:lang w:val="en-US" w:eastAsia="en-US"/>
        </w:rPr>
        <w:t>State and Outlook of Environment Report-</w:t>
      </w:r>
      <w:r w:rsidRPr="008A0893">
        <w:rPr>
          <w:rFonts w:eastAsia="Calibri"/>
          <w:lang w:val="en-US" w:eastAsia="en-US"/>
        </w:rPr>
        <w:t xml:space="preserve"> cu indicatori)</w:t>
      </w:r>
    </w:p>
    <w:p w:rsidR="008A0893" w:rsidRPr="008A0893" w:rsidRDefault="008A0893" w:rsidP="00980D72">
      <w:pPr>
        <w:numPr>
          <w:ilvl w:val="0"/>
          <w:numId w:val="51"/>
        </w:numPr>
        <w:tabs>
          <w:tab w:val="left" w:pos="0"/>
        </w:tabs>
        <w:ind w:left="0" w:firstLine="0"/>
        <w:jc w:val="both"/>
        <w:rPr>
          <w:rFonts w:eastAsia="Calibri"/>
          <w:lang w:val="en-US" w:eastAsia="en-US"/>
        </w:rPr>
      </w:pPr>
      <w:r w:rsidRPr="008A0893">
        <w:rPr>
          <w:rFonts w:eastAsia="Calibri"/>
          <w:lang w:val="en-US" w:eastAsia="en-US"/>
        </w:rPr>
        <w:t>Raportul a fost finalizat in luna august și a conținut informații atât din bazele de date proprii APM, cît și date primite de la CN Apele Române, Institutul de Statistică, Registrul Auto Român, Direcția de Sănătate Publică a Municipiului București</w:t>
      </w:r>
    </w:p>
    <w:p w:rsidR="008A0893" w:rsidRPr="008A0893" w:rsidRDefault="008A0893" w:rsidP="00980D72">
      <w:pPr>
        <w:numPr>
          <w:ilvl w:val="0"/>
          <w:numId w:val="51"/>
        </w:numPr>
        <w:tabs>
          <w:tab w:val="left" w:pos="0"/>
        </w:tabs>
        <w:ind w:left="0" w:firstLine="0"/>
        <w:contextualSpacing/>
        <w:jc w:val="both"/>
        <w:rPr>
          <w:rFonts w:eastAsia="Calibri"/>
          <w:lang w:val="es-ES" w:eastAsia="en-US"/>
        </w:rPr>
      </w:pPr>
      <w:r w:rsidRPr="008A0893">
        <w:rPr>
          <w:rFonts w:eastAsia="Calibri"/>
          <w:lang w:val="es-ES" w:eastAsia="en-US"/>
        </w:rPr>
        <w:t>Realizarea rapoartelor lunare privind calitatea factorilor de mediu și afișarea pe pagina de web.</w:t>
      </w:r>
    </w:p>
    <w:p w:rsidR="008A0893" w:rsidRPr="008A0893" w:rsidRDefault="008A0893" w:rsidP="00980D72">
      <w:pPr>
        <w:numPr>
          <w:ilvl w:val="0"/>
          <w:numId w:val="51"/>
        </w:numPr>
        <w:tabs>
          <w:tab w:val="left" w:pos="0"/>
        </w:tabs>
        <w:ind w:left="0" w:firstLine="0"/>
        <w:jc w:val="both"/>
        <w:rPr>
          <w:rFonts w:eastAsia="Calibri"/>
          <w:lang w:val="es-ES" w:eastAsia="en-US"/>
        </w:rPr>
      </w:pPr>
      <w:r w:rsidRPr="008A0893">
        <w:rPr>
          <w:rFonts w:eastAsia="Calibri"/>
          <w:lang w:val="es-ES" w:eastAsia="en-US"/>
        </w:rPr>
        <w:t>În conținutul raportului lunar privind calitatea factorilor de mediu sunt incluse informații legate de calitatea aerului, radioactivitate, gestionarea deseurilor și calitatea apelor, informații ce sunt puse apoi la dispoziția publicului pe pagina de web.</w:t>
      </w:r>
    </w:p>
    <w:p w:rsidR="008A0893" w:rsidRPr="008A0893" w:rsidRDefault="008A0893" w:rsidP="00980D72">
      <w:pPr>
        <w:numPr>
          <w:ilvl w:val="0"/>
          <w:numId w:val="51"/>
        </w:numPr>
        <w:tabs>
          <w:tab w:val="left" w:pos="0"/>
          <w:tab w:val="left" w:pos="709"/>
          <w:tab w:val="left" w:pos="1701"/>
          <w:tab w:val="left" w:pos="2652"/>
        </w:tabs>
        <w:ind w:left="0" w:firstLine="0"/>
        <w:contextualSpacing/>
        <w:jc w:val="both"/>
        <w:rPr>
          <w:rFonts w:eastAsia="Calibri"/>
          <w:lang w:val="es-ES" w:eastAsia="en-US"/>
        </w:rPr>
      </w:pPr>
      <w:r w:rsidRPr="008A0893">
        <w:rPr>
          <w:rFonts w:eastAsia="Calibri"/>
          <w:lang w:val="es-ES" w:eastAsia="en-US"/>
        </w:rPr>
        <w:t xml:space="preserve">monitorizarea situaţiilor de urgenţă produse pe raza Municipiului București şi raportarea către ANPM şi Centrul Operațional pentru Situații de Urgență din cadrul Ministerului Mediului la termenele şi în formatele </w:t>
      </w:r>
      <w:r w:rsidRPr="008A0893">
        <w:rPr>
          <w:rFonts w:eastAsia="Calibri"/>
          <w:lang w:val="it-IT" w:eastAsia="en-US"/>
        </w:rPr>
        <w:t>standard</w:t>
      </w:r>
      <w:r w:rsidRPr="008A0893">
        <w:rPr>
          <w:rFonts w:eastAsia="Calibri"/>
          <w:lang w:val="es-ES" w:eastAsia="en-US"/>
        </w:rPr>
        <w:t xml:space="preserve"> stabilite prin Ordinul pentru aprobarea fluxului informaţional-decizional de avertizare-alarmare în cazul producerii unor situaţii de urgenţă generate de riscurile specifice Ministerului Mediului ;</w:t>
      </w:r>
    </w:p>
    <w:p w:rsidR="008A0893" w:rsidRDefault="008A0893" w:rsidP="00980D72">
      <w:pPr>
        <w:numPr>
          <w:ilvl w:val="0"/>
          <w:numId w:val="51"/>
        </w:numPr>
        <w:tabs>
          <w:tab w:val="left" w:pos="0"/>
          <w:tab w:val="left" w:pos="709"/>
          <w:tab w:val="left" w:pos="1843"/>
          <w:tab w:val="left" w:pos="2652"/>
        </w:tabs>
        <w:ind w:left="0" w:firstLine="0"/>
        <w:jc w:val="both"/>
        <w:rPr>
          <w:rFonts w:eastAsia="Calibri"/>
          <w:lang w:val="es-ES" w:eastAsia="en-US"/>
        </w:rPr>
      </w:pPr>
      <w:r w:rsidRPr="008A0893">
        <w:rPr>
          <w:rFonts w:eastAsia="Calibri"/>
          <w:lang w:val="en-US" w:eastAsia="en-US"/>
        </w:rPr>
        <w:t xml:space="preserve">Au fost transmise 12 raportări lunare. </w:t>
      </w:r>
      <w:r w:rsidRPr="008A0893">
        <w:rPr>
          <w:rFonts w:eastAsia="Calibri"/>
          <w:lang w:val="es-ES" w:eastAsia="en-US"/>
        </w:rPr>
        <w:t>Nu au existat evenimente care să poată fi raportate ca evenimente de poluare, insă au existat 2 evenimente scurte ca durata si intensitate (incendii) a căror derulare a  fost urmărită atent pentru a nu se transforma in risc de poluare.</w:t>
      </w:r>
    </w:p>
    <w:p w:rsidR="008A0893" w:rsidRPr="008A0893" w:rsidRDefault="008A0893" w:rsidP="008A0893">
      <w:pPr>
        <w:tabs>
          <w:tab w:val="left" w:pos="0"/>
          <w:tab w:val="left" w:pos="709"/>
          <w:tab w:val="left" w:pos="1843"/>
          <w:tab w:val="left" w:pos="2652"/>
        </w:tabs>
        <w:jc w:val="both"/>
        <w:rPr>
          <w:rFonts w:eastAsia="Calibri"/>
          <w:lang w:val="es-ES" w:eastAsia="en-US"/>
        </w:rPr>
      </w:pPr>
    </w:p>
    <w:p w:rsidR="008A0893" w:rsidRPr="008A0893" w:rsidRDefault="008A0893" w:rsidP="00980D72">
      <w:pPr>
        <w:numPr>
          <w:ilvl w:val="0"/>
          <w:numId w:val="49"/>
        </w:numPr>
        <w:tabs>
          <w:tab w:val="left" w:pos="0"/>
        </w:tabs>
        <w:ind w:left="0" w:firstLine="0"/>
        <w:jc w:val="both"/>
        <w:rPr>
          <w:rFonts w:eastAsia="Calibri"/>
          <w:b/>
          <w:i/>
          <w:lang w:val="en-US" w:eastAsia="en-US"/>
        </w:rPr>
      </w:pPr>
      <w:r w:rsidRPr="008A0893">
        <w:rPr>
          <w:rFonts w:eastAsia="Calibri"/>
          <w:b/>
          <w:i/>
          <w:lang w:val="en-US" w:eastAsia="en-US"/>
        </w:rPr>
        <w:t>În domeniul zgomotului ambiant:</w:t>
      </w:r>
    </w:p>
    <w:p w:rsidR="008A0893" w:rsidRPr="008A0893" w:rsidRDefault="008A0893" w:rsidP="00980D72">
      <w:pPr>
        <w:numPr>
          <w:ilvl w:val="0"/>
          <w:numId w:val="48"/>
        </w:numPr>
        <w:tabs>
          <w:tab w:val="left" w:pos="0"/>
        </w:tabs>
        <w:spacing w:after="200"/>
        <w:ind w:left="0" w:firstLine="0"/>
        <w:contextualSpacing/>
        <w:jc w:val="both"/>
        <w:rPr>
          <w:rFonts w:eastAsia="Calibri"/>
          <w:lang w:val="es-ES" w:eastAsia="en-US"/>
        </w:rPr>
      </w:pPr>
      <w:r w:rsidRPr="008A0893">
        <w:rPr>
          <w:rFonts w:eastAsia="Calibri"/>
          <w:lang w:val="es-ES" w:eastAsia="en-US"/>
        </w:rPr>
        <w:t>analizarea și verificarea documentațiilor prezentate de autoritățile responsabile cu elaborarea hărţilor strategice de zgomot şi a planurilor de acţiune</w:t>
      </w:r>
    </w:p>
    <w:p w:rsidR="008A0893" w:rsidRPr="008A0893" w:rsidRDefault="008A0893" w:rsidP="008A0893">
      <w:pPr>
        <w:tabs>
          <w:tab w:val="left" w:pos="0"/>
        </w:tabs>
        <w:jc w:val="both"/>
        <w:rPr>
          <w:rFonts w:eastAsia="Calibri"/>
          <w:lang w:val="es-ES" w:eastAsia="en-US"/>
        </w:rPr>
      </w:pPr>
      <w:r w:rsidRPr="008A0893">
        <w:rPr>
          <w:rFonts w:eastAsia="Calibri"/>
          <w:lang w:val="es-ES" w:eastAsia="en-US"/>
        </w:rPr>
        <w:t>Pe parcursul anului 2018 comisile de verificare a hărților de zgomot, respectiv a planurilor de acțiune au verificat conținutul documentațiilor prezentate de PMB si CFR pentru hărțile de zgomot, respectiv Aeroportul Aurel Vlaicu pentru planul de acțiune.</w:t>
      </w:r>
    </w:p>
    <w:p w:rsidR="008A0893" w:rsidRPr="008A0893" w:rsidRDefault="008A0893" w:rsidP="008A0893">
      <w:pPr>
        <w:tabs>
          <w:tab w:val="left" w:pos="0"/>
        </w:tabs>
        <w:jc w:val="both"/>
        <w:rPr>
          <w:rFonts w:eastAsia="Calibri"/>
          <w:color w:val="FF0000"/>
          <w:lang w:val="es-ES" w:eastAsia="en-US"/>
        </w:rPr>
      </w:pPr>
    </w:p>
    <w:p w:rsidR="008A0893" w:rsidRPr="008A0893" w:rsidRDefault="008A0893" w:rsidP="00980D72">
      <w:pPr>
        <w:numPr>
          <w:ilvl w:val="0"/>
          <w:numId w:val="49"/>
        </w:numPr>
        <w:tabs>
          <w:tab w:val="left" w:pos="0"/>
        </w:tabs>
        <w:ind w:left="0" w:firstLine="0"/>
        <w:jc w:val="both"/>
        <w:rPr>
          <w:rFonts w:eastAsia="Calibri"/>
          <w:b/>
          <w:i/>
          <w:color w:val="000000"/>
          <w:lang w:val="en-US" w:eastAsia="en-US"/>
        </w:rPr>
      </w:pPr>
      <w:r w:rsidRPr="008A0893">
        <w:rPr>
          <w:rFonts w:eastAsia="Calibri"/>
          <w:b/>
          <w:i/>
          <w:color w:val="000000"/>
          <w:lang w:val="en-US" w:eastAsia="en-US"/>
        </w:rPr>
        <w:t>În domeniul Laboratoare:</w:t>
      </w:r>
    </w:p>
    <w:p w:rsidR="008A0893" w:rsidRPr="008A0893" w:rsidRDefault="008A0893" w:rsidP="00980D72">
      <w:pPr>
        <w:numPr>
          <w:ilvl w:val="0"/>
          <w:numId w:val="48"/>
        </w:numPr>
        <w:tabs>
          <w:tab w:val="left" w:pos="0"/>
        </w:tabs>
        <w:ind w:left="0" w:firstLine="0"/>
        <w:contextualSpacing/>
        <w:jc w:val="both"/>
        <w:rPr>
          <w:rFonts w:eastAsia="Calibri"/>
          <w:color w:val="000000"/>
          <w:lang w:val="es-ES" w:eastAsia="en-US"/>
        </w:rPr>
      </w:pPr>
      <w:r w:rsidRPr="008A0893">
        <w:rPr>
          <w:rFonts w:eastAsia="Calibri"/>
          <w:color w:val="000000"/>
          <w:lang w:val="es-ES" w:eastAsia="en-US"/>
        </w:rPr>
        <w:t xml:space="preserve">operarea echipamentelor din cadrul RNMCA. </w:t>
      </w:r>
    </w:p>
    <w:p w:rsidR="008A0893" w:rsidRPr="008A0893" w:rsidRDefault="008A0893" w:rsidP="008A0893">
      <w:pPr>
        <w:tabs>
          <w:tab w:val="left" w:pos="0"/>
        </w:tabs>
        <w:jc w:val="both"/>
        <w:rPr>
          <w:rFonts w:eastAsia="Calibri"/>
          <w:color w:val="000000"/>
          <w:lang w:val="es-ES" w:eastAsia="en-US"/>
        </w:rPr>
      </w:pPr>
      <w:r>
        <w:rPr>
          <w:rFonts w:eastAsia="Calibri"/>
          <w:color w:val="000000"/>
          <w:lang w:val="es-ES" w:eastAsia="en-US"/>
        </w:rPr>
        <w:tab/>
      </w:r>
      <w:r w:rsidRPr="008A0893">
        <w:rPr>
          <w:rFonts w:eastAsia="Calibri"/>
          <w:color w:val="000000"/>
          <w:lang w:val="es-ES" w:eastAsia="en-US"/>
        </w:rPr>
        <w:t>Echipamentele sunt proprietatea Ministerului Mediului si date prin contract de comodat APMB, in vederea operarii. Ministerul Mediului a incheiat contract la nivel național pentru asigurarea functionarii echipamentelor din cadrul RNMCA, prin intretinere preventiva, corectiva sau  chiar inlocuirea completa a unor echipamente. APM Bucuresti a verificat desfasurarea operațiunilor efectuate de prestator si a transmis lunar catre MM Procesele verbale de receptie, de constatare, de instruire etc, conform specificatiilor contractului.</w:t>
      </w:r>
    </w:p>
    <w:p w:rsidR="008A0893" w:rsidRPr="008A0893" w:rsidRDefault="008A0893" w:rsidP="008A0893">
      <w:pPr>
        <w:tabs>
          <w:tab w:val="left" w:pos="0"/>
        </w:tabs>
        <w:jc w:val="both"/>
        <w:rPr>
          <w:rFonts w:eastAsia="Calibri"/>
          <w:color w:val="000000"/>
          <w:lang w:val="es-ES" w:eastAsia="en-US"/>
        </w:rPr>
      </w:pPr>
      <w:r>
        <w:rPr>
          <w:rFonts w:eastAsia="Calibri"/>
          <w:color w:val="000000"/>
          <w:lang w:val="es-ES" w:eastAsia="en-US"/>
        </w:rPr>
        <w:tab/>
      </w:r>
      <w:r w:rsidRPr="008A0893">
        <w:rPr>
          <w:rFonts w:eastAsia="Calibri"/>
          <w:color w:val="000000"/>
          <w:lang w:val="es-ES" w:eastAsia="en-US"/>
        </w:rPr>
        <w:t>Pe partea de operare, am verificat zilnic functionarea echipamentelor, iar o data la 2 saptamani au fost desfasurate operatii de inlocuire a filtrelor, calibrari.</w:t>
      </w:r>
    </w:p>
    <w:p w:rsidR="008A0893" w:rsidRPr="008A0893" w:rsidRDefault="008A0893" w:rsidP="008A0893">
      <w:pPr>
        <w:tabs>
          <w:tab w:val="left" w:pos="0"/>
        </w:tabs>
        <w:jc w:val="both"/>
        <w:rPr>
          <w:rFonts w:eastAsia="Calibri"/>
          <w:color w:val="000000"/>
          <w:lang w:val="es-ES" w:eastAsia="en-US"/>
        </w:rPr>
      </w:pPr>
      <w:r w:rsidRPr="008A0893">
        <w:rPr>
          <w:rFonts w:eastAsia="Calibri"/>
          <w:color w:val="000000"/>
          <w:lang w:val="es-ES" w:eastAsia="en-US"/>
        </w:rPr>
        <w:t>In cazul aparitiei defectiunilor s-a tinut legatura constant cu operatorul de service iar, pentru defectiuni prelungite sau care necesita piese de inlocuit au fost intocmite Formulare Solicitare Interventie Tehnica (FSIT).</w:t>
      </w:r>
    </w:p>
    <w:p w:rsidR="008A0893" w:rsidRDefault="008A0893" w:rsidP="008A0893">
      <w:pPr>
        <w:tabs>
          <w:tab w:val="left" w:pos="0"/>
        </w:tabs>
        <w:jc w:val="both"/>
        <w:rPr>
          <w:rFonts w:eastAsia="Calibri"/>
          <w:color w:val="000000"/>
          <w:lang w:val="es-ES" w:eastAsia="en-US"/>
        </w:rPr>
      </w:pPr>
      <w:r>
        <w:rPr>
          <w:rFonts w:eastAsia="Calibri"/>
          <w:color w:val="000000"/>
          <w:lang w:val="es-ES" w:eastAsia="en-US"/>
        </w:rPr>
        <w:tab/>
      </w:r>
      <w:r w:rsidRPr="008A0893">
        <w:rPr>
          <w:rFonts w:eastAsia="Calibri"/>
          <w:color w:val="000000"/>
          <w:lang w:val="es-ES" w:eastAsia="en-US"/>
        </w:rPr>
        <w:t>Lunar s-a facut o raportare catre ANPM si MM cu privire la functionarea echipamentelor din cadrul RNMCA, atat pe parte de statii cat si de echipamente de laborator.</w:t>
      </w:r>
    </w:p>
    <w:p w:rsidR="008A0893" w:rsidRPr="008A0893" w:rsidRDefault="008A0893" w:rsidP="008A0893">
      <w:pPr>
        <w:tabs>
          <w:tab w:val="left" w:pos="0"/>
        </w:tabs>
        <w:jc w:val="both"/>
        <w:rPr>
          <w:rFonts w:eastAsia="Calibri"/>
          <w:color w:val="000000"/>
          <w:lang w:val="es-ES" w:eastAsia="en-US"/>
        </w:rPr>
      </w:pPr>
    </w:p>
    <w:p w:rsidR="008A0893" w:rsidRPr="008A0893" w:rsidRDefault="008A0893" w:rsidP="008A0893">
      <w:pPr>
        <w:tabs>
          <w:tab w:val="left" w:pos="0"/>
        </w:tabs>
        <w:spacing w:after="200"/>
        <w:contextualSpacing/>
        <w:jc w:val="both"/>
        <w:rPr>
          <w:rFonts w:eastAsia="Calibri"/>
          <w:b/>
          <w:color w:val="000000"/>
          <w:lang w:val="es-ES" w:eastAsia="en-US"/>
        </w:rPr>
      </w:pPr>
      <w:r>
        <w:rPr>
          <w:rFonts w:eastAsia="Calibri"/>
          <w:color w:val="000000"/>
          <w:lang w:val="es-ES" w:eastAsia="en-US"/>
        </w:rPr>
        <w:tab/>
      </w:r>
      <w:r w:rsidRPr="008A0893">
        <w:rPr>
          <w:rFonts w:eastAsia="Calibri"/>
          <w:color w:val="000000"/>
          <w:lang w:val="es-ES" w:eastAsia="en-US"/>
        </w:rPr>
        <w:t xml:space="preserve">In cadrul monitorizarii calitatii aerului efectuată prin RNMCA, au fost efectuate analize manuale astfel: </w:t>
      </w:r>
      <w:r w:rsidRPr="008A0893">
        <w:rPr>
          <w:rFonts w:eastAsia="Calibri"/>
          <w:b/>
          <w:color w:val="000000"/>
          <w:lang w:val="es-ES" w:eastAsia="en-US"/>
        </w:rPr>
        <w:t>1212 analize PM2,5;  2301 analize PM10, 6652 analize metale.</w:t>
      </w:r>
    </w:p>
    <w:p w:rsidR="008A0893" w:rsidRPr="008A0893" w:rsidRDefault="008A0893" w:rsidP="00980D72">
      <w:pPr>
        <w:numPr>
          <w:ilvl w:val="0"/>
          <w:numId w:val="48"/>
        </w:numPr>
        <w:tabs>
          <w:tab w:val="left" w:pos="0"/>
        </w:tabs>
        <w:spacing w:after="200"/>
        <w:ind w:left="0" w:firstLine="0"/>
        <w:contextualSpacing/>
        <w:jc w:val="both"/>
        <w:rPr>
          <w:rFonts w:eastAsia="Calibri"/>
          <w:b/>
          <w:color w:val="000000"/>
          <w:lang w:val="en-US" w:eastAsia="en-US"/>
        </w:rPr>
      </w:pPr>
      <w:r w:rsidRPr="008A0893">
        <w:rPr>
          <w:rFonts w:eastAsia="Calibri"/>
          <w:color w:val="000000"/>
          <w:lang w:val="es-ES" w:eastAsia="en-US"/>
        </w:rPr>
        <w:t xml:space="preserve">Statia de Supraveghere a Radioactivității Mediului de la Afumați a desfășurat pe parcursul anului 2018 un program normal de supraveghere a radioactivității (11 ore/zi, 7 zile/saptamana), conform propunerii anuale transmisă la ANPM. In cadrul acestui program se efectueaza analize alfa si beta globale pentru aerosoli atmosferici, depuneri, apa brută, sol si vegetatie, precum si măsuratori de fond gamma. La final de luna sunt transmise probe la ANPM pentru analize gamma spectrometrice. </w:t>
      </w:r>
      <w:r w:rsidRPr="008A0893">
        <w:rPr>
          <w:rFonts w:eastAsia="Calibri"/>
          <w:color w:val="000000"/>
          <w:lang w:val="en-US" w:eastAsia="en-US"/>
        </w:rPr>
        <w:t xml:space="preserve">Pe parcursul anului 2018 in cadrul SSRM Bucuresti au fost efectuate </w:t>
      </w:r>
      <w:r w:rsidRPr="008A0893">
        <w:rPr>
          <w:rFonts w:eastAsia="Calibri"/>
          <w:b/>
          <w:color w:val="000000"/>
          <w:lang w:val="en-US" w:eastAsia="en-US"/>
        </w:rPr>
        <w:t>7372 analize.</w:t>
      </w:r>
    </w:p>
    <w:p w:rsidR="008A0893" w:rsidRPr="008A0893" w:rsidRDefault="008A0893" w:rsidP="00980D72">
      <w:pPr>
        <w:numPr>
          <w:ilvl w:val="0"/>
          <w:numId w:val="48"/>
        </w:numPr>
        <w:tabs>
          <w:tab w:val="left" w:pos="0"/>
        </w:tabs>
        <w:spacing w:after="200"/>
        <w:ind w:left="0" w:firstLine="0"/>
        <w:contextualSpacing/>
        <w:jc w:val="both"/>
        <w:rPr>
          <w:rFonts w:eastAsia="Calibri"/>
          <w:b/>
          <w:color w:val="000000"/>
          <w:lang w:val="en-US" w:eastAsia="en-US"/>
        </w:rPr>
      </w:pPr>
      <w:r w:rsidRPr="008A0893">
        <w:rPr>
          <w:rFonts w:eastAsia="Calibri"/>
          <w:lang w:val="es-ES" w:eastAsia="en-US"/>
        </w:rPr>
        <w:lastRenderedPageBreak/>
        <w:t xml:space="preserve">In cadrul laboratorului se efectueaza, de cate ori este posibil, analize de precipitatii (pH, conductivitate, cloruri, sulfati, azotati, amoniu, azotiti, fosfati, reziduu fix). </w:t>
      </w:r>
      <w:r w:rsidRPr="008A0893">
        <w:rPr>
          <w:rFonts w:eastAsia="Calibri"/>
          <w:lang w:val="en-US" w:eastAsia="en-US"/>
        </w:rPr>
        <w:t xml:space="preserve">Pe parcursul anului 2018 au fost analizati </w:t>
      </w:r>
      <w:r w:rsidRPr="008A0893">
        <w:rPr>
          <w:rFonts w:eastAsia="Calibri"/>
          <w:b/>
          <w:lang w:val="en-US" w:eastAsia="en-US"/>
        </w:rPr>
        <w:t>257 indicatori</w:t>
      </w:r>
    </w:p>
    <w:p w:rsidR="008A0893" w:rsidRPr="008A0893" w:rsidRDefault="008A0893" w:rsidP="00980D72">
      <w:pPr>
        <w:numPr>
          <w:ilvl w:val="0"/>
          <w:numId w:val="48"/>
        </w:numPr>
        <w:tabs>
          <w:tab w:val="left" w:pos="0"/>
        </w:tabs>
        <w:spacing w:after="200"/>
        <w:ind w:left="0" w:firstLine="0"/>
        <w:contextualSpacing/>
        <w:jc w:val="both"/>
        <w:rPr>
          <w:rFonts w:eastAsia="Calibri"/>
          <w:b/>
          <w:color w:val="000000"/>
          <w:lang w:val="en-US" w:eastAsia="en-US"/>
        </w:rPr>
      </w:pPr>
      <w:r w:rsidRPr="008A0893">
        <w:rPr>
          <w:rFonts w:eastAsia="Calibri"/>
          <w:lang w:val="en-US" w:eastAsia="en-US"/>
        </w:rPr>
        <w:t xml:space="preserve">In cadrul contractelor de prestări servicii, laboratorul APM București a efectuat </w:t>
      </w:r>
      <w:r w:rsidRPr="008A0893">
        <w:rPr>
          <w:rFonts w:eastAsia="Calibri"/>
          <w:b/>
          <w:lang w:val="en-US" w:eastAsia="en-US"/>
        </w:rPr>
        <w:t>80 analize pentru ape reziduale și 18 analize emisii.</w:t>
      </w:r>
    </w:p>
    <w:p w:rsidR="008A0893" w:rsidRPr="008A0893" w:rsidRDefault="008A0893" w:rsidP="008A0893">
      <w:pPr>
        <w:tabs>
          <w:tab w:val="left" w:pos="0"/>
        </w:tabs>
        <w:spacing w:after="200"/>
        <w:contextualSpacing/>
        <w:jc w:val="both"/>
        <w:rPr>
          <w:rFonts w:eastAsia="Calibri"/>
          <w:color w:val="000000"/>
          <w:lang w:val="es-ES" w:eastAsia="en-US"/>
        </w:rPr>
      </w:pPr>
      <w:r>
        <w:rPr>
          <w:rFonts w:eastAsia="Calibri"/>
          <w:color w:val="000000"/>
          <w:lang w:val="es-ES" w:eastAsia="en-US"/>
        </w:rPr>
        <w:tab/>
      </w:r>
      <w:r w:rsidRPr="008A0893">
        <w:rPr>
          <w:rFonts w:eastAsia="Calibri"/>
          <w:color w:val="000000"/>
          <w:lang w:val="es-ES" w:eastAsia="en-US"/>
        </w:rPr>
        <w:t xml:space="preserve">La solicitarea ANPM , autolaboratorul APM București a participat la </w:t>
      </w:r>
      <w:r w:rsidRPr="008A0893">
        <w:rPr>
          <w:rFonts w:eastAsia="Calibri"/>
          <w:b/>
          <w:color w:val="000000"/>
          <w:lang w:val="es-ES" w:eastAsia="en-US"/>
        </w:rPr>
        <w:t>2</w:t>
      </w:r>
      <w:r w:rsidRPr="008A0893">
        <w:rPr>
          <w:rFonts w:eastAsia="Calibri"/>
          <w:color w:val="000000"/>
          <w:lang w:val="es-ES" w:eastAsia="en-US"/>
        </w:rPr>
        <w:t xml:space="preserve"> campanii de măsurători de calitate a aerului în orașele Slobozia si Ploiești. Intrucât atât autolaboratorul, cât și echipamentele de monitorizare de pe acesta sunt vechi , nu mai pot fi reparate eficient și nu se mai poate asigura calitatea datelor, a fost transmisă o solicitare către ANPM  pentru achiziționarea în anul 2019 a unui autolaborator nou.</w:t>
      </w:r>
    </w:p>
    <w:p w:rsidR="008A0893" w:rsidRPr="008A0893" w:rsidRDefault="008A0893" w:rsidP="008A0893">
      <w:pPr>
        <w:tabs>
          <w:tab w:val="left" w:pos="0"/>
        </w:tabs>
        <w:jc w:val="both"/>
        <w:rPr>
          <w:color w:val="000000"/>
        </w:rPr>
      </w:pPr>
      <w:r>
        <w:rPr>
          <w:color w:val="000000"/>
          <w:lang w:val="es-ES"/>
        </w:rPr>
        <w:tab/>
      </w:r>
      <w:r w:rsidRPr="008A0893">
        <w:rPr>
          <w:color w:val="000000"/>
          <w:lang w:val="es-ES"/>
        </w:rPr>
        <w:t xml:space="preserve">In cadrul laboratorului APM București a fost introdus un sistem de management al calitatii in conformitate cu </w:t>
      </w:r>
      <w:r w:rsidRPr="008A0893">
        <w:rPr>
          <w:rFonts w:eastAsia="Calibri"/>
          <w:lang w:val="es-ES"/>
        </w:rPr>
        <w:t xml:space="preserve">standardul SR EN ISO/ CEI 17025:2005 - Cerinţe generale pentru competenţa laboratoarelor de încercări şi etalonare; </w:t>
      </w:r>
      <w:r w:rsidRPr="008A0893">
        <w:rPr>
          <w:noProof/>
        </w:rPr>
        <w:t xml:space="preserve">au fost elaborate proceduri operaţionale, proceduri specifice de lucru, instrucţiuni de lucru, instrucţiuni de utilizare noi pentru anumite incercari de laborator ca urmare a achizitionarii unor aparate noi  (Spectofotometrul de Absorbtie atomica pentru analiza metalelor grele din pulberi si apa) </w:t>
      </w:r>
      <w:r w:rsidRPr="008A0893">
        <w:rPr>
          <w:noProof/>
          <w:lang w:val="es-ES"/>
        </w:rPr>
        <w:t xml:space="preserve">; </w:t>
      </w:r>
      <w:r w:rsidRPr="008A0893">
        <w:t>au fost actualizate documentatiile  în conformitate cu cerinţele referenţialului SR EN ISO/ CEI 17025:2005 (fise aparate, registru de evidenta a functionarii, fise reactivi, etc)</w:t>
      </w:r>
      <w:r w:rsidRPr="008A0893">
        <w:rPr>
          <w:lang w:val="es-ES"/>
        </w:rPr>
        <w:t>; s</w:t>
      </w:r>
      <w:r w:rsidRPr="008A0893">
        <w:rPr>
          <w:color w:val="000000"/>
        </w:rPr>
        <w:t xml:space="preserve">-a urmarit indeplinirea masurilor prevazute in „Planul de acţiuni preventive şi de îmbunătăţire a activităţii laboratorului pe anul 2018; </w:t>
      </w:r>
      <w:r w:rsidRPr="008A0893">
        <w:rPr>
          <w:lang w:val="it-IT"/>
        </w:rPr>
        <w:t>s-a asigurat necesarul de consumabile (reactivi, materiale, butelii de gaz etc.) şi echipamente pentru desfăşurarea în bune condiţii a activităţilor de încercare</w:t>
      </w:r>
    </w:p>
    <w:p w:rsidR="008A0893" w:rsidRDefault="008A0893" w:rsidP="008A0893">
      <w:pPr>
        <w:tabs>
          <w:tab w:val="left" w:pos="0"/>
          <w:tab w:val="left" w:pos="709"/>
          <w:tab w:val="left" w:pos="858"/>
          <w:tab w:val="left" w:pos="1014"/>
          <w:tab w:val="left" w:pos="2652"/>
        </w:tabs>
        <w:contextualSpacing/>
        <w:jc w:val="both"/>
        <w:rPr>
          <w:rFonts w:eastAsia="Calibri"/>
          <w:color w:val="000000"/>
          <w:lang w:val="es-ES" w:eastAsia="en-US"/>
        </w:rPr>
      </w:pPr>
      <w:r>
        <w:rPr>
          <w:rFonts w:eastAsia="Calibri"/>
          <w:color w:val="000000"/>
          <w:lang w:val="es-ES" w:eastAsia="en-US"/>
        </w:rPr>
        <w:tab/>
      </w:r>
      <w:r w:rsidRPr="008A0893">
        <w:rPr>
          <w:rFonts w:eastAsia="Calibri"/>
          <w:color w:val="000000"/>
          <w:lang w:val="es-ES" w:eastAsia="en-US"/>
        </w:rPr>
        <w:t xml:space="preserve">În domeniul zgomot a fost realizate măsurători pentru o solicitare din partea Secției 3 Poliție </w:t>
      </w:r>
    </w:p>
    <w:p w:rsidR="008A0893" w:rsidRPr="008A0893" w:rsidRDefault="008A0893" w:rsidP="008A0893">
      <w:pPr>
        <w:tabs>
          <w:tab w:val="left" w:pos="0"/>
          <w:tab w:val="left" w:pos="709"/>
          <w:tab w:val="left" w:pos="858"/>
          <w:tab w:val="left" w:pos="1014"/>
          <w:tab w:val="left" w:pos="2652"/>
        </w:tabs>
        <w:contextualSpacing/>
        <w:jc w:val="both"/>
        <w:rPr>
          <w:rFonts w:eastAsia="Calibri"/>
          <w:lang w:val="es-ES" w:eastAsia="en-US"/>
        </w:rPr>
      </w:pPr>
    </w:p>
    <w:p w:rsidR="008A0893" w:rsidRPr="006116CF" w:rsidRDefault="008A0893" w:rsidP="008A0893">
      <w:pPr>
        <w:pStyle w:val="BodyText"/>
        <w:tabs>
          <w:tab w:val="left" w:pos="0"/>
        </w:tabs>
        <w:suppressAutoHyphens/>
        <w:jc w:val="both"/>
        <w:rPr>
          <w:szCs w:val="24"/>
          <w:lang w:val="ro-RO"/>
        </w:rPr>
      </w:pPr>
      <w:r>
        <w:rPr>
          <w:bCs/>
          <w:szCs w:val="24"/>
          <w:lang w:val="ro-RO"/>
        </w:rPr>
        <w:tab/>
      </w:r>
      <w:r w:rsidRPr="006116CF">
        <w:rPr>
          <w:bCs/>
          <w:szCs w:val="24"/>
          <w:lang w:val="ro-RO"/>
        </w:rPr>
        <w:t xml:space="preserve">Valoarea tarifelor  încasate în </w:t>
      </w:r>
      <w:r w:rsidRPr="006116CF">
        <w:rPr>
          <w:szCs w:val="24"/>
          <w:lang w:val="ro-RO"/>
        </w:rPr>
        <w:t>2018</w:t>
      </w:r>
      <w:r w:rsidRPr="006116CF">
        <w:rPr>
          <w:bCs/>
          <w:szCs w:val="24"/>
          <w:lang w:val="ro-RO"/>
        </w:rPr>
        <w:t xml:space="preserve">, pe seama  activităţii de autorizare şi laborator, de la persoanele fizice şi juridice, este de </w:t>
      </w:r>
      <w:r w:rsidRPr="006116CF">
        <w:rPr>
          <w:szCs w:val="24"/>
          <w:lang w:val="ro-RO"/>
        </w:rPr>
        <w:t>1.378.233 lei</w:t>
      </w:r>
      <w:r w:rsidRPr="006116CF">
        <w:rPr>
          <w:bCs/>
          <w:szCs w:val="24"/>
          <w:lang w:val="ro-RO"/>
        </w:rPr>
        <w:t>.</w:t>
      </w:r>
      <w:r w:rsidRPr="006116CF">
        <w:rPr>
          <w:szCs w:val="24"/>
          <w:lang w:val="ro-RO"/>
        </w:rPr>
        <w:t xml:space="preserve"> </w:t>
      </w:r>
    </w:p>
    <w:p w:rsidR="008A0893" w:rsidRPr="006116CF" w:rsidRDefault="008A0893" w:rsidP="008A0893">
      <w:pPr>
        <w:widowControl w:val="0"/>
        <w:tabs>
          <w:tab w:val="left" w:pos="0"/>
        </w:tabs>
        <w:adjustRightInd w:val="0"/>
        <w:jc w:val="both"/>
        <w:textAlignment w:val="baseline"/>
      </w:pPr>
      <w:r>
        <w:tab/>
      </w:r>
      <w:r w:rsidRPr="006116CF">
        <w:t xml:space="preserve">În conformitate cu prevederile Ordonanţei de Urgenţă a Guvernului </w:t>
      </w:r>
      <w:hyperlink r:id="rId25" w:history="1">
        <w:r w:rsidRPr="006116CF">
          <w:rPr>
            <w:rStyle w:val="Hyperlink"/>
          </w:rPr>
          <w:t>nr.195/2005</w:t>
        </w:r>
      </w:hyperlink>
      <w:r w:rsidRPr="006116CF">
        <w:t> privind protecţia mediului, publicată în Monitorul Oficial al României, Partea I, nr. 1.196 din 30 decembrie 2005, aprobată cu modificări şi completări ulterioare, sumele obţinute din încasarea tarifelor au fost varsate integral la bugetul de stat.</w:t>
      </w:r>
    </w:p>
    <w:p w:rsidR="008A0893" w:rsidRDefault="008A0893" w:rsidP="008A0893">
      <w:pPr>
        <w:tabs>
          <w:tab w:val="left" w:pos="0"/>
        </w:tabs>
        <w:jc w:val="both"/>
        <w:rPr>
          <w:rFonts w:eastAsia="Calibri"/>
          <w:noProof/>
          <w:lang w:eastAsia="en-US"/>
        </w:rPr>
      </w:pPr>
    </w:p>
    <w:p w:rsidR="00DA6F5C" w:rsidRPr="001B399C" w:rsidRDefault="0014428E" w:rsidP="00A77970">
      <w:pPr>
        <w:jc w:val="both"/>
        <w:rPr>
          <w:b/>
        </w:rPr>
      </w:pPr>
      <w:r w:rsidRPr="001B399C">
        <w:rPr>
          <w:b/>
          <w:kern w:val="28"/>
          <w:lang w:val="en-US" w:eastAsia="en-US"/>
        </w:rPr>
        <w:t xml:space="preserve">Principalele realizări ale </w:t>
      </w:r>
      <w:r w:rsidRPr="001B399C">
        <w:rPr>
          <w:b/>
        </w:rPr>
        <w:t>Comisariatul Municipiului București al Găzii Naționale de Mediu</w:t>
      </w:r>
    </w:p>
    <w:p w:rsidR="00473E5C" w:rsidRPr="009C6A35" w:rsidRDefault="00473E5C" w:rsidP="00A77970">
      <w:pPr>
        <w:jc w:val="both"/>
        <w:rPr>
          <w:b/>
          <w:highlight w:val="lightGray"/>
        </w:rPr>
      </w:pPr>
    </w:p>
    <w:p w:rsidR="001B399C" w:rsidRPr="001B399C" w:rsidRDefault="001B399C" w:rsidP="001B399C">
      <w:pPr>
        <w:jc w:val="both"/>
        <w:rPr>
          <w:lang w:val="en-US"/>
        </w:rPr>
      </w:pPr>
      <w:r>
        <w:rPr>
          <w:lang w:val="en-US"/>
        </w:rPr>
        <w:tab/>
      </w:r>
      <w:r w:rsidRPr="001B399C">
        <w:rPr>
          <w:lang w:val="en-US"/>
        </w:rPr>
        <w:t>Planul de activitatate al Comisariatului Municipiului Bucureşti pentru anul 2018 a fost întocmit si aprobat pentru un număr de 12 comisari, avind obiective si fiind realizat după cum urmeaza:</w:t>
      </w:r>
    </w:p>
    <w:p w:rsidR="001B399C" w:rsidRPr="001B399C" w:rsidRDefault="001B399C" w:rsidP="001B399C">
      <w:pPr>
        <w:jc w:val="both"/>
        <w:rPr>
          <w:lang w:val="en-US"/>
        </w:rPr>
      </w:pPr>
      <w:r w:rsidRPr="001B399C">
        <w:rPr>
          <w:lang w:val="en-US"/>
        </w:rPr>
        <w:t>Inspecţii propuse : nr. total 1015, - realizate 989, procent de 97 %</w:t>
      </w:r>
    </w:p>
    <w:p w:rsidR="001B399C" w:rsidRPr="001B399C" w:rsidRDefault="001B399C" w:rsidP="001B399C">
      <w:pPr>
        <w:jc w:val="both"/>
        <w:rPr>
          <w:lang w:val="en-US"/>
        </w:rPr>
      </w:pPr>
      <w:r w:rsidRPr="001B399C">
        <w:rPr>
          <w:lang w:val="en-US"/>
        </w:rPr>
        <w:t>I.</w:t>
      </w:r>
      <w:r w:rsidRPr="001B399C">
        <w:rPr>
          <w:lang w:val="en-US"/>
        </w:rPr>
        <w:tab/>
        <w:t>Inspecţii planificate (Tip A, Tip B, Tip C ) -propuse 400, - realitate 403 , procent 100,75%.</w:t>
      </w:r>
    </w:p>
    <w:p w:rsidR="001B399C" w:rsidRPr="001B399C" w:rsidRDefault="001B399C" w:rsidP="001B399C">
      <w:pPr>
        <w:jc w:val="both"/>
        <w:rPr>
          <w:lang w:val="en-US"/>
        </w:rPr>
      </w:pPr>
      <w:r w:rsidRPr="001B399C">
        <w:rPr>
          <w:lang w:val="en-US"/>
        </w:rPr>
        <w:t>II.</w:t>
      </w:r>
      <w:r w:rsidRPr="001B399C">
        <w:rPr>
          <w:lang w:val="en-US"/>
        </w:rPr>
        <w:tab/>
        <w:t>Inspecţii neplanificate: - propuse 610, - realizate586 , procent 96%.</w:t>
      </w:r>
    </w:p>
    <w:p w:rsidR="001B399C" w:rsidRPr="001B399C" w:rsidRDefault="001B399C" w:rsidP="001B399C">
      <w:pPr>
        <w:jc w:val="both"/>
        <w:rPr>
          <w:lang w:val="en-US"/>
        </w:rPr>
      </w:pPr>
      <w:r>
        <w:rPr>
          <w:lang w:val="en-US"/>
        </w:rPr>
        <w:tab/>
      </w:r>
      <w:r w:rsidRPr="001B399C">
        <w:rPr>
          <w:lang w:val="en-US"/>
        </w:rPr>
        <w:t>La inspecţiile neplanificate menţionam existenta unui număr mare de inspecţ</w:t>
      </w:r>
      <w:r w:rsidR="00C3556B">
        <w:rPr>
          <w:lang w:val="en-US"/>
        </w:rPr>
        <w:t>ii pentru rezolvarea reclamaţii</w:t>
      </w:r>
      <w:r w:rsidRPr="001B399C">
        <w:rPr>
          <w:lang w:val="en-US"/>
        </w:rPr>
        <w:t>lor, inspecţii tematice, inspecţii pentru investigarea unor accidente sau incidente cu impact asu</w:t>
      </w:r>
      <w:r w:rsidR="00DC0C5F">
        <w:rPr>
          <w:lang w:val="en-US"/>
        </w:rPr>
        <w:t>pra mediului si inspecţii cu alt</w:t>
      </w:r>
      <w:r w:rsidRPr="001B399C">
        <w:rPr>
          <w:lang w:val="en-US"/>
        </w:rPr>
        <w:t>e autoritati.</w:t>
      </w:r>
    </w:p>
    <w:p w:rsidR="001B399C" w:rsidRPr="001B399C" w:rsidRDefault="001B399C" w:rsidP="001B399C">
      <w:pPr>
        <w:jc w:val="both"/>
        <w:rPr>
          <w:lang w:val="en-US"/>
        </w:rPr>
      </w:pPr>
      <w:r>
        <w:rPr>
          <w:lang w:val="en-US"/>
        </w:rPr>
        <w:tab/>
      </w:r>
      <w:r w:rsidRPr="001B399C">
        <w:rPr>
          <w:lang w:val="en-US"/>
        </w:rPr>
        <w:t>Planul a fost structurat pe inspecţii priv</w:t>
      </w:r>
      <w:r>
        <w:rPr>
          <w:lang w:val="en-US"/>
        </w:rPr>
        <w:t>i</w:t>
      </w:r>
      <w:r w:rsidRPr="001B399C">
        <w:rPr>
          <w:lang w:val="en-US"/>
        </w:rPr>
        <w:t xml:space="preserve">nd Controlul Poluării si Controlul Biodiversitatii </w:t>
      </w:r>
    </w:p>
    <w:p w:rsidR="00857EB1" w:rsidRPr="000E0AEE" w:rsidRDefault="001B399C" w:rsidP="001B399C">
      <w:pPr>
        <w:jc w:val="both"/>
        <w:rPr>
          <w:b/>
        </w:rPr>
      </w:pPr>
      <w:r w:rsidRPr="001B399C">
        <w:rPr>
          <w:lang w:val="en-US"/>
        </w:rPr>
        <w:t>Comisari din</w:t>
      </w:r>
      <w:r w:rsidR="006406AC">
        <w:rPr>
          <w:lang w:val="en-US"/>
        </w:rPr>
        <w:t xml:space="preserve"> cadrul CM Bucureşti au efectuat</w:t>
      </w:r>
      <w:r w:rsidRPr="001B399C">
        <w:rPr>
          <w:lang w:val="en-US"/>
        </w:rPr>
        <w:t xml:space="preserve"> 5 controale la obiective SEVESO si 27 de controale la obiective cu impact major asupra med ului de categoria A.</w:t>
      </w:r>
    </w:p>
    <w:p w:rsidR="001B399C" w:rsidRPr="001B399C" w:rsidRDefault="001B399C" w:rsidP="001B399C">
      <w:pPr>
        <w:contextualSpacing/>
        <w:jc w:val="both"/>
        <w:rPr>
          <w:rFonts w:eastAsia="MS Mincho"/>
          <w:lang w:val="en-US" w:eastAsia="en-US"/>
        </w:rPr>
      </w:pPr>
      <w:r>
        <w:rPr>
          <w:rFonts w:eastAsia="MS Mincho"/>
          <w:lang w:val="en-US" w:eastAsia="en-US"/>
        </w:rPr>
        <w:tab/>
      </w:r>
      <w:r w:rsidRPr="001B399C">
        <w:rPr>
          <w:rFonts w:eastAsia="MS Mincho"/>
          <w:lang w:val="en-US" w:eastAsia="en-US"/>
        </w:rPr>
        <w:t>Pentru neconformitatile constatate au fost aplicate un număr de 104 sancţiuni contravenţionale principale:</w:t>
      </w:r>
    </w:p>
    <w:p w:rsidR="001B399C" w:rsidRDefault="001B399C" w:rsidP="001B399C">
      <w:pPr>
        <w:contextualSpacing/>
        <w:jc w:val="both"/>
        <w:rPr>
          <w:rFonts w:eastAsia="MS Mincho"/>
          <w:lang w:val="en-US" w:eastAsia="en-US"/>
        </w:rPr>
      </w:pPr>
      <w:r>
        <w:rPr>
          <w:rFonts w:eastAsia="MS Mincho"/>
          <w:lang w:val="en-US" w:eastAsia="en-US"/>
        </w:rPr>
        <w:t>-84 amenzi contravenţionale;</w:t>
      </w:r>
    </w:p>
    <w:p w:rsidR="001B399C" w:rsidRPr="001B399C" w:rsidRDefault="001B399C" w:rsidP="001B399C">
      <w:pPr>
        <w:contextualSpacing/>
        <w:jc w:val="both"/>
        <w:rPr>
          <w:rFonts w:eastAsia="MS Mincho"/>
          <w:lang w:val="en-US" w:eastAsia="en-US"/>
        </w:rPr>
      </w:pPr>
      <w:r>
        <w:rPr>
          <w:rFonts w:eastAsia="MS Mincho"/>
          <w:lang w:val="en-US" w:eastAsia="en-US"/>
        </w:rPr>
        <w:t xml:space="preserve">- </w:t>
      </w:r>
      <w:r w:rsidRPr="001B399C">
        <w:rPr>
          <w:rFonts w:eastAsia="MS Mincho"/>
          <w:lang w:val="en-US" w:eastAsia="en-US"/>
        </w:rPr>
        <w:t>20 avertismente</w:t>
      </w:r>
      <w:r>
        <w:rPr>
          <w:rFonts w:eastAsia="MS Mincho"/>
          <w:lang w:val="en-US" w:eastAsia="en-US"/>
        </w:rPr>
        <w:t>.</w:t>
      </w:r>
    </w:p>
    <w:p w:rsidR="001B399C" w:rsidRPr="001B399C" w:rsidRDefault="001B399C" w:rsidP="001B399C">
      <w:pPr>
        <w:contextualSpacing/>
        <w:jc w:val="both"/>
        <w:rPr>
          <w:rFonts w:eastAsia="MS Mincho"/>
          <w:lang w:val="en-US" w:eastAsia="en-US"/>
        </w:rPr>
      </w:pPr>
      <w:r>
        <w:rPr>
          <w:rFonts w:eastAsia="MS Mincho"/>
          <w:lang w:val="en-US" w:eastAsia="en-US"/>
        </w:rPr>
        <w:tab/>
      </w:r>
      <w:r w:rsidRPr="001B399C">
        <w:rPr>
          <w:rFonts w:eastAsia="MS Mincho"/>
          <w:lang w:val="en-US" w:eastAsia="en-US"/>
        </w:rPr>
        <w:t>De</w:t>
      </w:r>
      <w:r>
        <w:rPr>
          <w:rFonts w:eastAsia="MS Mincho"/>
          <w:lang w:val="en-US" w:eastAsia="en-US"/>
        </w:rPr>
        <w:t xml:space="preserve"> </w:t>
      </w:r>
      <w:r w:rsidRPr="001B399C">
        <w:rPr>
          <w:rFonts w:eastAsia="MS Mincho"/>
          <w:lang w:val="en-US" w:eastAsia="en-US"/>
        </w:rPr>
        <w:t>asemenea au fost aplicate si sancţiuni contravenţionale complementare, respectiv au fost suspendate 12 activitati economice.</w:t>
      </w:r>
    </w:p>
    <w:p w:rsidR="001B399C" w:rsidRPr="001B399C" w:rsidRDefault="001B399C" w:rsidP="001B399C">
      <w:pPr>
        <w:contextualSpacing/>
        <w:jc w:val="both"/>
        <w:rPr>
          <w:rFonts w:eastAsia="MS Mincho"/>
          <w:lang w:val="en-US" w:eastAsia="en-US"/>
        </w:rPr>
      </w:pPr>
      <w:r>
        <w:rPr>
          <w:rFonts w:eastAsia="MS Mincho"/>
          <w:lang w:val="en-US" w:eastAsia="en-US"/>
        </w:rPr>
        <w:tab/>
      </w:r>
      <w:r w:rsidRPr="001B399C">
        <w:rPr>
          <w:rFonts w:eastAsia="MS Mincho"/>
          <w:lang w:val="en-US" w:eastAsia="en-US"/>
        </w:rPr>
        <w:t>Din cele 84 amenzi contravenţionale aplicate in valoare de 1.863.000 lei :</w:t>
      </w:r>
    </w:p>
    <w:p w:rsidR="001B399C" w:rsidRPr="001B399C" w:rsidRDefault="001B399C" w:rsidP="001B399C">
      <w:pPr>
        <w:contextualSpacing/>
        <w:jc w:val="both"/>
        <w:rPr>
          <w:rFonts w:eastAsia="MS Mincho"/>
          <w:lang w:val="en-US" w:eastAsia="en-US"/>
        </w:rPr>
      </w:pPr>
      <w:r>
        <w:rPr>
          <w:rFonts w:eastAsia="MS Mincho"/>
          <w:lang w:val="en-US" w:eastAsia="en-US"/>
        </w:rPr>
        <w:t xml:space="preserve">- </w:t>
      </w:r>
      <w:r w:rsidRPr="001B399C">
        <w:rPr>
          <w:rFonts w:eastAsia="MS Mincho"/>
          <w:lang w:val="en-US" w:eastAsia="en-US"/>
        </w:rPr>
        <w:t>74 amenzi au fost incasate in valoare ele 619.000 lei,</w:t>
      </w:r>
    </w:p>
    <w:p w:rsidR="001B399C" w:rsidRPr="001B399C" w:rsidRDefault="001B399C" w:rsidP="001B399C">
      <w:pPr>
        <w:contextualSpacing/>
        <w:jc w:val="both"/>
        <w:rPr>
          <w:rFonts w:eastAsia="MS Mincho"/>
          <w:lang w:val="en-US" w:eastAsia="en-US"/>
        </w:rPr>
      </w:pPr>
      <w:r>
        <w:rPr>
          <w:rFonts w:eastAsia="MS Mincho"/>
          <w:lang w:val="en-US" w:eastAsia="en-US"/>
        </w:rPr>
        <w:lastRenderedPageBreak/>
        <w:t xml:space="preserve">- </w:t>
      </w:r>
      <w:r w:rsidRPr="001B399C">
        <w:rPr>
          <w:rFonts w:eastAsia="MS Mincho"/>
          <w:lang w:val="en-US" w:eastAsia="en-US"/>
        </w:rPr>
        <w:t>6 amenzi contestate,</w:t>
      </w:r>
    </w:p>
    <w:p w:rsidR="001B399C" w:rsidRPr="001B399C" w:rsidRDefault="001B399C" w:rsidP="001B399C">
      <w:pPr>
        <w:contextualSpacing/>
        <w:jc w:val="both"/>
        <w:rPr>
          <w:rFonts w:eastAsia="MS Mincho"/>
          <w:lang w:val="en-US" w:eastAsia="en-US"/>
        </w:rPr>
      </w:pPr>
      <w:r>
        <w:rPr>
          <w:rFonts w:eastAsia="MS Mincho"/>
          <w:lang w:val="en-US" w:eastAsia="en-US"/>
        </w:rPr>
        <w:t xml:space="preserve">- </w:t>
      </w:r>
      <w:r w:rsidRPr="001B399C">
        <w:rPr>
          <w:rFonts w:eastAsia="MS Mincho"/>
          <w:lang w:val="en-US" w:eastAsia="en-US"/>
        </w:rPr>
        <w:t>4 amenzi au fost transmise la Administraţia Financiara pentru executare silita</w:t>
      </w:r>
      <w:r w:rsidR="00230E9B">
        <w:rPr>
          <w:rFonts w:eastAsia="MS Mincho"/>
          <w:lang w:val="en-US" w:eastAsia="en-US"/>
        </w:rPr>
        <w:t>.</w:t>
      </w:r>
    </w:p>
    <w:p w:rsidR="001B399C" w:rsidRDefault="001B399C" w:rsidP="00A77970">
      <w:pPr>
        <w:contextualSpacing/>
        <w:rPr>
          <w:rFonts w:eastAsia="MS Mincho"/>
          <w:b/>
          <w:lang w:val="en-US" w:eastAsia="en-US"/>
        </w:rPr>
      </w:pPr>
    </w:p>
    <w:p w:rsidR="00E12B6B" w:rsidRDefault="00ED6E15" w:rsidP="00A77970">
      <w:pPr>
        <w:contextualSpacing/>
        <w:rPr>
          <w:rFonts w:eastAsia="MS Mincho"/>
          <w:b/>
          <w:lang w:val="en-US" w:eastAsia="en-US"/>
        </w:rPr>
      </w:pPr>
      <w:r w:rsidRPr="00ED6E15">
        <w:rPr>
          <w:rFonts w:eastAsia="MS Mincho"/>
          <w:b/>
          <w:lang w:val="en-US" w:eastAsia="en-US"/>
        </w:rPr>
        <w:t>PRIMĂRIA MUNICIPIULUI BUCUREȘTI</w:t>
      </w:r>
      <w:r w:rsidR="00DA6F5C">
        <w:rPr>
          <w:rFonts w:eastAsia="MS Mincho"/>
          <w:b/>
          <w:lang w:val="en-US" w:eastAsia="en-US"/>
        </w:rPr>
        <w:t xml:space="preserve"> </w:t>
      </w:r>
    </w:p>
    <w:p w:rsidR="006B07BE" w:rsidRPr="00E64932" w:rsidRDefault="006B07BE" w:rsidP="006B07BE">
      <w:pPr>
        <w:pStyle w:val="ListParagraph"/>
        <w:ind w:left="0"/>
        <w:jc w:val="both"/>
        <w:rPr>
          <w:b/>
          <w:color w:val="000000"/>
        </w:rPr>
      </w:pPr>
    </w:p>
    <w:p w:rsidR="006B07BE" w:rsidRPr="00E64932" w:rsidRDefault="006B07BE" w:rsidP="006B07BE">
      <w:pPr>
        <w:pStyle w:val="ListParagraph"/>
        <w:ind w:left="0"/>
        <w:jc w:val="both"/>
        <w:rPr>
          <w:b/>
          <w:color w:val="000000"/>
        </w:rPr>
      </w:pPr>
      <w:r w:rsidRPr="00E64932">
        <w:rPr>
          <w:b/>
          <w:color w:val="000000"/>
        </w:rPr>
        <w:t>PMB – Direcţia de Mediu</w:t>
      </w:r>
    </w:p>
    <w:p w:rsidR="006B07BE" w:rsidRPr="00E64932" w:rsidRDefault="006B07BE" w:rsidP="006B07BE">
      <w:pPr>
        <w:jc w:val="both"/>
      </w:pPr>
      <w:r w:rsidRPr="00E64932">
        <w:tab/>
        <w:t>Mediul înconjurător reprezintă un element esențial al vieții noastre, ceea ce impune o atenție deosebită din partea societății și o grijă sporită din partea instituțiilor abilitate. Primăria Municipiului București are, printre altele, misiunea de a asigura un mediu curat și sănătos cetățenilor în conformitate cu legislația națională și locală. Prin natura atribuțiilor ce-i revin și prin proiectele pe care le derulează, Primăria Municipiului București contribuie la asigurarea unor condiții optime de viață pentru cetățeni și la asigurarea unei dezvoltări durabile.</w:t>
      </w:r>
    </w:p>
    <w:p w:rsidR="006B07BE" w:rsidRPr="00E64932" w:rsidRDefault="006B07BE" w:rsidP="006B07BE">
      <w:pPr>
        <w:jc w:val="both"/>
      </w:pPr>
      <w:r w:rsidRPr="00E64932">
        <w:tab/>
        <w:t>Direcția de Mediu, structura de specialitate din cadrul Primăriei Municipiului București aplică acțiunile și măsurile menite să asigure cetățenilor din Municipiul București un mediu sănătos în armonie cu dezvoltarea economică și socială a orașului, având ca obiectiv principal de activitate punerea în aplicare a politicii de mediu în domeniul conservării, protecției și îmbunătățirii calității aerului, managementul zgomotului, întreținerii, conservării și dezvoltării spațiilor verzi.</w:t>
      </w:r>
    </w:p>
    <w:p w:rsidR="006B07BE" w:rsidRPr="00E64932" w:rsidRDefault="006B07BE" w:rsidP="006B07BE">
      <w:pPr>
        <w:jc w:val="both"/>
      </w:pPr>
      <w:r w:rsidRPr="00E64932">
        <w:tab/>
        <w:t>Având în vedere cele patru direcții principale de acțiune pentru Mediu incluse în Programul de Guvernare Locală a Municipiului București 2016 – 2020, măsurile și obiectivele asumate de către Direcția de Mediu pentru anul 2018 au fost duse la îndeplinire după cum urmează:</w:t>
      </w:r>
    </w:p>
    <w:p w:rsidR="006B07BE" w:rsidRPr="00E64932" w:rsidRDefault="006B07BE" w:rsidP="006B07BE">
      <w:pPr>
        <w:jc w:val="both"/>
        <w:rPr>
          <w:b/>
        </w:rPr>
      </w:pPr>
      <w:r w:rsidRPr="00E64932">
        <w:rPr>
          <w:b/>
        </w:rPr>
        <w:t>► Elaborarea Regulamentului privind aplicarea lucrărilor de întreținere pentru vegetația arborescentă de pe raza Municipiului București;</w:t>
      </w:r>
    </w:p>
    <w:p w:rsidR="006B07BE" w:rsidRPr="00E64932" w:rsidRDefault="006B07BE" w:rsidP="006B07BE">
      <w:pPr>
        <w:ind w:firstLine="567"/>
        <w:jc w:val="both"/>
        <w:rPr>
          <w:rFonts w:eastAsia="Calibri"/>
        </w:rPr>
      </w:pPr>
      <w:r w:rsidRPr="00E64932">
        <w:rPr>
          <w:rFonts w:eastAsia="Calibri"/>
        </w:rPr>
        <w:t>Având în vedere realitățile cu care se confruntă autoritățile publice locale în vederea conservării și regenerării spațiilor verzi, în scopul ameliorării condițiilor climatice, îmbunătățirii calității aerului și asigurării spațiilor verzi destinate cetățenilor pentru recreere, sport și socializare este necesar elaborarea unui r</w:t>
      </w:r>
      <w:r w:rsidRPr="00E64932">
        <w:t>egulamentului privind aplicarea lucrărilor de întreținere pentru vegetația arborescentă de pe raza Municipiului București</w:t>
      </w:r>
      <w:r w:rsidRPr="00E64932">
        <w:rPr>
          <w:rFonts w:eastAsia="Calibri"/>
        </w:rPr>
        <w:t xml:space="preserve"> care să cuprindă atât reguli specifice </w:t>
      </w:r>
      <w:r w:rsidRPr="00E64932">
        <w:rPr>
          <w:lang w:val="it-IT"/>
        </w:rPr>
        <w:t xml:space="preserve">privind aplicarea lucrărilor de </w:t>
      </w:r>
      <w:r w:rsidRPr="00E64932">
        <w:rPr>
          <w:rFonts w:eastAsia="Calibri"/>
        </w:rPr>
        <w:t>întreținere, formare, regenerare</w:t>
      </w:r>
      <w:r w:rsidRPr="00E64932">
        <w:rPr>
          <w:lang w:val="it-IT"/>
        </w:rPr>
        <w:t xml:space="preserve"> pentru vegetaţia arborescentă, în baza căruia administratorii spațiilor verzi publice să desfășoare activitatea de gestionare (inventariere, monitorizare, planificare lucrări, execuție lucrări, evidență lucrări, etc.) a materialului dendrologic/spațiilor verzi pe care le au în administrare, dar și identificarea de noi soluții pentru dezvoltarea cantitativă și calitativă a spațiilor verzi.</w:t>
      </w:r>
    </w:p>
    <w:p w:rsidR="006B07BE" w:rsidRPr="00E64932" w:rsidRDefault="006B07BE" w:rsidP="006B07BE">
      <w:pPr>
        <w:ind w:firstLine="567"/>
        <w:jc w:val="both"/>
      </w:pPr>
      <w:r w:rsidRPr="00E64932">
        <w:rPr>
          <w:lang w:val="it-IT"/>
        </w:rPr>
        <w:t>Regulamentul trebuie s</w:t>
      </w:r>
      <w:r w:rsidRPr="00E64932">
        <w:t xml:space="preserve">ă prezinte tehnica de lucru în aplicarea tăierilor asupra arborilor/arbuștilor/gardurilor vii, tratarea rănilor, tipurile de tăieri pentru abori/arbuști/garduri vii, tăierile aplicate arborilor în funcție de amplasament/tip de spațiu verde (parc, scuar, aliniament, etc.), </w:t>
      </w:r>
      <w:r w:rsidRPr="00E64932">
        <w:rPr>
          <w:lang w:val="pt-BR"/>
        </w:rPr>
        <w:t>perioadele de executare a tăierilor, instrumente și echipamente de lucru, periodicitatea intervențiilor asupra materialului vegetal, calificarea personalului implicat în analiza și stabilirea tipului de intervenții asupra arborilor/arbuștilor/gardurilor vii din teren, precum și a personalului care execută tăierile asupra materialului vegetal, defrișările de arbori/arbuști, condiții pentru avizarea defrișărilor, măsuri compensatorii, tratamente fitosanitare, fertilizarea și udarea vegetației arborescente, recomandări privind plantele ce pot fi plantate sub arbori, etc.</w:t>
      </w:r>
    </w:p>
    <w:p w:rsidR="006B07BE" w:rsidRPr="00E64932" w:rsidRDefault="006B07BE" w:rsidP="006B07BE">
      <w:pPr>
        <w:ind w:firstLine="426"/>
        <w:jc w:val="both"/>
      </w:pPr>
      <w:r w:rsidRPr="00E64932">
        <w:t>Ținând cont de faptul că elaborarea regulamentul propus necesită cunoștințe de specialitate din horticultură, biologie, pedologie și peisagistică, este necesară realizarea unei achiziții publice pentru servicii de consultanță.</w:t>
      </w:r>
    </w:p>
    <w:p w:rsidR="006B07BE" w:rsidRPr="00E64932" w:rsidRDefault="006B07BE" w:rsidP="006B07BE">
      <w:pPr>
        <w:ind w:firstLine="426"/>
        <w:jc w:val="both"/>
      </w:pPr>
      <w:r w:rsidRPr="00E64932">
        <w:t xml:space="preserve">În acest sens, în anul 2018 a fost realizată o cercetare de piață financiară și tehnică pentru stabilirea valorii estimate a serviciior de consultanță și obținerea de recomandări/soluții tehnice din partea ofertanților prin publicare pe SICAP. Datorită faptului că cercetarea de piață realizată în anul 2018 nu a furnizat rezultate, aceasta va fi reluată în anul 2019. </w:t>
      </w:r>
    </w:p>
    <w:p w:rsidR="006B07BE" w:rsidRPr="00E64932" w:rsidRDefault="006B07BE" w:rsidP="006B07BE">
      <w:pPr>
        <w:ind w:firstLine="426"/>
        <w:jc w:val="both"/>
        <w:rPr>
          <w:shd w:val="clear" w:color="auto" w:fill="FFFFFF"/>
        </w:rPr>
      </w:pPr>
    </w:p>
    <w:p w:rsidR="006B07BE" w:rsidRPr="00E64932" w:rsidRDefault="006B07BE" w:rsidP="006B07BE">
      <w:pPr>
        <w:jc w:val="both"/>
        <w:rPr>
          <w:b/>
        </w:rPr>
      </w:pPr>
      <w:r w:rsidRPr="00E64932">
        <w:rPr>
          <w:b/>
        </w:rPr>
        <w:t>► Actualizarea Registrului Spațiilor Verzi al Municipiului București, conform Ordinului MDRT nr.1466/2010</w:t>
      </w:r>
    </w:p>
    <w:p w:rsidR="006B07BE" w:rsidRPr="00E64932" w:rsidRDefault="006B07BE" w:rsidP="006B07BE">
      <w:pPr>
        <w:jc w:val="both"/>
      </w:pPr>
      <w:r w:rsidRPr="00E64932">
        <w:lastRenderedPageBreak/>
        <w:tab/>
        <w:t>Actualizarea Registrului Spațiilor Verzi al Municipiului București, reprezintă un obiectiv important și de actualitate al Primăriei Municipiului București. Îndeplinirea acestui obiectiv constituie o conformare cu prevederile Legii nr.24/2007 privind reglementarea și administrarea spațiilor verzi din intravilanul localităților, precum şi un audit detaliat pentru cunoaşterea situaţiei exacte a spațiilor verzi de pe raza Municipiului București, care va constitui suportul pentru elaborarea strategiei privind conservarea şi dezvoltarea reţelei de spaţii verzi la nivelul Capitalei şi a planului de acţiune corespunzător.</w:t>
      </w:r>
    </w:p>
    <w:p w:rsidR="006B07BE" w:rsidRPr="00E64932" w:rsidRDefault="006B07BE" w:rsidP="006B07BE">
      <w:pPr>
        <w:jc w:val="both"/>
      </w:pPr>
      <w:r w:rsidRPr="00E64932">
        <w:tab/>
        <w:t>Datorită faptului că realizarea obiectivului menționat se supune H.G. nr.907/2016 privind etapele de elaborare și conținutul-cadru al documentațiilor tehnico-economice aferente obiectivelor/proiectelor de investiții finanțate din fonduri publice, Direcția de Mediu din cadrul Primăriei Municipiului București a elaborat, în anul 2018, Nota conceptuală aferentă obiectivului, urmând ca acesta să fie supusă spre aprobare Consiliului General al Municipiului București în anul 2019.</w:t>
      </w:r>
    </w:p>
    <w:p w:rsidR="006B07BE" w:rsidRPr="00E64932" w:rsidRDefault="006B07BE" w:rsidP="006B07BE">
      <w:pPr>
        <w:jc w:val="both"/>
      </w:pPr>
      <w:r w:rsidRPr="00E64932">
        <w:tab/>
      </w:r>
    </w:p>
    <w:p w:rsidR="006B07BE" w:rsidRPr="00E64932" w:rsidRDefault="006B07BE" w:rsidP="006B07BE">
      <w:pPr>
        <w:jc w:val="both"/>
        <w:rPr>
          <w:b/>
        </w:rPr>
      </w:pPr>
      <w:r w:rsidRPr="00E64932">
        <w:rPr>
          <w:b/>
        </w:rPr>
        <w:t>► Achiziționarea a 7 terenuri în suprafață totală de 46.088 m.p. situate pe străzile Giuseppe Verdi nr.2Bis și Gheorghe Țițeica nr.143-147, sector 2 – „Parc Verdi”</w:t>
      </w:r>
    </w:p>
    <w:p w:rsidR="006B07BE" w:rsidRPr="00E64932" w:rsidRDefault="006B07BE" w:rsidP="006B07BE">
      <w:pPr>
        <w:jc w:val="both"/>
      </w:pPr>
      <w:r w:rsidRPr="00E64932">
        <w:tab/>
        <w:t>Conform Programului de Guvernare Locală a Municipiului București 2016-2020, “conservarea și creșterea patrimoniului verde al orașului“ reprezintă una dintre direcțiile principale de acțiune privind mediul.</w:t>
      </w:r>
    </w:p>
    <w:p w:rsidR="006B07BE" w:rsidRPr="00E64932" w:rsidRDefault="006B07BE" w:rsidP="006B07BE">
      <w:pPr>
        <w:jc w:val="both"/>
      </w:pPr>
      <w:r w:rsidRPr="00E64932">
        <w:tab/>
        <w:t>În acest sens Primarul General al Municipiului București a aprobat în anul 2017 înființarea Comisiei municipale pentru analiza și identificarea soluțiilor pentru trecerea în proprietatea Municipiului București a terenurilor retrocedate și amenajate ca spații verzi sau locuri de joacă pentru copii.</w:t>
      </w:r>
    </w:p>
    <w:p w:rsidR="006B07BE" w:rsidRPr="00E64932" w:rsidRDefault="006B07BE" w:rsidP="006B07BE">
      <w:pPr>
        <w:jc w:val="both"/>
      </w:pPr>
      <w:r w:rsidRPr="00E64932">
        <w:tab/>
        <w:t>Un prim rezultat foarte important al activității comisiei s-a concretizat în anul 2018 prin achiziționarea a 7 terenuri în suprafață totală de 46.088 m.p. situate pe străzile Giuseppe Verdi nr.2Bis și Gheorghe Țițeica nr 143-147, sector 2 – „Parc Verdi”. Achiziția terenurilor menționate a fost aprobată de Consiliul General al Municipiului București prin Hotărârea nr.</w:t>
      </w:r>
      <w:r w:rsidRPr="00E64932">
        <w:rPr>
          <w:bCs/>
        </w:rPr>
        <w:t xml:space="preserve">573/06.09.2018. </w:t>
      </w:r>
      <w:r w:rsidRPr="00E64932">
        <w:t>Terenurile vor fi înscrise în domeniul public al Municipiului București cu destinația “parc” și va fi administrat de Administrația Parcuri, Lacuri și Agrement București. Parcul va fi reamenajat și redat cetățenilor din zonă pentru activități recreative, sportive, de socializare și relaxare.</w:t>
      </w:r>
    </w:p>
    <w:p w:rsidR="006B07BE" w:rsidRPr="00E64932" w:rsidRDefault="006B07BE" w:rsidP="006B07BE">
      <w:pPr>
        <w:jc w:val="both"/>
      </w:pPr>
      <w:r w:rsidRPr="00E64932">
        <w:tab/>
      </w:r>
    </w:p>
    <w:p w:rsidR="006B07BE" w:rsidRPr="00E64932" w:rsidRDefault="006B07BE" w:rsidP="006B07BE">
      <w:pPr>
        <w:jc w:val="both"/>
        <w:rPr>
          <w:b/>
        </w:rPr>
      </w:pPr>
      <w:r w:rsidRPr="00E64932">
        <w:rPr>
          <w:b/>
        </w:rPr>
        <w:t>► Combaterea și distrugerea ambroziei de pe terenurile situate pe raza Capitalei</w:t>
      </w:r>
    </w:p>
    <w:p w:rsidR="006B07BE" w:rsidRPr="00E64932" w:rsidRDefault="006B07BE" w:rsidP="006B07BE">
      <w:pPr>
        <w:jc w:val="both"/>
      </w:pPr>
      <w:r w:rsidRPr="00E64932">
        <w:tab/>
        <w:t>O activitate importantă realizată de către Primăria Muncipiului București în anul 2018 se referă la acțiunile de verificare a terenurilor situate pe raza Capitalei pe care a fost semnalată prezența buruienii ambrozia (denumită științific ambrosia artemisiifolia), care are efecte negative asupra sănătăţii umane, prin producerea de alergii. Astfel, proprietarii și administratorii terenurilor au fost notificați cu privire la executarea acțiunilor de combatere și distrugere a ambroziei și sancționați, după caz, conform prevederilor H.C.G.M.B. nr.353/30.08.2017 privind combaterea și distrugerea ambroziei pe teritoriul Municipiului București.</w:t>
      </w:r>
    </w:p>
    <w:p w:rsidR="006B07BE" w:rsidRPr="00E64932" w:rsidRDefault="006B07BE" w:rsidP="006B07BE">
      <w:pPr>
        <w:jc w:val="both"/>
      </w:pPr>
      <w:r w:rsidRPr="00E64932">
        <w:tab/>
        <w:t>În luna septembrie 2018, Primăria Muncipiului București a inițiat procesul de identificare și centralizare a informațiilor (proprietar/administrator, suprafată, etc.) privind terenurile infestate cu buruiana ambrozia, situate pe domeniul public și privat al Municipiului București și pe domeniul privat al persoanelor fizice și juridice în vederea transmiterii acestor informații către Directia pentru Agricultură a Municipiului Bucuresti, conform Normelor metodologice de aplicare a Legii nr.62/2018 privind combaterea buruienii ambrozia, aprobată prin H.G. nr.707/2018. Aceasta se constituie ca o primă acțiune, Primăria Muncipiului București având în lucru un proiect de hotărâre ce va fi supus spre aprobare Consiliului General al Municipiului București pentru transpunerea la nivel local a legislației naționale cu privire la ambrozie, ținând cont de organizarea administrativ-teritorială a Municipiului București și de necesitatea implicării tuturor factorilor responsabili cu privire la combaterea și distrugerea acestei buruieni nocive pentru sănătatea cetățenilor.</w:t>
      </w:r>
    </w:p>
    <w:p w:rsidR="006B07BE" w:rsidRPr="00E64932" w:rsidRDefault="006B07BE" w:rsidP="006B07BE">
      <w:pPr>
        <w:jc w:val="both"/>
      </w:pPr>
    </w:p>
    <w:p w:rsidR="006B07BE" w:rsidRPr="00E64932" w:rsidRDefault="006B07BE" w:rsidP="006B07BE">
      <w:pPr>
        <w:jc w:val="both"/>
        <w:rPr>
          <w:b/>
        </w:rPr>
      </w:pPr>
      <w:r w:rsidRPr="00E64932">
        <w:rPr>
          <w:b/>
        </w:rPr>
        <w:lastRenderedPageBreak/>
        <w:t>► Actualizarea</w:t>
      </w:r>
      <w:r w:rsidRPr="00E64932">
        <w:t xml:space="preserve"> </w:t>
      </w:r>
      <w:r w:rsidRPr="00E64932">
        <w:rPr>
          <w:b/>
        </w:rPr>
        <w:t>Hărților strategice</w:t>
      </w:r>
      <w:r w:rsidRPr="00E64932">
        <w:t xml:space="preserve"> </w:t>
      </w:r>
      <w:r w:rsidRPr="00E64932">
        <w:rPr>
          <w:b/>
        </w:rPr>
        <w:t>de zgomot</w:t>
      </w:r>
      <w:r w:rsidRPr="00E64932">
        <w:t xml:space="preserve"> </w:t>
      </w:r>
      <w:r w:rsidRPr="00E64932">
        <w:rPr>
          <w:b/>
        </w:rPr>
        <w:t>pentru Municipiul București conform prevederilor H.G. nr.321/2005</w:t>
      </w:r>
      <w:r w:rsidRPr="00E64932">
        <w:t xml:space="preserve"> </w:t>
      </w:r>
    </w:p>
    <w:p w:rsidR="006B07BE" w:rsidRPr="00E64932" w:rsidRDefault="006B07BE" w:rsidP="006B07BE">
      <w:pPr>
        <w:jc w:val="both"/>
      </w:pPr>
      <w:r w:rsidRPr="00E64932">
        <w:rPr>
          <w:b/>
        </w:rPr>
        <w:tab/>
      </w:r>
      <w:r w:rsidRPr="00E64932">
        <w:t xml:space="preserve">Actualizarea Hărților strategice de zgomot pentru Municipiul București conform prevederilor H.G. nr.21/2005, a fost una dintre măsurile implementate de către Direcția de Mediu la nivelul Municipiului București în vederea monitorizării poluării fonice de pe întreaga suprafață administrativă a Bucureștiului. În conformitate cu prevederile H.G. nr.321/14.04.2005 privind evaluarea și gestionarea zgomotului ambiental, cu modificările şi completările ulterioare, prin care s-a transpus în legislaţia națională Directiva Europeană nr.49/2002 cu privire la evaluarea şi gestiunea zgomotului ambiental, autoritățile administrației publice locale trebuie să realizeze cartarea zgomotului și să elaboreze hărțile strategice de zgomot pentru aglomerările și drumurile principale aflate în </w:t>
      </w:r>
      <w:r w:rsidR="007218B3">
        <w:t xml:space="preserve">administrarea lor.  </w:t>
      </w:r>
      <w:r w:rsidR="007218B3">
        <w:tab/>
      </w:r>
      <w:r w:rsidR="007218B3">
        <w:tab/>
      </w:r>
      <w:r w:rsidR="007218B3">
        <w:tab/>
      </w:r>
      <w:r w:rsidRPr="00E64932">
        <w:t>În acest sens, Primăria Municipiului Bucureşti prin Direcția de Mediu a realizat actualizarea hărților strategice de zgomot pentru sursele de zgomot: trafic rutier, trafic fe</w:t>
      </w:r>
      <w:r w:rsidR="007218B3">
        <w:t>roviar-tip tramvai și industrie</w:t>
      </w:r>
      <w:r w:rsidRPr="00E64932">
        <w:t>.</w:t>
      </w:r>
    </w:p>
    <w:p w:rsidR="006B07BE" w:rsidRPr="00E64932" w:rsidRDefault="006B07BE" w:rsidP="006B07BE">
      <w:pPr>
        <w:jc w:val="both"/>
      </w:pPr>
      <w:r w:rsidRPr="00E64932">
        <w:tab/>
        <w:t>Hărțile de zgomot au fost modelate pentru fiecare sursă de zgomot în parte, pentru indicatorii Lzsn (zi, seară, noapte) și Ln (noapte). Pentru modelarea hărților strategice de zgomot s-au folosit date oficiale pentru sursele de zgomot trafic rutier (număr și tip de vehicul, tipul de suprafață, tipul fluxului de trafic, viteză etc), trafic feroviar-tip tramvai (tipul vehiculelor, viteza, interval de succedare etc.) și industrie (tipul de activitate, nivel de zgomot, timpul de operare etc.) pentru intervalele de zi (orele 7-19), seară (orele 19-23) și noapte (23-7).</w:t>
      </w:r>
    </w:p>
    <w:p w:rsidR="006B07BE" w:rsidRPr="00E64932" w:rsidRDefault="006B07BE" w:rsidP="006B07BE">
      <w:pPr>
        <w:jc w:val="both"/>
      </w:pPr>
      <w:r w:rsidRPr="00E64932">
        <w:tab/>
        <w:t xml:space="preserve">În urma realizării hărților strategice de zgomot s-au obținut informații privind estimarea numărului de locuitori, numărului de locuințe și a numărului de clădiri speciale (unități de învățământ și unități spitalicești) expuse la diferite intervale ale indicatorilor de zgomot Lzsn și Ln. </w:t>
      </w:r>
    </w:p>
    <w:p w:rsidR="006B07BE" w:rsidRPr="00E64932" w:rsidRDefault="006B07BE" w:rsidP="006B07BE">
      <w:pPr>
        <w:jc w:val="both"/>
      </w:pPr>
      <w:r w:rsidRPr="00E64932">
        <w:tab/>
        <w:t>Hărțile strategice de zgomot au fost înaintate Agenției pentru Protecția Mediului în vederea evaluării de către comisia înființată în baza art.5 din H.G. nr.321/2005, care a constatat că pentru elaborarea lor s-au respectat cerințele legale.</w:t>
      </w:r>
    </w:p>
    <w:p w:rsidR="006B07BE" w:rsidRPr="00E64932" w:rsidRDefault="006B07BE" w:rsidP="006B07BE">
      <w:pPr>
        <w:jc w:val="both"/>
      </w:pPr>
      <w:r w:rsidRPr="00E64932">
        <w:tab/>
        <w:t>În conformitate cu prevederile art.4 alin (24) din H.G. nr.321/2005, înainte ca autoritatea centrală pentru protecția mediului să realizeze raportarea către Comisia Europeană, hărțile strategice de zgomot pentru Municipiul București au fost aprobate prin Hotărârea Consiliului General al Municipiului București nr.716/18.10.2018.</w:t>
      </w:r>
    </w:p>
    <w:p w:rsidR="006B07BE" w:rsidRPr="00E64932" w:rsidRDefault="006B07BE" w:rsidP="006B07BE">
      <w:pPr>
        <w:ind w:right="284"/>
        <w:jc w:val="both"/>
      </w:pPr>
      <w:r w:rsidRPr="00E64932">
        <w:tab/>
        <w:t xml:space="preserve">Hărțile strategice de zgomot sunt publicate </w:t>
      </w:r>
      <w:r w:rsidRPr="00E64932">
        <w:rPr>
          <w:bCs/>
          <w:lang w:val="pt-BR"/>
        </w:rPr>
        <w:t xml:space="preserve">pe site-ul instituţiei, </w:t>
      </w:r>
      <w:r w:rsidRPr="00E64932">
        <w:t xml:space="preserve">secţiunea </w:t>
      </w:r>
      <w:r w:rsidRPr="00E64932">
        <w:rPr>
          <w:iCs/>
        </w:rPr>
        <w:t>Servicii/ Mediu/ Date privind zgomotul ambiental/ Hărți de zgomot pentru Municipiul București.</w:t>
      </w:r>
    </w:p>
    <w:p w:rsidR="006B07BE" w:rsidRPr="00E64932" w:rsidRDefault="006B07BE" w:rsidP="006B07BE">
      <w:pPr>
        <w:jc w:val="both"/>
        <w:rPr>
          <w:b/>
          <w:lang w:val="pt-BR"/>
        </w:rPr>
      </w:pPr>
    </w:p>
    <w:p w:rsidR="006B07BE" w:rsidRPr="00E64932" w:rsidRDefault="006B07BE" w:rsidP="006B07BE">
      <w:pPr>
        <w:jc w:val="both"/>
        <w:rPr>
          <w:b/>
          <w:lang w:val="it-IT"/>
        </w:rPr>
      </w:pPr>
      <w:r w:rsidRPr="00E64932">
        <w:rPr>
          <w:b/>
          <w:lang w:val="pt-BR"/>
        </w:rPr>
        <w:t xml:space="preserve">► </w:t>
      </w:r>
      <w:r w:rsidRPr="00E64932">
        <w:rPr>
          <w:b/>
          <w:lang w:val="it-IT"/>
        </w:rPr>
        <w:t>Planul Integrat de Calitate a Aerului în Municipiul București 2018 – 2022</w:t>
      </w:r>
    </w:p>
    <w:p w:rsidR="006B07BE" w:rsidRPr="00E64932" w:rsidRDefault="006B07BE" w:rsidP="006B07BE">
      <w:pPr>
        <w:jc w:val="both"/>
        <w:rPr>
          <w:lang w:val="it-IT"/>
        </w:rPr>
      </w:pPr>
      <w:r w:rsidRPr="00E64932">
        <w:rPr>
          <w:lang w:val="it-IT"/>
        </w:rPr>
        <w:tab/>
      </w:r>
      <w:r w:rsidRPr="00E64932">
        <w:rPr>
          <w:color w:val="000000"/>
        </w:rPr>
        <w:t>Potrivit prevederilor Legii nr.104/2011 privind calitatea aerului înconjurător ce a transpus în legislaţia naţională Directiva 2008/50/EC privind calitatea aerului înconjurător şi un aer mai curat pentru Europa, autorităţile administraţiei publice locale au obligația întocmirii planurilor de calitate a aerului cu respectarea cerinţelor prevăzute în Metodologia de elaborare a planurilor de calitate a aerului, a planurilor de menţinere a calităţii aerului şi a planurilor de acţiune pe termen scurt, aprobată prin Hotărârea Guvernului României nr. 257/15.04.2015.</w:t>
      </w:r>
    </w:p>
    <w:p w:rsidR="006B07BE" w:rsidRPr="00E64932" w:rsidRDefault="006B07BE" w:rsidP="006B07BE">
      <w:pPr>
        <w:jc w:val="both"/>
        <w:rPr>
          <w:bCs/>
        </w:rPr>
      </w:pPr>
      <w:r w:rsidRPr="00E64932">
        <w:rPr>
          <w:lang w:val="it-IT"/>
        </w:rPr>
        <w:tab/>
      </w:r>
      <w:r w:rsidRPr="00E64932">
        <w:t>În baza Ordinului Ministerului Mediului, Apelor şi Pădurilor nr.1206/2015 pentru aprobarea</w:t>
      </w:r>
      <w:r w:rsidRPr="00E64932">
        <w:rPr>
          <w:lang w:val="it-IT"/>
        </w:rPr>
        <w:t xml:space="preserve"> </w:t>
      </w:r>
      <w:r w:rsidRPr="00E64932">
        <w:t xml:space="preserve">listelor cu unităţile administrativ-teritoriale întocmite în urma încadrării în regimuri de gestionare a ariilor din zonele şi aglomerările prevăzute în anexa nr.2 </w:t>
      </w:r>
      <w:smartTag w:uri="urn:schemas-microsoft-com:office:smarttags" w:element="PersonName">
        <w:smartTagPr>
          <w:attr w:name="ProductID" w:val="la Legea"/>
        </w:smartTagPr>
        <w:r w:rsidRPr="00E64932">
          <w:t>la Legea</w:t>
        </w:r>
      </w:smartTag>
      <w:r w:rsidRPr="00E64932">
        <w:t xml:space="preserve"> nr.104/2011 privind calitatea aerului, autoritatea publică centrală pentru protecţia mediului a comunicat Municipalităţii încadrarea municipiului Bucureşti în regimul de gestionare I pentru poluanţii dioxid de azot, oxizi de azot (NO</w:t>
      </w:r>
      <w:r w:rsidRPr="00E64932">
        <w:rPr>
          <w:vertAlign w:val="subscript"/>
        </w:rPr>
        <w:t>2</w:t>
      </w:r>
      <w:r w:rsidRPr="00E64932">
        <w:t>/NOx,), particule în suspensie (PM</w:t>
      </w:r>
      <w:r w:rsidRPr="00E64932">
        <w:rPr>
          <w:vertAlign w:val="subscript"/>
        </w:rPr>
        <w:t>10</w:t>
      </w:r>
      <w:r w:rsidRPr="00E64932">
        <w:t xml:space="preserve"> şi PM </w:t>
      </w:r>
      <w:r w:rsidRPr="00E64932">
        <w:rPr>
          <w:vertAlign w:val="subscript"/>
        </w:rPr>
        <w:t>2,5</w:t>
      </w:r>
      <w:r w:rsidRPr="00E64932">
        <w:t>) şi benzen (C</w:t>
      </w:r>
      <w:r w:rsidRPr="00E64932">
        <w:rPr>
          <w:vertAlign w:val="subscript"/>
        </w:rPr>
        <w:t>6</w:t>
      </w:r>
      <w:r w:rsidRPr="00E64932">
        <w:t>H</w:t>
      </w:r>
      <w:r w:rsidRPr="00E64932">
        <w:rPr>
          <w:vertAlign w:val="subscript"/>
        </w:rPr>
        <w:t>6</w:t>
      </w:r>
      <w:r w:rsidRPr="00E64932">
        <w:t>), pentru care este necesară realizarea Planului integrat de calitatea aerului</w:t>
      </w:r>
      <w:r w:rsidRPr="00E64932">
        <w:rPr>
          <w:b/>
          <w:color w:val="3366FF"/>
        </w:rPr>
        <w:t xml:space="preserve"> </w:t>
      </w:r>
      <w:r w:rsidRPr="00E64932">
        <w:rPr>
          <w:color w:val="000000"/>
        </w:rPr>
        <w:t>cu măsuri de reducere concentraţiilor poluanţilor antemenţionaţi astfel încât acestea să se situeze în valorile limită legale</w:t>
      </w:r>
      <w:r w:rsidRPr="00E64932">
        <w:t>.</w:t>
      </w:r>
      <w:r w:rsidRPr="00E64932">
        <w:tab/>
      </w:r>
      <w:r w:rsidRPr="00E64932">
        <w:tab/>
      </w:r>
      <w:r w:rsidRPr="00E64932">
        <w:tab/>
      </w:r>
      <w:r w:rsidRPr="00E64932">
        <w:tab/>
        <w:t xml:space="preserve">Planul Integrat de Calitate a Aerului în Municipiul Bucureşti a avut la bază </w:t>
      </w:r>
      <w:r w:rsidRPr="00E64932">
        <w:rPr>
          <w:bCs/>
        </w:rPr>
        <w:t>Studiul de calitate a aerului</w:t>
      </w:r>
      <w:r w:rsidRPr="00E64932">
        <w:t xml:space="preserve"> realizat la nivelul Municipiului Bucureşti şi cuprinde măsuri pentru următorii cinci ani, </w:t>
      </w:r>
      <w:r w:rsidRPr="00E64932">
        <w:rPr>
          <w:bCs/>
        </w:rPr>
        <w:t xml:space="preserve">în vederea </w:t>
      </w:r>
      <w:r w:rsidRPr="00E64932">
        <w:rPr>
          <w:bCs/>
        </w:rPr>
        <w:lastRenderedPageBreak/>
        <w:t>încadrării/menţinerii concentraţiei poluanţilor atmosferici în valorile limită/ţintă prevăzute de Legea nr. 104/2011 şi conformarea cu cerinţele Uniunii Europene.</w:t>
      </w:r>
    </w:p>
    <w:p w:rsidR="006B07BE" w:rsidRPr="00E64932" w:rsidRDefault="006B07BE" w:rsidP="006B07BE">
      <w:pPr>
        <w:jc w:val="both"/>
      </w:pPr>
      <w:r w:rsidRPr="00E64932">
        <w:rPr>
          <w:bCs/>
        </w:rPr>
        <w:tab/>
      </w:r>
      <w:r w:rsidRPr="00E64932">
        <w:rPr>
          <w:bCs/>
          <w:color w:val="000000"/>
        </w:rPr>
        <w:t>Din inventarierea surselor de poluare asociate activităților din Bucureşti și din localitățile învecinate s-a desprins concluzia că principalele contribuţii la poluarea aerului în capitală le au traficul urban, încălzirea rezidenţială şi sectorul industrie şi servicii.</w:t>
      </w:r>
    </w:p>
    <w:p w:rsidR="006B07BE" w:rsidRPr="00E64932" w:rsidRDefault="006B07BE" w:rsidP="006B07BE">
      <w:pPr>
        <w:jc w:val="both"/>
      </w:pPr>
      <w:r w:rsidRPr="00E64932">
        <w:tab/>
      </w:r>
      <w:r w:rsidRPr="00E64932">
        <w:rPr>
          <w:bCs/>
          <w:color w:val="000000"/>
        </w:rPr>
        <w:t xml:space="preserve">În urma </w:t>
      </w:r>
      <w:r w:rsidRPr="00E64932">
        <w:rPr>
          <w:bCs/>
        </w:rPr>
        <w:t xml:space="preserve">rezultatelor studiului de calitate a aerului s-au </w:t>
      </w:r>
      <w:r w:rsidRPr="00E64932">
        <w:t>configurat hărțile de poluare pentru municipiul Bucureşti şi s-au identificat propunerile de măsuri ce pot conduce la reducerea emisiilor de poluanți din capitală pentru principalele surse de poluare.</w:t>
      </w:r>
    </w:p>
    <w:p w:rsidR="006B07BE" w:rsidRPr="00E64932" w:rsidRDefault="006B07BE" w:rsidP="006B07BE">
      <w:pPr>
        <w:jc w:val="both"/>
      </w:pPr>
      <w:r w:rsidRPr="00E64932">
        <w:tab/>
        <w:t>În procesul de elaborare a planului de calitate a aerului s-a avut în vedere la definitivarea măsurilor pentru îmbunătăţirea calităţii aerului corelarea cu strategiile şi programele/proiectele Municipalităţii şi ale instituţiilor responsabile, respectiv: Planul de Mobilitate Urbană Durabilă 2016-2030 Regiunea București-Ilfov (PMUD), Planul Local de Acţiune pentru Mediu pentru Municipiul Bucureşti (PLAM) revizuit 2015, aprobat prin H.C.G.M.B. nr.127/2016, Planul Integrat de Dezvoltare Urbană pentru zona centrală a municipiului Bucureşti (PIDU) şi Programul naţional privind creşterea performanţei energetic.</w:t>
      </w:r>
    </w:p>
    <w:p w:rsidR="006B07BE" w:rsidRPr="00E64932" w:rsidRDefault="006B07BE" w:rsidP="006B07BE">
      <w:pPr>
        <w:jc w:val="both"/>
        <w:rPr>
          <w:bCs/>
        </w:rPr>
      </w:pPr>
      <w:r w:rsidRPr="00E64932">
        <w:tab/>
        <w:t>Planul Integrat de Calitate a Aerului cuprinde 20 de măsuri cu rolul de a reduce concentrația poluanților generați, ţinând cont de principalele surse de emisie respectiv, traficul urban, încălzirea rezidențială, activitățile de construcție, salubrizarea urbană</w:t>
      </w:r>
      <w:r w:rsidRPr="00E64932">
        <w:rPr>
          <w:bCs/>
        </w:rPr>
        <w:t xml:space="preserve">. Măsurile sunt însoţite de termene de realizare, estimarea costurilor, precizarea indicatorilor cuantificabili pentru estimarea realizării măsurilor precum şi factorii responsabili de implementarea acestor măsuri. </w:t>
      </w:r>
    </w:p>
    <w:p w:rsidR="006B07BE" w:rsidRPr="00E64932" w:rsidRDefault="006B07BE" w:rsidP="006B07BE">
      <w:pPr>
        <w:jc w:val="both"/>
      </w:pPr>
      <w:r w:rsidRPr="00E64932">
        <w:rPr>
          <w:color w:val="000000"/>
        </w:rPr>
        <w:tab/>
        <w:t xml:space="preserve">În susţinerea măsurilor din planul integrat de calitate a aerului, descrise și cuantificate prin indicatori specifici de monitorizare, Municipalitatea are în vedere realizarea şi a unui pachet suplimentar de măsuri - anexă a planului vizând  in principal acțiuni de conștientizare a populației, de determinare acesteia de a  juca un rol activ pentru realizarea măsurilor din plan, de reducere a poluării datorată activităților de construcții. </w:t>
      </w:r>
    </w:p>
    <w:p w:rsidR="006B07BE" w:rsidRPr="00E64932" w:rsidRDefault="006B07BE" w:rsidP="006B07BE">
      <w:pPr>
        <w:jc w:val="both"/>
        <w:rPr>
          <w:rFonts w:eastAsia="Calibri"/>
        </w:rPr>
      </w:pPr>
      <w:r w:rsidRPr="00E64932">
        <w:tab/>
        <w:t xml:space="preserve">Propunerea de Plan Integrat de Calitate a Aerului (PICA) a fost supusă procedurii de consultare şi dezbatere publică în conformitate cu prevederile H.G. nr.257/2015. </w:t>
      </w:r>
      <w:r w:rsidRPr="00E64932">
        <w:rPr>
          <w:rFonts w:eastAsia="Calibri"/>
        </w:rPr>
        <w:t xml:space="preserve">Dezbaterea publică cu privire la propunea PICA a avut loc data de 12.02.2018, </w:t>
      </w:r>
      <w:r w:rsidRPr="00E64932">
        <w:t>forma definitivată fiind ulterior supusă spre avizare autorităţilor pentru protecţia mediului, respectiv Agenţia pentru Protecţia Mediului Bucureşti şi Agenţia Naţională pentru Protecţia Mediului.</w:t>
      </w:r>
      <w:r w:rsidRPr="00E64932">
        <w:rPr>
          <w:rFonts w:eastAsia="Calibri"/>
        </w:rPr>
        <w:t xml:space="preserve">   </w:t>
      </w:r>
    </w:p>
    <w:p w:rsidR="006B07BE" w:rsidRPr="00E64932" w:rsidRDefault="006B07BE" w:rsidP="006B07BE">
      <w:pPr>
        <w:ind w:firstLine="709"/>
        <w:jc w:val="both"/>
        <w:rPr>
          <w:rFonts w:eastAsia="Calibri"/>
        </w:rPr>
      </w:pPr>
      <w:r w:rsidRPr="00E64932">
        <w:rPr>
          <w:rFonts w:eastAsia="Calibri"/>
          <w:iCs/>
        </w:rPr>
        <w:t xml:space="preserve">Planul Integrat de Calitatea Aerului în Municipiul Bucuresti 2018-2022 a fost </w:t>
      </w:r>
      <w:r w:rsidRPr="00E64932">
        <w:rPr>
          <w:rFonts w:eastAsia="Calibri"/>
        </w:rPr>
        <w:t>aprobat prin H.C.G.M.B. nr.325/14.06.2018.</w:t>
      </w:r>
      <w:r w:rsidRPr="00E64932">
        <w:rPr>
          <w:rFonts w:eastAsia="Calibri"/>
          <w:iCs/>
        </w:rPr>
        <w:t xml:space="preserve"> </w:t>
      </w:r>
    </w:p>
    <w:p w:rsidR="006B07BE" w:rsidRPr="00E64932" w:rsidRDefault="006B07BE" w:rsidP="006B07BE">
      <w:pPr>
        <w:jc w:val="both"/>
        <w:rPr>
          <w:rFonts w:eastAsia="Calibri"/>
          <w:iCs/>
        </w:rPr>
      </w:pPr>
      <w:r w:rsidRPr="00E64932">
        <w:tab/>
      </w:r>
      <w:r w:rsidRPr="00E64932">
        <w:rPr>
          <w:rFonts w:eastAsia="Calibri"/>
          <w:iCs/>
        </w:rPr>
        <w:t xml:space="preserve">Planul Integrat de Calitate a Aerului în Municipiul București 2018 – 2022 este postat pe site-ul instituției, </w:t>
      </w:r>
      <w:r w:rsidRPr="00E64932">
        <w:t xml:space="preserve">secţiunea </w:t>
      </w:r>
      <w:r w:rsidRPr="00E64932">
        <w:rPr>
          <w:iCs/>
        </w:rPr>
        <w:t xml:space="preserve">Servicii/ Mediu/ Planuri de calitate a aerului în Municipiul București/ </w:t>
      </w:r>
      <w:r w:rsidRPr="00E64932">
        <w:rPr>
          <w:rFonts w:eastAsia="Calibri"/>
          <w:iCs/>
        </w:rPr>
        <w:t>Plan Integrat de Calitate a Aerului în Municipiul București 2018 – 2022.</w:t>
      </w:r>
    </w:p>
    <w:p w:rsidR="006B07BE" w:rsidRPr="00E64932" w:rsidRDefault="006B07BE" w:rsidP="006B07BE">
      <w:pPr>
        <w:jc w:val="both"/>
        <w:rPr>
          <w:rFonts w:eastAsia="Calibri"/>
          <w:iCs/>
        </w:rPr>
      </w:pPr>
    </w:p>
    <w:p w:rsidR="006B07BE" w:rsidRPr="00E64932" w:rsidRDefault="006B07BE" w:rsidP="006B07BE">
      <w:pPr>
        <w:jc w:val="both"/>
        <w:rPr>
          <w:b/>
          <w:lang w:val="it-IT"/>
        </w:rPr>
      </w:pPr>
      <w:r w:rsidRPr="00E64932">
        <w:rPr>
          <w:rFonts w:eastAsia="Calibri"/>
          <w:iCs/>
        </w:rPr>
        <w:t xml:space="preserve">► </w:t>
      </w:r>
      <w:r w:rsidRPr="00E64932">
        <w:rPr>
          <w:b/>
          <w:lang w:val="it-IT"/>
        </w:rPr>
        <w:t>Planul de Menținere a Calității Aerului în Municipiul București 2018 – 2022</w:t>
      </w:r>
    </w:p>
    <w:p w:rsidR="006B07BE" w:rsidRPr="00E64932" w:rsidRDefault="006B07BE" w:rsidP="006B07BE">
      <w:pPr>
        <w:jc w:val="both"/>
        <w:rPr>
          <w:color w:val="000000"/>
        </w:rPr>
      </w:pPr>
      <w:r w:rsidRPr="00E64932">
        <w:rPr>
          <w:color w:val="000000"/>
        </w:rPr>
        <w:tab/>
        <w:t>Potrivit prevederilor Legii nr.104/2011 privind calitatea aerului înconjurător ce transpune în legislaţia naţională Directiva 2008/50/EC privind calitatea aerului înconjurător şi un aer mai curat pentru Europa, autorităţile administraţiei publice locale au obligația elaborării planurilor de calitate a aerului cu respectarea cerinţelor prevăzute în H.G. nr. 257/15.04.2015 privind aprobarea Metodologiei de elaborare a planurilor de calitate a aerului, a planurilor de menţinere a calităţii aerului şi a planurilor de acţiune pe termen scurt.</w:t>
      </w:r>
    </w:p>
    <w:p w:rsidR="006B07BE" w:rsidRPr="00E64932" w:rsidRDefault="006B07BE" w:rsidP="006B07BE">
      <w:pPr>
        <w:jc w:val="both"/>
        <w:rPr>
          <w:b/>
          <w:lang w:val="it-IT"/>
        </w:rPr>
      </w:pPr>
      <w:r w:rsidRPr="00E64932">
        <w:rPr>
          <w:color w:val="000000"/>
        </w:rPr>
        <w:tab/>
        <w:t xml:space="preserve">În baza Ordinului Ministerului Mediului, Apelor şi Pădurilor nr.1206/2015 pentru aprobarea listelor cu unităţile administrativ-teritoriale întocmite în urma încadrării în regimuri de gestionare a ariilor din zonele şi aglomerările prevăzute în anexa nr. 2 la Legea nr.104/2011 privind calitatea aerului, autoritatea publică centrală pentru protecţia mediului a comunicat Municipalităţii încadrarea Municipiului Bucureşti în regimul de gestionare II pentru poluanții dioxid de sulf, monoxid de carbon, plumb, arsen, cadmiu și nichel pentru care este necesară iniţierea Planului de Menținere a Calității </w:t>
      </w:r>
      <w:r w:rsidRPr="00E64932">
        <w:rPr>
          <w:color w:val="000000"/>
        </w:rPr>
        <w:lastRenderedPageBreak/>
        <w:t>Aerului în Municipiul Bucureşti (P.M.C.A.) cu măsuri de păstrare a concentraţiilor poluanţilor sus menţionaţi astfel încât acestea să se situeze sub valorile limită legale.</w:t>
      </w:r>
    </w:p>
    <w:p w:rsidR="006B07BE" w:rsidRPr="00E64932" w:rsidRDefault="006B07BE" w:rsidP="006B07BE">
      <w:pPr>
        <w:jc w:val="both"/>
        <w:rPr>
          <w:b/>
          <w:lang w:val="it-IT"/>
        </w:rPr>
      </w:pPr>
      <w:r w:rsidRPr="00E64932">
        <w:rPr>
          <w:b/>
          <w:lang w:val="it-IT"/>
        </w:rPr>
        <w:tab/>
      </w:r>
      <w:r w:rsidRPr="00E64932">
        <w:rPr>
          <w:color w:val="000000"/>
        </w:rPr>
        <w:t>Elaborarea Planului de Menținere a Calității Aerului în Municipiul Bucureşti 2018-2022 (P.M.C.A.) a avut la bază Studiul de calitate a aerului realizat la nivelul Municipiului Bucureşti. P.M.C.A. cuprinde măsuri pentru următorii cinci ani, în vederea menţinerii concentraţiei poluanţilor atmosferici în valorile limită prevăzute de Legea nr.104/2011 şi conformarea cu cerinţele Uniunii Europene.</w:t>
      </w:r>
    </w:p>
    <w:p w:rsidR="006B07BE" w:rsidRPr="00E64932" w:rsidRDefault="006B07BE" w:rsidP="006B07BE">
      <w:pPr>
        <w:jc w:val="both"/>
        <w:rPr>
          <w:color w:val="000000"/>
        </w:rPr>
      </w:pPr>
      <w:r w:rsidRPr="00E64932">
        <w:rPr>
          <w:color w:val="000000"/>
        </w:rPr>
        <w:tab/>
        <w:t>Din inventarierea surselor de poluare asociate activităților din Municipiul Bucureşti s-a desprins concluzia că prezența poluanților dioxid de sulf, monoxid de carbon și metale grele (plumb, arsen, cadmiu și nichel) care fac obiectul Planului de Menținere a Calității Aerului în Municipiul Bucureşti 2018-2022  se datorează traficului urban, încălzirii rezidenţiale şi sectorului industrial.</w:t>
      </w:r>
    </w:p>
    <w:p w:rsidR="006B07BE" w:rsidRPr="00E64932" w:rsidRDefault="006B07BE" w:rsidP="006B07BE">
      <w:pPr>
        <w:jc w:val="both"/>
        <w:rPr>
          <w:color w:val="000000"/>
        </w:rPr>
      </w:pPr>
      <w:r w:rsidRPr="00E64932">
        <w:rPr>
          <w:color w:val="000000"/>
        </w:rPr>
        <w:tab/>
        <w:t>Măsurile din cadrul P.M.C.A. se regăsesc în integralitate în cuprinsul măsurilor propuse în Planul Integrat de Calitate a Aerului în Municipiul București 2018-2022, întrucât efectul implementării măsurilor referitoare la trafic și eficiență energetică se reflectă și în dinamica concentrațiilor poluanților pentru care a fost elaborat planul de menținere.</w:t>
      </w:r>
    </w:p>
    <w:p w:rsidR="006B07BE" w:rsidRPr="00E64932" w:rsidRDefault="006B07BE" w:rsidP="006B07BE">
      <w:pPr>
        <w:jc w:val="both"/>
        <w:rPr>
          <w:color w:val="000000"/>
        </w:rPr>
      </w:pPr>
      <w:r w:rsidRPr="00E64932">
        <w:rPr>
          <w:color w:val="000000"/>
        </w:rPr>
        <w:tab/>
        <w:t>Astfel, Planul de Menținere a Calității Aerului în Municipiul București 2018-2022 cuprinde 15 măsuri cu rolul de a reduce concentrația poluanților generați de principalele surse de emisie respectiv traficul urban și încălzirea rezidențială. Măsurile sunt însoţite de termene de realizare, estimarea costurilor, precizarea indicatorilor cuantificabili pentru estimarea realizării măsurilor, precum şi factorii responsabili pentru implementarea acestora.</w:t>
      </w:r>
    </w:p>
    <w:p w:rsidR="006B07BE" w:rsidRPr="00E64932" w:rsidRDefault="006B07BE" w:rsidP="006B07BE">
      <w:pPr>
        <w:jc w:val="both"/>
        <w:rPr>
          <w:color w:val="000000"/>
        </w:rPr>
      </w:pPr>
      <w:r w:rsidRPr="00E64932">
        <w:rPr>
          <w:color w:val="000000"/>
        </w:rPr>
        <w:tab/>
        <w:t>Propunerea de P.M.C.A. a fost supusă procedurii de consultare şi dezbatere publică în conformitate cu prevederile H.G. nr.257/2015.</w:t>
      </w:r>
      <w:r w:rsidRPr="00E64932">
        <w:rPr>
          <w:rFonts w:eastAsia="Calibri"/>
        </w:rPr>
        <w:t xml:space="preserve"> F</w:t>
      </w:r>
      <w:r w:rsidRPr="00E64932">
        <w:rPr>
          <w:color w:val="000000"/>
        </w:rPr>
        <w:t>orma definitivată fiind ulterior avizată de autorităţile pentru protecţia mediului, respectiv Agenţia pentru Protecţia Mediului Bucureşti şi Agenţia Naţională pentru Protecţia Mediului, prin adresa nr.20489/11.10.2018.</w:t>
      </w:r>
    </w:p>
    <w:p w:rsidR="006B07BE" w:rsidRPr="00E64932" w:rsidRDefault="006B07BE" w:rsidP="006B07BE">
      <w:pPr>
        <w:jc w:val="both"/>
        <w:rPr>
          <w:color w:val="000000"/>
        </w:rPr>
      </w:pPr>
      <w:r w:rsidRPr="00E64932">
        <w:rPr>
          <w:color w:val="000000"/>
        </w:rPr>
        <w:tab/>
      </w:r>
      <w:r w:rsidRPr="00E64932">
        <w:t>În conformitate cu prevederile art.45 alin (1) din H.G. nr. 257/2015, în termen de maximum 30 de zile calendaristice de la avizare, planul de menținere a calității aerului a fost aprobat</w:t>
      </w:r>
      <w:r w:rsidRPr="00E64932">
        <w:rPr>
          <w:color w:val="000000"/>
        </w:rPr>
        <w:t xml:space="preserve"> prin H.C.G.M.B. nr.715/18.10.2018.</w:t>
      </w:r>
    </w:p>
    <w:p w:rsidR="006B07BE" w:rsidRPr="00E64932" w:rsidRDefault="006B07BE" w:rsidP="006B07BE">
      <w:pPr>
        <w:jc w:val="both"/>
        <w:rPr>
          <w:color w:val="000000"/>
        </w:rPr>
      </w:pPr>
      <w:r w:rsidRPr="00E64932">
        <w:rPr>
          <w:color w:val="000000"/>
        </w:rPr>
        <w:tab/>
      </w:r>
      <w:r w:rsidRPr="00E64932">
        <w:rPr>
          <w:rFonts w:eastAsia="Calibri"/>
          <w:iCs/>
        </w:rPr>
        <w:t xml:space="preserve">Planul de Menținere a Calității Aerului în Municipiul București 2018-2022 este postat pe site-ul instituției, </w:t>
      </w:r>
      <w:r w:rsidRPr="00E64932">
        <w:t xml:space="preserve">secţiunea </w:t>
      </w:r>
      <w:r w:rsidRPr="00E64932">
        <w:rPr>
          <w:iCs/>
        </w:rPr>
        <w:t xml:space="preserve">Servicii/ Mediu/ Planuri de calitate a aerului în Municipiul București/ </w:t>
      </w:r>
      <w:r w:rsidRPr="00E64932">
        <w:rPr>
          <w:rFonts w:eastAsia="Calibri"/>
          <w:iCs/>
        </w:rPr>
        <w:t>Plan de Menținere a Calității Aerului în Municipiul București 2018 – 2022.</w:t>
      </w:r>
    </w:p>
    <w:p w:rsidR="006B07BE" w:rsidRPr="00E64932" w:rsidRDefault="006B07BE" w:rsidP="006B07BE">
      <w:pPr>
        <w:jc w:val="both"/>
        <w:rPr>
          <w:b/>
        </w:rPr>
      </w:pPr>
    </w:p>
    <w:p w:rsidR="006B07BE" w:rsidRPr="00E64932" w:rsidRDefault="006B07BE" w:rsidP="006B07BE">
      <w:pPr>
        <w:jc w:val="both"/>
        <w:rPr>
          <w:b/>
        </w:rPr>
      </w:pPr>
      <w:r w:rsidRPr="00E64932">
        <w:rPr>
          <w:b/>
        </w:rPr>
        <w:t>► Monitorizarea nivelului de zgomot în municipiul Bucureşti</w:t>
      </w:r>
    </w:p>
    <w:p w:rsidR="006B07BE" w:rsidRPr="00E64932" w:rsidRDefault="006B07BE" w:rsidP="006B07BE">
      <w:pPr>
        <w:jc w:val="both"/>
      </w:pPr>
      <w:r w:rsidRPr="00E64932">
        <w:tab/>
        <w:t xml:space="preserve">Primăria Municipiului București prin Direcția de Mediu a derulat în </w:t>
      </w:r>
      <w:r w:rsidRPr="00E64932">
        <w:rPr>
          <w:rFonts w:eastAsia="Calibri"/>
        </w:rPr>
        <w:t>perioada aprilie - decembrie 2018</w:t>
      </w:r>
      <w:r w:rsidRPr="00E64932">
        <w:t xml:space="preserve"> </w:t>
      </w:r>
      <w:r w:rsidRPr="00E64932">
        <w:rPr>
          <w:rFonts w:eastAsia="Calibri"/>
        </w:rPr>
        <w:t>programul de monitorizare a nivelului de zgomot în municipiul București.</w:t>
      </w:r>
    </w:p>
    <w:p w:rsidR="006B07BE" w:rsidRPr="00E64932" w:rsidRDefault="006B07BE" w:rsidP="006B07BE">
      <w:pPr>
        <w:ind w:firstLine="708"/>
        <w:jc w:val="both"/>
        <w:rPr>
          <w:rFonts w:eastAsia="Calibri"/>
        </w:rPr>
      </w:pPr>
      <w:r w:rsidRPr="00E64932">
        <w:rPr>
          <w:rFonts w:eastAsia="Calibri"/>
        </w:rPr>
        <w:t xml:space="preserve">În cadrul acestui program, </w:t>
      </w:r>
      <w:r w:rsidRPr="00E64932">
        <w:t>a fost monitorizat nivelul de zgomot de pe 90 de artere mari, spitale, parcuri, unități de învățământ, identificate din Hărțile Strategice de Zgomot cu depășiri ale nivelului de zgomot legal admis.</w:t>
      </w:r>
    </w:p>
    <w:p w:rsidR="006B07BE" w:rsidRPr="00E64932" w:rsidRDefault="006B07BE" w:rsidP="006B07BE">
      <w:pPr>
        <w:ind w:firstLine="708"/>
        <w:jc w:val="both"/>
        <w:rPr>
          <w:rFonts w:eastAsia="Calibri"/>
        </w:rPr>
      </w:pPr>
      <w:r w:rsidRPr="00E64932">
        <w:rPr>
          <w:rFonts w:eastAsia="Calibri"/>
        </w:rPr>
        <w:t>S-au efectuat măsurări sonometrice în 144 de puncte de măsurare și s-au întocmit rapoarte de încercare pentru cele 115 obiective monitorizate.</w:t>
      </w:r>
    </w:p>
    <w:p w:rsidR="006B07BE" w:rsidRPr="00E64932" w:rsidRDefault="006B07BE" w:rsidP="006B07BE">
      <w:pPr>
        <w:ind w:firstLine="708"/>
        <w:jc w:val="both"/>
        <w:rPr>
          <w:rFonts w:eastAsia="Calibri"/>
        </w:rPr>
      </w:pPr>
      <w:r w:rsidRPr="00E64932">
        <w:rPr>
          <w:rFonts w:eastAsia="Calibri"/>
        </w:rPr>
        <w:t>Pe baza rezultatelor măsurărilor sonometrice s-a întocmit un raport de informare cu situația nivelului de zgomot pe arterele unde s-au înregistrat depășiri ale nivelului de zgomot legal admis, care s-a transmis către factorii responsabili pentru a lua măsurile care se impun potrivit specificului activității.</w:t>
      </w:r>
    </w:p>
    <w:p w:rsidR="006B07BE" w:rsidRPr="00E64932" w:rsidRDefault="006B07BE" w:rsidP="006B07BE">
      <w:pPr>
        <w:tabs>
          <w:tab w:val="left" w:pos="660"/>
        </w:tabs>
        <w:jc w:val="both"/>
      </w:pPr>
      <w:r w:rsidRPr="00E64932">
        <w:t xml:space="preserve">            De asemenea în vederea soluționării petițiilor care semnalau/reclamau poluare fonică s-au efectuat 27 de controale în teren, în comun cu reprezentanții Direcției Generale de Poliție Locală și Control a Municipiului București, în intervalul februarie – noiembrie 2018. </w:t>
      </w:r>
    </w:p>
    <w:p w:rsidR="006B07BE" w:rsidRPr="00E64932" w:rsidRDefault="006B07BE" w:rsidP="006B07BE">
      <w:pPr>
        <w:tabs>
          <w:tab w:val="left" w:pos="660"/>
        </w:tabs>
        <w:jc w:val="both"/>
      </w:pPr>
      <w:r w:rsidRPr="00E64932">
        <w:t xml:space="preserve">            Ca urmare a acţiunilor de măsurare a zgomotului şi pe baza rapoartelor de încercare emise de Serviciul Monitorizarea Calității Mediului, din cadrul Direcției de Mediu și transmise Direcţiei Control din cadrul Direcţiei Generale de Poliţie Locală şi Control a Municipiului Bucureşti, au fost aplicate măsuri de sancționare a operatorilor economici care nu au respectat prevederile legislației referitoare la valorile maxim admise ale nivelului de zgomot.</w:t>
      </w:r>
    </w:p>
    <w:p w:rsidR="006B07BE" w:rsidRPr="00E64932" w:rsidRDefault="006B07BE" w:rsidP="006B07BE">
      <w:pPr>
        <w:tabs>
          <w:tab w:val="left" w:pos="660"/>
        </w:tabs>
        <w:jc w:val="both"/>
      </w:pPr>
    </w:p>
    <w:p w:rsidR="006B07BE" w:rsidRPr="00E64932" w:rsidRDefault="006B07BE" w:rsidP="006B07BE">
      <w:pPr>
        <w:tabs>
          <w:tab w:val="left" w:pos="660"/>
        </w:tabs>
        <w:jc w:val="both"/>
      </w:pPr>
      <w:r w:rsidRPr="00E64932">
        <w:rPr>
          <w:b/>
        </w:rPr>
        <w:t>► Monitorizarea calităţii aerului a</w:t>
      </w:r>
      <w:r w:rsidRPr="00E64932">
        <w:rPr>
          <w:b/>
          <w:bCs/>
          <w:lang w:val="it-IT"/>
        </w:rPr>
        <w:t>mbiant din municipiul Bucureşti</w:t>
      </w:r>
    </w:p>
    <w:p w:rsidR="006B07BE" w:rsidRPr="00E64932" w:rsidRDefault="006B07BE" w:rsidP="006B07BE">
      <w:pPr>
        <w:tabs>
          <w:tab w:val="left" w:pos="550"/>
          <w:tab w:val="left" w:pos="880"/>
        </w:tabs>
        <w:jc w:val="both"/>
        <w:rPr>
          <w:bCs/>
        </w:rPr>
      </w:pPr>
      <w:r w:rsidRPr="00E64932">
        <w:rPr>
          <w:bCs/>
        </w:rPr>
        <w:tab/>
        <w:t xml:space="preserve">    În anul 2018 </w:t>
      </w:r>
      <w:r w:rsidRPr="00E64932">
        <w:t xml:space="preserve">Primăria Municipiului București prin Direcția de Mediu a </w:t>
      </w:r>
      <w:r w:rsidRPr="00E64932">
        <w:rPr>
          <w:bCs/>
        </w:rPr>
        <w:t xml:space="preserve">realizat monitorizarea calităţii aerului în </w:t>
      </w:r>
      <w:r w:rsidRPr="00E64932">
        <w:rPr>
          <w:bCs/>
          <w:lang w:val="it-IT"/>
        </w:rPr>
        <w:t>municipiul Bucureşti</w:t>
      </w:r>
      <w:r w:rsidRPr="00E64932">
        <w:rPr>
          <w:bCs/>
        </w:rPr>
        <w:t xml:space="preserve"> pe artere de circulaţie principale şi în zone de interes public, efectuând cu autolaboratorul aflat în dotare 10 campanii care au însumat 227 de zile de monitorizare  în perioada aprilie – decembrie 2018.</w:t>
      </w:r>
    </w:p>
    <w:p w:rsidR="006B07BE" w:rsidRPr="00E64932" w:rsidRDefault="006B07BE" w:rsidP="006B07BE">
      <w:pPr>
        <w:tabs>
          <w:tab w:val="left" w:pos="880"/>
        </w:tabs>
        <w:jc w:val="both"/>
      </w:pPr>
      <w:r w:rsidRPr="00E64932">
        <w:rPr>
          <w:bCs/>
        </w:rPr>
        <w:t xml:space="preserve">              S-au efectuat măsurători indicative ale </w:t>
      </w:r>
      <w:r w:rsidRPr="00E64932">
        <w:t xml:space="preserve">majorităţii poluanţilor atmosferici luaţi în considerare în evaluarea calităţii aerului înconjurător, </w:t>
      </w:r>
      <w:r w:rsidRPr="00E64932">
        <w:rPr>
          <w:bCs/>
        </w:rPr>
        <w:t>şi anume:</w:t>
      </w:r>
      <w:r w:rsidRPr="00E64932">
        <w:t xml:space="preserve"> particule în suspensie PM10, PM2,5 şi PM1, oxizi de azot (monoxid de azot și dioxid de azot), dioxid de sulf, monoxid de carbon, ozon şi hidrogen sulfurat, astfel:</w:t>
      </w:r>
    </w:p>
    <w:p w:rsidR="006B07BE" w:rsidRPr="00E64932" w:rsidRDefault="006B07BE" w:rsidP="006B07BE">
      <w:pPr>
        <w:tabs>
          <w:tab w:val="left" w:pos="880"/>
          <w:tab w:val="left" w:pos="1134"/>
        </w:tabs>
        <w:jc w:val="both"/>
      </w:pPr>
      <w:r w:rsidRPr="00E64932">
        <w:rPr>
          <w:bCs/>
          <w:lang w:val="it-IT"/>
        </w:rPr>
        <w:t xml:space="preserve">              - în zone din Bucureşti și artere de circulație cu expunere în special la traficul rutier, din vecinătatea unor unităţi spitaliceşti</w:t>
      </w:r>
    </w:p>
    <w:p w:rsidR="006B07BE" w:rsidRPr="00E64932" w:rsidRDefault="006B07BE" w:rsidP="006B07BE">
      <w:pPr>
        <w:jc w:val="both"/>
        <w:outlineLvl w:val="0"/>
        <w:rPr>
          <w:bCs/>
        </w:rPr>
      </w:pPr>
      <w:r w:rsidRPr="00E64932">
        <w:rPr>
          <w:bCs/>
        </w:rPr>
        <w:t xml:space="preserve">              - în zone cu artere de circulaţie cu trafic rutier intens</w:t>
      </w:r>
    </w:p>
    <w:p w:rsidR="006B07BE" w:rsidRPr="00E64932" w:rsidRDefault="006B07BE" w:rsidP="006B07BE">
      <w:pPr>
        <w:tabs>
          <w:tab w:val="left" w:pos="851"/>
        </w:tabs>
        <w:jc w:val="both"/>
        <w:outlineLvl w:val="0"/>
        <w:rPr>
          <w:bCs/>
        </w:rPr>
      </w:pPr>
      <w:r w:rsidRPr="00E64932">
        <w:rPr>
          <w:bCs/>
        </w:rPr>
        <w:tab/>
        <w:t xml:space="preserve">- în locaţii situate pe artere de circulaţie cu surse de poluare specifice sezonului rece (încălzire rezidenţială, CET, trafic rutier) </w:t>
      </w:r>
    </w:p>
    <w:p w:rsidR="006B07BE" w:rsidRPr="00E64932" w:rsidRDefault="006B07BE" w:rsidP="006B07BE">
      <w:pPr>
        <w:jc w:val="both"/>
        <w:outlineLvl w:val="0"/>
        <w:rPr>
          <w:bCs/>
        </w:rPr>
      </w:pPr>
      <w:r w:rsidRPr="00E64932">
        <w:rPr>
          <w:bCs/>
        </w:rPr>
        <w:t xml:space="preserve">              - în zone de agrement din București</w:t>
      </w:r>
    </w:p>
    <w:p w:rsidR="006B07BE" w:rsidRPr="00E64932" w:rsidRDefault="006B07BE" w:rsidP="006B07BE">
      <w:pPr>
        <w:jc w:val="both"/>
        <w:outlineLvl w:val="0"/>
        <w:rPr>
          <w:bCs/>
        </w:rPr>
      </w:pPr>
      <w:r w:rsidRPr="00E64932">
        <w:rPr>
          <w:bCs/>
        </w:rPr>
        <w:tab/>
      </w:r>
      <w:r w:rsidRPr="00E64932">
        <w:t>Măsurătorile din cadrul campaniilor s-au finalizat cu rapoarte de analiză, precum şi cu înştiinţarea autorităţilor cu atribuţii de reglementare/inspecţie şi control din domeniul protecţiei mediului în situaţia înregistrării de depăşiri ale concentraţiilor maxime admisibile ale poluanţilor monitorizaţi.</w:t>
      </w:r>
    </w:p>
    <w:p w:rsidR="006B07BE" w:rsidRPr="00E64932" w:rsidRDefault="006B07BE" w:rsidP="006B07BE">
      <w:pPr>
        <w:tabs>
          <w:tab w:val="left" w:pos="770"/>
        </w:tabs>
        <w:jc w:val="both"/>
      </w:pPr>
      <w:r w:rsidRPr="00E64932">
        <w:rPr>
          <w:bCs/>
          <w:lang w:val="pt-BR"/>
        </w:rPr>
        <w:tab/>
        <w:t xml:space="preserve">Datele reprezentative de calitate a aerului ambiental au fost publicate pentru informarea publicului, pe site-ul instituţiei, </w:t>
      </w:r>
      <w:r w:rsidRPr="00E64932">
        <w:t xml:space="preserve">la secţiunea </w:t>
      </w:r>
      <w:r w:rsidRPr="00E64932">
        <w:rPr>
          <w:iCs/>
        </w:rPr>
        <w:t>Servicii/ Mediu/ Date de calitatea aerului obţinute prin măsurători indicative cu autolaboratorul PMB.</w:t>
      </w:r>
    </w:p>
    <w:p w:rsidR="006B07BE" w:rsidRPr="00E64932" w:rsidRDefault="006B07BE" w:rsidP="006B07BE">
      <w:pPr>
        <w:jc w:val="both"/>
      </w:pPr>
    </w:p>
    <w:p w:rsidR="006B07BE" w:rsidRPr="00E64932" w:rsidRDefault="006B07BE" w:rsidP="006B07BE">
      <w:pPr>
        <w:jc w:val="both"/>
      </w:pPr>
      <w:r w:rsidRPr="00E64932">
        <w:t xml:space="preserve">► </w:t>
      </w:r>
      <w:r w:rsidRPr="00E64932">
        <w:rPr>
          <w:b/>
        </w:rPr>
        <w:t>Campanii de ecologizare și plantare</w:t>
      </w:r>
      <w:r w:rsidRPr="00E64932">
        <w:t>;</w:t>
      </w:r>
    </w:p>
    <w:p w:rsidR="006B07BE" w:rsidRPr="00E64932" w:rsidRDefault="006B07BE" w:rsidP="006B07BE">
      <w:pPr>
        <w:tabs>
          <w:tab w:val="left" w:pos="930"/>
        </w:tabs>
        <w:jc w:val="both"/>
      </w:pPr>
      <w:r w:rsidRPr="00E64932">
        <w:tab/>
        <w:t>În luna aprilie 2018 a fost realizată campania de plantare a 100 de exemplare stejar roșu (Quercus var. rubra) pe o suprafață de teren degradată din Sectorul 4 al capitalei. La campania organizată de Primăria Municipiului București au participat  reprezentanți ai Ministerului Apelor și Pădurilor, Romsilva SA, Primăria Sectorului 4, Ambasada Lituaniei și Colegiul Național de Arte Dinu Lipatti. Toți cei prezenți la eveniment au participat efectiv  în procesul plantării celor 100 de stejari.</w:t>
      </w:r>
    </w:p>
    <w:p w:rsidR="006B07BE" w:rsidRPr="00E64932" w:rsidRDefault="006B07BE" w:rsidP="006B07BE">
      <w:pPr>
        <w:tabs>
          <w:tab w:val="left" w:pos="930"/>
        </w:tabs>
        <w:jc w:val="both"/>
      </w:pPr>
      <w:r w:rsidRPr="00E64932">
        <w:tab/>
        <w:t>Obiectivul campaniei a fost acela de amenajare a unui spațiu verde destinat comunității, în suprafață de 9600 metri pătrați acoperiți de o pădure de stejar. Implicarea unor instituții cu vizibilitate crescută în campania de plantare a avut ca scop mediatizarea proiectului în vederea  conștientizării importanței acțiunilor menite să contribuie la îmbunătățirea calității mediului și a vieții cetățenilor din Municipiul București.</w:t>
      </w:r>
    </w:p>
    <w:p w:rsidR="006B07BE" w:rsidRPr="00E64932" w:rsidRDefault="006B07BE" w:rsidP="006B07BE">
      <w:pPr>
        <w:tabs>
          <w:tab w:val="left" w:pos="930"/>
        </w:tabs>
        <w:jc w:val="both"/>
      </w:pPr>
    </w:p>
    <w:p w:rsidR="006B07BE" w:rsidRPr="00E64932" w:rsidRDefault="006B07BE" w:rsidP="006B07BE">
      <w:pPr>
        <w:jc w:val="both"/>
        <w:rPr>
          <w:b/>
        </w:rPr>
      </w:pPr>
      <w:r w:rsidRPr="00E64932">
        <w:rPr>
          <w:b/>
        </w:rPr>
        <w:t xml:space="preserve">► Proiectul „Bicicliști în București” are ca scop încurajarea mersului pe bicicletă și utilizarea mijloacelor de transport nepoluante, cu efecte benefice asupra sănătății populației, reducerii poluării și a decongestionării traficului </w:t>
      </w:r>
    </w:p>
    <w:p w:rsidR="006B07BE" w:rsidRPr="00E64932" w:rsidRDefault="006B07BE" w:rsidP="006B07BE">
      <w:pPr>
        <w:jc w:val="both"/>
      </w:pPr>
      <w:r w:rsidRPr="00E64932">
        <w:tab/>
        <w:t>Inițierea și derularea proiectului „Biciclişti în Bucureşti” a reprezentat o măsură adoptată și implementată de către municipalitate, având în vedere obligaţia autorităţilor publice centrale şi locale de a adopta măsurile necesare în vederea îmbunătăţirii calităţii aerului pentru asigurarea sănătăţii populaţiei.</w:t>
      </w:r>
    </w:p>
    <w:p w:rsidR="006B07BE" w:rsidRPr="00E64932" w:rsidRDefault="006B07BE" w:rsidP="006B07BE">
      <w:pPr>
        <w:jc w:val="both"/>
      </w:pPr>
      <w:r w:rsidRPr="00E64932">
        <w:tab/>
        <w:t>Încurajarea folosirii mijloacelor alternative în principal ca mijloc de deplasare în oraș, precum și ca vehicul cu rol recreativ și sportiv, reprezintă o prioritate pentru autoritățile publice, fiind o componentă importantă a politicii publice de mediu privind reducerea poluării aerului, dezvoltării mobilității, sportului și promovării unui stil de viață activ și sănătos. Această componentă este prevăzută în planuri și programe de acțiune elaborate și aprobate la nivel central și local, precum:</w:t>
      </w:r>
    </w:p>
    <w:p w:rsidR="006B07BE" w:rsidRPr="00E64932" w:rsidRDefault="006B07BE" w:rsidP="006B07BE">
      <w:pPr>
        <w:jc w:val="both"/>
      </w:pPr>
      <w:r w:rsidRPr="00E64932">
        <w:t>- Planul Local de Acțiune pentru Mediu, întocmit la nivelul Municipiului București și aprobat prin H.C.G.M.B. nr.127/2016, revizuit în anul 2015, identifică problema gradului redus de utilizare a transportului nepoluant (ex: bicicletă, trotinetă) și propune dezvoltarea rețelei de ciclism;</w:t>
      </w:r>
    </w:p>
    <w:p w:rsidR="006B07BE" w:rsidRPr="00E64932" w:rsidRDefault="006B07BE" w:rsidP="006B07BE">
      <w:pPr>
        <w:jc w:val="both"/>
      </w:pPr>
      <w:r w:rsidRPr="00E64932">
        <w:lastRenderedPageBreak/>
        <w:t>- Planul de mobilitate urbană București Ilfov, aprobat prin H.C.G.M.B. nr. 90/2017 privind aprobarea planului de mobilitate urbană durabilă 2016 – 2030 Regiunea București – Ilfov, promovează deplasarea nemotorizată prin încurajarea mersului cu bicicleta și introducerea unui sistem de închiriere ca mijloc alternativ de mobilitate;</w:t>
      </w:r>
    </w:p>
    <w:p w:rsidR="006B07BE" w:rsidRPr="00E64932" w:rsidRDefault="006B07BE" w:rsidP="006B07BE">
      <w:pPr>
        <w:jc w:val="both"/>
      </w:pPr>
      <w:r w:rsidRPr="00E64932">
        <w:t>- Planul Integrat de Calitate a Aerului în Municipiul București 2018 – 2022, aprobat prin H.C.G.M.B. nr. 325/2018, în care o cerință pentru îmbunătățirea calității aerului o reprezintă stimularea folosirii transportului alternativ;</w:t>
      </w:r>
    </w:p>
    <w:p w:rsidR="006B07BE" w:rsidRPr="00E64932" w:rsidRDefault="006B07BE" w:rsidP="006B07BE">
      <w:pPr>
        <w:jc w:val="both"/>
      </w:pPr>
      <w:r w:rsidRPr="00E64932">
        <w:t>- Strategia Națională privind schimbările climatice și creșterea economică bazată pe emisii reduse de carbon pentru perioada 2016 – 2020, aprobată prin Hotărârea nr. 739/2016 și Planul național de acțiune pentru implementarea acestei strategii, se promovează trecerea la o politică națională de încurajare a transportului nemotorizat și dezvoltarea unei infrastructuri adecvate pentru ciclism.</w:t>
      </w:r>
    </w:p>
    <w:p w:rsidR="006B07BE" w:rsidRPr="00E64932" w:rsidRDefault="006B07BE" w:rsidP="006B07BE">
      <w:pPr>
        <w:jc w:val="both"/>
      </w:pPr>
      <w:r w:rsidRPr="00E64932">
        <w:tab/>
        <w:t xml:space="preserve">Proiectul „Biciclişti în Bucureşti” a reprezentat o inițiativă a municipalității care a venit în sprijinul cetăţenilor bucureșteni, prin acordarea cu titlu gratuit a unui voucher destinat achiziţionării de biciclete, biciclete electrice, trotinete electrice şi dispozitive de tip Segway/Ninebot. </w:t>
      </w:r>
    </w:p>
    <w:p w:rsidR="006B07BE" w:rsidRPr="00E64932" w:rsidRDefault="006B07BE" w:rsidP="006B07BE">
      <w:pPr>
        <w:jc w:val="both"/>
      </w:pPr>
      <w:r w:rsidRPr="00E64932">
        <w:tab/>
        <w:t xml:space="preserve">Proiectul „Biciclişti în Bucureşti”, aprobat prin H.C.G.M.B. nr.258/2017 a debutat în anul 2017 ca un proiect pilot, menit să încurajeze folosirea mijloacelor de transport nepoluante oferind cetăţenilor o alternativă la transportul auto, alta decât transportul individual sau în comun prin acordarea a 5.000 de vouchere în valoare de 500 lei/voucher/persoană. Datorită impactului mare pe care proiectul l-a avut în rândul cetăţenilor bucureşteni şi a numeroaselor solicitări transmise de către aceştia prin care îşi exprimau interesul pentru a beneficia de un voucher în vederea achiziţionării unui mijloc de transport non poluant, proiectul s-a continuat și în anul 2018, prin suplimentarea numărului de vouchere, cu 25.000, suplimentare care a fost aprobată de către Consiliul General al Municipiului București prin Hotărârea nr.371/11.09.2017. </w:t>
      </w:r>
    </w:p>
    <w:p w:rsidR="006B07BE" w:rsidRPr="00E64932" w:rsidRDefault="006B07BE" w:rsidP="006B07BE">
      <w:pPr>
        <w:jc w:val="both"/>
      </w:pPr>
      <w:r w:rsidRPr="00E64932">
        <w:tab/>
        <w:t>Proiectul s-a adresat cetățenilor cu vârsta de peste de 18 ani și cu domiciliul în București, acestea fiind condițiile de eligibilitate pentru înscriere. Sumele repartizate pentru implementarea proiectului au fost asigurate din bugetul local al Municipiului Bucureşti.</w:t>
      </w:r>
    </w:p>
    <w:p w:rsidR="006B07BE" w:rsidRPr="00E64932" w:rsidRDefault="006B07BE" w:rsidP="006B07BE">
      <w:pPr>
        <w:jc w:val="both"/>
      </w:pPr>
      <w:r w:rsidRPr="00E64932">
        <w:tab/>
        <w:t>Proiectul „Biciclişti în Bucureşti” s-a derulat pe parcursul a doi ani, 2017 – 2018, și a constat în acordarea a 30.000 de vouchere. Acestea au fost alocate în trei etape: prima etapă a constat în acordarea a 5000 de vouchere în perioada iulie – noiembrie 2017, etapa a doua a constat în acordarea a 19.114 vouchere în perioada  aprilie – septembrie 2018 și etapa a treia a constat în acordarea a 5.886 vouchere în perioada iulie – octombrie 2018, ultimele doua etape, 19.114 și 5.886 de vouchere însumând numărul de vouchere suplimentat, respectiv 25.000.</w:t>
      </w:r>
    </w:p>
    <w:p w:rsidR="006B07BE" w:rsidRPr="00E64932" w:rsidRDefault="006B07BE" w:rsidP="006B07BE">
      <w:pPr>
        <w:jc w:val="both"/>
      </w:pPr>
      <w:r w:rsidRPr="00E64932">
        <w:tab/>
        <w:t>Înscrierea cetățenilor pentru etapa a doua de acordare a voucherelor s-a realizat în anul 2017 prin depunerea documentaţiei prevăzută în Regulament, respectiv formularul de înscriere şi fotocopia cărţii de identitate pe adresa de e-mail deschisă şi pusă la dispoziţia cetăţenilor. După finalizarea procesului de înscriere și validarea eligibilității condițiilor de participare în proiect, în anul 2018 a fost publicată pe site-ul Primăriei Municipiului Bucureşti lista cu cei 19.114 beneficiari de vouchere, în urma căreia prestatorul a tipărit și livrat 19.114 de vouchere conform contractului încheiat între cele două părţi.</w:t>
      </w:r>
      <w:r w:rsidRPr="00E64932">
        <w:tab/>
      </w:r>
    </w:p>
    <w:p w:rsidR="006B07BE" w:rsidRPr="00E64932" w:rsidRDefault="006B07BE" w:rsidP="006B07BE">
      <w:pPr>
        <w:jc w:val="both"/>
      </w:pPr>
      <w:r w:rsidRPr="00E64932">
        <w:tab/>
        <w:t xml:space="preserve">După finalizarea celei de-a treia etape de înscriere în proiect, etapă ce s-a derulat în cursul anului 2018 și care a constat în accesarea unei aplicații informatice pe site-ul Primăriei Municipiului București, secțiunea „Bicicliști în București”, prin completarea de către persoanele participante a datelor de identificare, precum și încărcarea fotocopiei cărții de identititate și validarea eligibilității condițiilor de participare în proiect, a fost publicată pe site-ul Primăriei Municipiului Bucureşti lista cu cei 5.886 de beneficiari de vouchere, în urma căreia prestatorul a tipărit și livrat 5.886 de vouchere conform contractului încheiat între cele două părţi. </w:t>
      </w:r>
    </w:p>
    <w:p w:rsidR="006B07BE" w:rsidRPr="00E64932" w:rsidRDefault="006B07BE" w:rsidP="006B07BE">
      <w:pPr>
        <w:jc w:val="both"/>
      </w:pPr>
      <w:r w:rsidRPr="00E64932">
        <w:tab/>
        <w:t>Voucherele transmise beneficiarilor în toate cele trei etape au fost nominale şi s-au folosit exclusiv pentru achiziţionarea de biciclete, biciclete electrice, trotinete electrice şi dispozitive de tip Segway/Ninebot.</w:t>
      </w:r>
    </w:p>
    <w:p w:rsidR="006B07BE" w:rsidRPr="00E64932" w:rsidRDefault="006B07BE" w:rsidP="006B07BE">
      <w:pPr>
        <w:jc w:val="both"/>
      </w:pPr>
      <w:r w:rsidRPr="00E64932">
        <w:tab/>
        <w:t xml:space="preserve">În implementarea proiectului Primăria Municipiului Bucureşti a colaborat cu peste 40 magazine partenere care au asigurat acceptarea voucherelor folosite de beneficiarii acestora exclusiv pentru </w:t>
      </w:r>
      <w:r w:rsidRPr="00E64932">
        <w:lastRenderedPageBreak/>
        <w:t xml:space="preserve">achiziţionarea de biciclete, biciclete electrice, trotinete electrice şi dispozitive de tip Segway/Ninebot destinate persoanelor cu vârsta minimă de 18 ani. </w:t>
      </w:r>
    </w:p>
    <w:p w:rsidR="006B07BE" w:rsidRPr="00E64932" w:rsidRDefault="006B07BE" w:rsidP="006B07BE">
      <w:pPr>
        <w:jc w:val="both"/>
      </w:pPr>
      <w:r w:rsidRPr="00E64932">
        <w:tab/>
        <w:t>După finalizarea proiectului, s-a constat că din cele 30.000 de vouchere livrate cea mai mare parte a acestora au fost folosite de către beneficiari pentru achiziţionarea de biciclete.</w:t>
      </w:r>
    </w:p>
    <w:p w:rsidR="006B07BE" w:rsidRPr="00E64932" w:rsidRDefault="006B07BE" w:rsidP="006B07BE">
      <w:pPr>
        <w:jc w:val="both"/>
      </w:pPr>
      <w:r w:rsidRPr="00E64932">
        <w:tab/>
        <w:t>Implementarea proiectului ”Bicicliști în București” a contribuit la conștientizarea și implicarea unui număr de 30.000 de cetățeni în adoptarea unui stil de viață sănătos, prin reducerea poluării. Proiectul a răspuns astfel nevoilor locale de implicare a comunității în implementarea măsurilor de reducere a poluării adoptate de municipalitate prin folosirea mijloacelor de transport nepoluant, în detrimentul autovehiculelor.</w:t>
      </w:r>
    </w:p>
    <w:p w:rsidR="006B07BE" w:rsidRPr="00E64932" w:rsidRDefault="006B07BE" w:rsidP="006B07BE">
      <w:pPr>
        <w:jc w:val="both"/>
        <w:rPr>
          <w:b/>
        </w:rPr>
      </w:pPr>
    </w:p>
    <w:p w:rsidR="006B07BE" w:rsidRPr="00E64932" w:rsidRDefault="006B07BE" w:rsidP="006B07BE">
      <w:pPr>
        <w:jc w:val="both"/>
      </w:pPr>
      <w:r w:rsidRPr="00E64932">
        <w:t>►</w:t>
      </w:r>
      <w:r w:rsidRPr="00E64932">
        <w:rPr>
          <w:b/>
          <w:color w:val="000000"/>
        </w:rPr>
        <w:t xml:space="preserve"> “Programul de stimulare a eliminării din traficul bucureștean a autovehiculelor cu grad ridicat de poluare prin acordarea de eco-vouchere.”</w:t>
      </w:r>
    </w:p>
    <w:p w:rsidR="006B07BE" w:rsidRPr="00E64932" w:rsidRDefault="006B07BE" w:rsidP="006B07BE">
      <w:pPr>
        <w:ind w:firstLine="708"/>
        <w:jc w:val="both"/>
        <w:rPr>
          <w:color w:val="000000"/>
        </w:rPr>
      </w:pPr>
      <w:r w:rsidRPr="00E64932">
        <w:rPr>
          <w:color w:val="000000"/>
        </w:rPr>
        <w:t xml:space="preserve">Având în vedere faptul că în cadrul Planului Integrat de Calitate a Aerului în Municipiul București 2018-2022 este prevăzută ca măsură limitarea circulației autovehiculelor poluante cu impact negativ asupra mediului manifestat prin degajarea în atmosferă a unor mari cantități de gaze toxice și cu efect de seră, municipalitatea a inițiat </w:t>
      </w:r>
      <w:r w:rsidRPr="00E64932">
        <w:t>Programul de stimulare a eliminării din traficul bucureștean a autovehiculelor cu grad ridicat de poluare prin acordarea de eco-vouchere.</w:t>
      </w:r>
      <w:r w:rsidRPr="00E64932">
        <w:tab/>
        <w:t xml:space="preserve">Astfel, Primăria Municipiului București derulează </w:t>
      </w:r>
      <w:r w:rsidRPr="00E64932">
        <w:rPr>
          <w:lang w:val="it-IT"/>
        </w:rPr>
        <w:t>în perioada 2018-2019 ”Programul de stimulare a eliminării din traficul bucureștean a autovehiculelor cu grad ridicat de poluare prin acordarea de eco-vouchere”, aprobat prin H.C.G.M.B. nr.377/26.07.2018, cu scopul de a îmbunătății calitatea mediului și implicit de a proteja populația capitalei prin reducerea emisiilor de gaze de eșapament provenite de la autovehiculele uzate.</w:t>
      </w:r>
    </w:p>
    <w:p w:rsidR="006B07BE" w:rsidRPr="00E64932" w:rsidRDefault="006B07BE" w:rsidP="006B07BE">
      <w:pPr>
        <w:tabs>
          <w:tab w:val="left" w:pos="709"/>
        </w:tabs>
        <w:suppressAutoHyphens/>
        <w:jc w:val="both"/>
        <w:rPr>
          <w:color w:val="000000"/>
          <w:shd w:val="clear" w:color="auto" w:fill="FFFFFF"/>
          <w:lang w:val="pt-BR"/>
        </w:rPr>
      </w:pPr>
      <w:r w:rsidRPr="00E64932">
        <w:rPr>
          <w:lang w:val="it-IT"/>
        </w:rPr>
        <w:tab/>
        <w:t>Prin implementarea programului se urmărește acordarea a 5.000 de eco-vouchere cu o valoare de 9.000 lei/eco-voucher,</w:t>
      </w:r>
      <w:r w:rsidRPr="00E64932">
        <w:rPr>
          <w:color w:val="000000"/>
          <w:shd w:val="clear" w:color="auto" w:fill="FFFFFF"/>
          <w:lang w:val="pt-BR"/>
        </w:rPr>
        <w:t xml:space="preserve"> în schimbul predării spre casare a unui autovehicul uzat înmatriculat în Municipiul București și se adresează atât persoanelor fizice, cu domiciliul stabil în Municipiul București, cu vârsta minimă de 18 ani și persoanelor juridice cu sediul social in Municipiul București. Aceștia trebuie să fie proprietari unici ai autovehiculelor uzate si să nu aibe obligații de plată la bugetul local și bugetul de stat, putând opta</w:t>
      </w:r>
      <w:r w:rsidRPr="00E64932">
        <w:t xml:space="preserve"> pentru achiziționarea unui autoturism nou</w:t>
      </w:r>
      <w:r w:rsidRPr="00E64932">
        <w:rPr>
          <w:lang w:eastAsia="ar-SA"/>
        </w:rPr>
        <w:t xml:space="preserve"> cu norme de poluare care să asigure un nivel redus de emisii – minim EURO 6, non – diesel</w:t>
      </w:r>
      <w:r w:rsidRPr="00E64932">
        <w:t xml:space="preserve"> sau pentru achiziționarea </w:t>
      </w:r>
      <w:r w:rsidRPr="00E64932">
        <w:rPr>
          <w:color w:val="000000"/>
          <w:shd w:val="clear" w:color="auto" w:fill="FFFFFF"/>
          <w:lang w:val="pt-BR"/>
        </w:rPr>
        <w:t>altor mijloace de locomoție noi, non-diesel, hibride sau electrice, obiecte electrocasnice cu clasa energetică superioară,  electronice.</w:t>
      </w:r>
    </w:p>
    <w:p w:rsidR="006B07BE" w:rsidRPr="00E64932" w:rsidRDefault="006B07BE" w:rsidP="006B07BE">
      <w:pPr>
        <w:tabs>
          <w:tab w:val="left" w:pos="709"/>
        </w:tabs>
        <w:suppressAutoHyphens/>
        <w:jc w:val="both"/>
        <w:rPr>
          <w:color w:val="000000"/>
          <w:shd w:val="clear" w:color="auto" w:fill="FFFFFF"/>
          <w:lang w:val="pt-BR"/>
        </w:rPr>
      </w:pPr>
      <w:r w:rsidRPr="00E64932">
        <w:rPr>
          <w:color w:val="000000"/>
          <w:shd w:val="clear" w:color="auto" w:fill="FFFFFF"/>
          <w:lang w:val="pt-BR"/>
        </w:rPr>
        <w:tab/>
        <w:t>Documentarea acestui proiect a debutat în decursul lunii iunie printr-o activitate de analiză a modalității și oportunității de realizare a proiectului propriu Primăriei Municipiului București prin culegerea de date privind structura parcului auto din capitală și județul Ilfov, prin cunoașterea și aprofundarea mecanismului de aplicare a proiectului RABLA și RABLA+ derulat la nivel național prin Administrația Fondului de Mediu.</w:t>
      </w:r>
    </w:p>
    <w:p w:rsidR="006B07BE" w:rsidRPr="00E64932" w:rsidRDefault="006B07BE" w:rsidP="006B07BE">
      <w:pPr>
        <w:tabs>
          <w:tab w:val="left" w:pos="709"/>
        </w:tabs>
        <w:suppressAutoHyphens/>
        <w:jc w:val="both"/>
        <w:rPr>
          <w:color w:val="000000"/>
          <w:shd w:val="clear" w:color="auto" w:fill="FFFFFF"/>
          <w:lang w:val="pt-BR"/>
        </w:rPr>
      </w:pPr>
      <w:r w:rsidRPr="00E64932">
        <w:rPr>
          <w:color w:val="000000"/>
          <w:shd w:val="clear" w:color="auto" w:fill="FFFFFF"/>
          <w:lang w:val="pt-BR"/>
        </w:rPr>
        <w:tab/>
        <w:t xml:space="preserve">Ca urmare s-a elaborat proiectul de hotărâre privind aprobarea </w:t>
      </w:r>
      <w:r w:rsidRPr="00E64932">
        <w:rPr>
          <w:lang w:val="it-IT"/>
        </w:rPr>
        <w:t>”Programului de stimulare a eliminării din traficul bucureștean a autovehiculelor cu grad ridicat de poluare prin acordarea de eco-vouchere” aprobat prin H.C.G.M.B. nr. 377/26.07.2018</w:t>
      </w:r>
    </w:p>
    <w:p w:rsidR="006B07BE" w:rsidRPr="00E64932" w:rsidRDefault="006B07BE" w:rsidP="006B07BE">
      <w:pPr>
        <w:tabs>
          <w:tab w:val="left" w:pos="660"/>
        </w:tabs>
        <w:jc w:val="both"/>
        <w:rPr>
          <w:lang w:val="it-IT"/>
        </w:rPr>
      </w:pPr>
      <w:r w:rsidRPr="00E64932">
        <w:t xml:space="preserve">            </w:t>
      </w:r>
      <w:r w:rsidRPr="00E64932">
        <w:rPr>
          <w:lang w:val="it-IT"/>
        </w:rPr>
        <w:t>Regulamentul acestui program a fost elaborat de o comisie formată din reprezentanți ai direcțiilor de specialitate din cadrul aparatului de specialitate al Primarului General al Municipiului București și aprobat prin DPG nr.1823/10.10.2018. Direcția de Mediu și-a adus contribuția în elaborarea tuturor capitolelor Regulamentului, a asigurat secretariatul comisiei prin redactarea proceselor verbale ale ședințelor și a întocmit forma finală a regulamentului în perioada august-octombrie 2018.</w:t>
      </w:r>
    </w:p>
    <w:p w:rsidR="006B07BE" w:rsidRPr="00E64932" w:rsidRDefault="006B07BE" w:rsidP="006B07BE">
      <w:pPr>
        <w:tabs>
          <w:tab w:val="left" w:pos="660"/>
        </w:tabs>
        <w:jc w:val="both"/>
        <w:rPr>
          <w:lang w:val="it-IT"/>
        </w:rPr>
      </w:pPr>
      <w:r w:rsidRPr="00E64932">
        <w:rPr>
          <w:lang w:val="it-IT"/>
        </w:rPr>
        <w:tab/>
        <w:t>Regulamentul Programului a fost publicat pe pagina oficială de internet a Primăriei Municipiului București, www.pmb.ro,</w:t>
      </w:r>
      <w:r w:rsidRPr="00E64932">
        <w:t xml:space="preserve"> </w:t>
      </w:r>
      <w:r w:rsidRPr="00E64932">
        <w:rPr>
          <w:lang w:val="it-IT"/>
        </w:rPr>
        <w:t>conform Comunicatului de presă din data de 14.10.2018, în vederea consultării și familiarizării cu acesta de către persoanele dornice să participe la Program. Consultând Regulamentul, persoanele interesate au aflat care sunt condițiile de eligibilitate, m</w:t>
      </w:r>
      <w:r w:rsidRPr="00E64932">
        <w:t xml:space="preserve">odalitatea de înscriere și de desfășurare a Programului </w:t>
      </w:r>
      <w:r w:rsidRPr="00E64932">
        <w:rPr>
          <w:lang w:val="it-IT"/>
        </w:rPr>
        <w:t>în vederea înscrierii acestora în program.</w:t>
      </w:r>
    </w:p>
    <w:p w:rsidR="006B07BE" w:rsidRPr="00E64932" w:rsidRDefault="006B07BE" w:rsidP="006B07BE">
      <w:pPr>
        <w:tabs>
          <w:tab w:val="left" w:pos="660"/>
        </w:tabs>
        <w:jc w:val="both"/>
      </w:pPr>
      <w:r w:rsidRPr="00E64932">
        <w:rPr>
          <w:lang w:val="it-IT"/>
        </w:rPr>
        <w:lastRenderedPageBreak/>
        <w:tab/>
      </w:r>
      <w:r w:rsidRPr="00E64932">
        <w:t>Cu sprijinul Direcției Informatică a fost concepută aplicația informatică sub numele de PEVAUTO (Program Eco-Vouchere Autovehicule), creată cu scopul înscrierii persoanelor în program, centralizarea informațiilor în cadrul structurilor coordonatoare cu privire la datele completate de către persoanele participante la Program, precum și încărcarea documentelor online  prin intermediul linkului unic transmis pe adresa de e-mail utilizată la momentul înregistrării, ulterior</w:t>
      </w:r>
    </w:p>
    <w:p w:rsidR="006B07BE" w:rsidRPr="00E64932" w:rsidRDefault="006B07BE" w:rsidP="006B07BE">
      <w:pPr>
        <w:tabs>
          <w:tab w:val="left" w:pos="660"/>
        </w:tabs>
        <w:jc w:val="both"/>
        <w:rPr>
          <w:lang w:val="it-IT"/>
        </w:rPr>
      </w:pPr>
      <w:r w:rsidRPr="00E64932">
        <w:t xml:space="preserve"> publicării listei finale cu proprietarii acceptați în program.</w:t>
      </w:r>
    </w:p>
    <w:p w:rsidR="006B07BE" w:rsidRPr="00E64932" w:rsidRDefault="006B07BE" w:rsidP="006B07BE">
      <w:pPr>
        <w:jc w:val="both"/>
      </w:pPr>
      <w:r w:rsidRPr="00E64932">
        <w:tab/>
        <w:t xml:space="preserve">Primăria Municipiului București a anunțat printr-un comunicat de presă lansarea sesiunii de înscrieri pentru ”Programul de stimulare a eliminarii din traficul bucurestean a autovehiculelor cu grad ridicat de poluare prin acordarea de eco-vouchere”, începând cu data de 25.10.2018, ora 18.00. </w:t>
      </w:r>
    </w:p>
    <w:p w:rsidR="006B07BE" w:rsidRPr="00E64932" w:rsidRDefault="006B07BE" w:rsidP="006B07BE">
      <w:pPr>
        <w:jc w:val="both"/>
      </w:pPr>
      <w:r w:rsidRPr="00E64932">
        <w:tab/>
        <w:t>Conform prevederilor Regulamentului, aplicația informatică PEVAUTO a permis înregistrarea a 6.000 de participanți, persoane fizice și persoane juridice. La atingerea acestui număr, aplicația a oprit automat procesul de înregistrare a participanților, prezentând în acest sens un mesaj de informare celor care se aflau în plin proces de completare a datelor. După finalizarea efectuării verificărilor condițiilor de eligibilitate a fost publicată, în data de 23.11.2018, lista celor 5.000 de proprietari acceptați în Program.</w:t>
      </w:r>
    </w:p>
    <w:p w:rsidR="00473E5C" w:rsidRDefault="006B07BE" w:rsidP="006B07BE">
      <w:pPr>
        <w:jc w:val="both"/>
        <w:rPr>
          <w:b/>
        </w:rPr>
      </w:pPr>
      <w:r w:rsidRPr="00E64932">
        <w:tab/>
        <w:t>În prezent, programul se află în etapa de depunere de către proprietarii acceptați în program, a dosarelor de acordare eco-vouchere la Centrul de Informare și Documentare pentru Relația cu Cetățenii al Primăriei Municipiului București și cu încărcarea documentelor de către aceștia în aplicația PEVAUTO, în paralel afându-se în curs de aprobare și procedura pentru achiziția de servicii de tipărire și livrare de eco-vouchere, precum și de servicii de selecție a unităților comerciale participante, colectarea, verificarea și predarea documentelor pentru decontarea eco-voucherelor în cadrul programului.</w:t>
      </w:r>
    </w:p>
    <w:p w:rsidR="00FE041F" w:rsidRPr="000E0AEE" w:rsidRDefault="00FE041F" w:rsidP="00A77970">
      <w:pPr>
        <w:jc w:val="both"/>
        <w:rPr>
          <w:b/>
        </w:rPr>
      </w:pPr>
    </w:p>
    <w:p w:rsidR="005C57E2" w:rsidRPr="00A47B36" w:rsidRDefault="005C57E2" w:rsidP="00A77970">
      <w:pPr>
        <w:pStyle w:val="ListParagraph"/>
        <w:numPr>
          <w:ilvl w:val="1"/>
          <w:numId w:val="5"/>
        </w:numPr>
        <w:ind w:left="709" w:hanging="709"/>
        <w:jc w:val="both"/>
        <w:rPr>
          <w:b/>
        </w:rPr>
      </w:pPr>
      <w:r w:rsidRPr="00A47B36">
        <w:rPr>
          <w:b/>
        </w:rPr>
        <w:t>Siguranța cetățeanului și nivelul de infracționalitate la nivelul municipiului București</w:t>
      </w:r>
    </w:p>
    <w:p w:rsidR="00C26E1E" w:rsidRDefault="00C26E1E" w:rsidP="00A77970">
      <w:pPr>
        <w:pStyle w:val="ListParagraph"/>
        <w:rPr>
          <w:b/>
        </w:rPr>
      </w:pPr>
    </w:p>
    <w:p w:rsidR="00A66032" w:rsidRPr="0014428E" w:rsidRDefault="0014428E" w:rsidP="00A77970">
      <w:pPr>
        <w:jc w:val="both"/>
        <w:rPr>
          <w:b/>
        </w:rPr>
      </w:pPr>
      <w:r>
        <w:rPr>
          <w:b/>
          <w:kern w:val="28"/>
          <w:lang w:val="en-US" w:eastAsia="en-US"/>
        </w:rPr>
        <w:t>P</w:t>
      </w:r>
      <w:r w:rsidRPr="001A0ECE">
        <w:rPr>
          <w:b/>
          <w:kern w:val="28"/>
          <w:lang w:val="en-US" w:eastAsia="en-US"/>
        </w:rPr>
        <w:t xml:space="preserve">rincipalele realizări </w:t>
      </w:r>
      <w:r>
        <w:rPr>
          <w:b/>
          <w:kern w:val="28"/>
          <w:lang w:val="en-US" w:eastAsia="en-US"/>
        </w:rPr>
        <w:t xml:space="preserve">ale </w:t>
      </w:r>
      <w:r w:rsidRPr="00197446">
        <w:rPr>
          <w:b/>
        </w:rPr>
        <w:t>Direcți</w:t>
      </w:r>
      <w:r>
        <w:rPr>
          <w:b/>
        </w:rPr>
        <w:t>ei</w:t>
      </w:r>
      <w:r w:rsidRPr="00197446">
        <w:rPr>
          <w:b/>
        </w:rPr>
        <w:t xml:space="preserve"> General</w:t>
      </w:r>
      <w:r>
        <w:rPr>
          <w:b/>
        </w:rPr>
        <w:t>e</w:t>
      </w:r>
      <w:r w:rsidRPr="00197446">
        <w:rPr>
          <w:b/>
        </w:rPr>
        <w:t xml:space="preserve"> </w:t>
      </w:r>
      <w:r>
        <w:rPr>
          <w:b/>
        </w:rPr>
        <w:t>d</w:t>
      </w:r>
      <w:r w:rsidRPr="00197446">
        <w:rPr>
          <w:b/>
        </w:rPr>
        <w:t xml:space="preserve">e Poliție </w:t>
      </w:r>
      <w:r>
        <w:rPr>
          <w:b/>
        </w:rPr>
        <w:t>a</w:t>
      </w:r>
      <w:r w:rsidRPr="00197446">
        <w:rPr>
          <w:b/>
        </w:rPr>
        <w:t xml:space="preserve"> Municipiului </w:t>
      </w:r>
      <w:r w:rsidRPr="0014428E">
        <w:rPr>
          <w:b/>
        </w:rPr>
        <w:t xml:space="preserve">București </w:t>
      </w:r>
      <w:r w:rsidR="00473E5C" w:rsidRPr="0014428E">
        <w:rPr>
          <w:b/>
        </w:rPr>
        <w:t>(D.G.P.M.B.)</w:t>
      </w:r>
    </w:p>
    <w:p w:rsidR="009F4081" w:rsidRDefault="009F4081" w:rsidP="00A77970">
      <w:pPr>
        <w:ind w:firstLine="720"/>
        <w:jc w:val="both"/>
        <w:rPr>
          <w:b/>
          <w:bCs/>
          <w:u w:val="single"/>
        </w:rPr>
      </w:pPr>
    </w:p>
    <w:p w:rsidR="00AE67BA" w:rsidRPr="00AE67BA" w:rsidRDefault="00AE67BA" w:rsidP="00AE67BA">
      <w:pPr>
        <w:ind w:firstLine="720"/>
        <w:jc w:val="both"/>
        <w:rPr>
          <w:bCs/>
        </w:rPr>
      </w:pPr>
      <w:r w:rsidRPr="00AE67BA">
        <w:rPr>
          <w:bCs/>
        </w:rPr>
        <w:t xml:space="preserve">În scopul prevenirii criminalității, Direcţia Generală de Poliţie a Municipiului Bucureşti a desfăşurat importante activităţi preventive, în contextul în care pentru aceasta nu au fost destinate alocări bugetare, eforturile concentrându-se în principal pe dezvoltarea de parteneriate cu autorităţile publice și cu societatea civilă. </w:t>
      </w:r>
    </w:p>
    <w:p w:rsidR="00AE67BA" w:rsidRPr="00AE67BA" w:rsidRDefault="00AE67BA" w:rsidP="00AE67BA">
      <w:pPr>
        <w:ind w:firstLine="720"/>
        <w:jc w:val="both"/>
        <w:rPr>
          <w:color w:val="000000" w:themeColor="text1"/>
        </w:rPr>
      </w:pPr>
      <w:r w:rsidRPr="00AE67BA">
        <w:rPr>
          <w:b/>
          <w:bCs/>
          <w:color w:val="000000" w:themeColor="text1"/>
        </w:rPr>
        <w:t>Proiectele derulate</w:t>
      </w:r>
      <w:r w:rsidRPr="00AE67BA">
        <w:rPr>
          <w:color w:val="000000" w:themeColor="text1"/>
        </w:rPr>
        <w:t xml:space="preserve"> au fost de o mare diversitate, au vizat punctual riscuri identificate în funcţie de dinamica infracţionalităţii şi de nevoile populaţiei, în 2018, acestea fiind: prevenirea delincvenţei juvenile şi a victimizării minorilor, prevenirea infracţiunilor contra patrimoniului, precum și a violenței în familie.</w:t>
      </w:r>
    </w:p>
    <w:p w:rsidR="00AE67BA" w:rsidRPr="00AE67BA" w:rsidRDefault="00AE67BA" w:rsidP="00AE67BA">
      <w:pPr>
        <w:ind w:firstLine="720"/>
        <w:jc w:val="both"/>
        <w:rPr>
          <w:b/>
          <w:color w:val="000000" w:themeColor="text1"/>
        </w:rPr>
      </w:pPr>
      <w:r w:rsidRPr="00AE67BA">
        <w:rPr>
          <w:color w:val="000000" w:themeColor="text1"/>
        </w:rPr>
        <w:t xml:space="preserve">O preocupare majoră a Poliției Capitalei a fost și este reprezentată de </w:t>
      </w:r>
      <w:r w:rsidRPr="00AE67BA">
        <w:rPr>
          <w:b/>
          <w:color w:val="000000" w:themeColor="text1"/>
        </w:rPr>
        <w:t>prevenirea infracțiunilor comise în instituțiile de învățământ</w:t>
      </w:r>
      <w:r w:rsidRPr="00AE67BA">
        <w:rPr>
          <w:color w:val="000000" w:themeColor="text1"/>
        </w:rPr>
        <w:t>, activitățile desfășurate punând accent pe crearea unui sistem multidisciplinar de intervenție preventivă în cazurile de bullying.</w:t>
      </w:r>
    </w:p>
    <w:p w:rsidR="00AE67BA" w:rsidRPr="00AE67BA" w:rsidRDefault="00AE67BA" w:rsidP="00AE67BA">
      <w:pPr>
        <w:ind w:firstLine="720"/>
        <w:jc w:val="both"/>
        <w:rPr>
          <w:b/>
        </w:rPr>
      </w:pPr>
      <w:r w:rsidRPr="00AE67BA">
        <w:t xml:space="preserve">Prioritățile pe linia prevenirii infracționalității au avut un rol important în menţinerea climatului de siguranţă publică dar mai ales în îmbunătățirea dialogului cu cetățenii, prin atragerea implicării active a acestora. Sfaturile preventive au ajuns în viaţa bucureștenilor, atât prin televiziuni, cât şi prin afişajul stradal sau prin cel din marile lanţuri de magazine, pentru informarea acestora fiind realizate </w:t>
      </w:r>
      <w:r w:rsidRPr="00AE67BA">
        <w:rPr>
          <w:b/>
        </w:rPr>
        <w:t xml:space="preserve">88 </w:t>
      </w:r>
      <w:r w:rsidRPr="00AE67BA">
        <w:t>de apariții radio,</w:t>
      </w:r>
      <w:r w:rsidRPr="00AE67BA">
        <w:rPr>
          <w:b/>
        </w:rPr>
        <w:t xml:space="preserve"> 20 </w:t>
      </w:r>
      <w:r w:rsidRPr="00AE67BA">
        <w:t>de apariții TV,</w:t>
      </w:r>
      <w:r w:rsidRPr="00AE67BA">
        <w:rPr>
          <w:b/>
        </w:rPr>
        <w:t xml:space="preserve"> 160 </w:t>
      </w:r>
      <w:r w:rsidRPr="00AE67BA">
        <w:t>de materiale educative audio-video,</w:t>
      </w:r>
      <w:r w:rsidRPr="00AE67BA">
        <w:rPr>
          <w:b/>
        </w:rPr>
        <w:t xml:space="preserve"> 36 </w:t>
      </w:r>
      <w:r w:rsidRPr="00AE67BA">
        <w:t>de filmări activități,</w:t>
      </w:r>
      <w:r w:rsidRPr="00AE67BA">
        <w:rPr>
          <w:b/>
        </w:rPr>
        <w:t xml:space="preserve"> 4 </w:t>
      </w:r>
      <w:r w:rsidRPr="00AE67BA">
        <w:t>spoturi video,</w:t>
      </w:r>
      <w:r w:rsidRPr="00AE67BA">
        <w:rPr>
          <w:b/>
        </w:rPr>
        <w:t xml:space="preserve"> 1 </w:t>
      </w:r>
      <w:r w:rsidRPr="00AE67BA">
        <w:t>spot audio,</w:t>
      </w:r>
      <w:r w:rsidRPr="00AE67BA">
        <w:rPr>
          <w:b/>
        </w:rPr>
        <w:t xml:space="preserve"> 29 </w:t>
      </w:r>
      <w:r w:rsidRPr="00AE67BA">
        <w:t>de afișe, din care</w:t>
      </w:r>
      <w:r w:rsidRPr="00AE67BA">
        <w:rPr>
          <w:b/>
        </w:rPr>
        <w:t xml:space="preserve"> </w:t>
      </w:r>
      <w:r w:rsidRPr="00AE67BA">
        <w:t>25 electronice, revista ”Prevenirea criminalității nr. 9/2018 în 1.000 exemplare,</w:t>
      </w:r>
      <w:r w:rsidRPr="00AE67BA">
        <w:rPr>
          <w:b/>
        </w:rPr>
        <w:t xml:space="preserve"> 166 </w:t>
      </w:r>
      <w:r w:rsidRPr="00AE67BA">
        <w:t xml:space="preserve">de articole on-line. </w:t>
      </w:r>
    </w:p>
    <w:p w:rsidR="00AE67BA" w:rsidRPr="00AE67BA" w:rsidRDefault="00AE67BA" w:rsidP="00AE67BA">
      <w:pPr>
        <w:ind w:firstLine="720"/>
        <w:jc w:val="both"/>
      </w:pPr>
      <w:r w:rsidRPr="00AE67BA">
        <w:t xml:space="preserve">În 2018, volumul activităţilor preventive în cadrul proiectului prioritar de prevenire a delincvenţei juvenile şi a victimizării minorilor s-a materializat în </w:t>
      </w:r>
      <w:r w:rsidRPr="00AE67BA">
        <w:rPr>
          <w:b/>
        </w:rPr>
        <w:t>875</w:t>
      </w:r>
      <w:r w:rsidRPr="00AE67BA">
        <w:t xml:space="preserve"> de activităţi desfăşurate cu </w:t>
      </w:r>
      <w:r w:rsidRPr="00AE67BA">
        <w:rPr>
          <w:b/>
        </w:rPr>
        <w:t>27.249 copii</w:t>
      </w:r>
      <w:r w:rsidRPr="00AE67BA">
        <w:t>, 1</w:t>
      </w:r>
      <w:r w:rsidRPr="00AE67BA">
        <w:rPr>
          <w:b/>
        </w:rPr>
        <w:t>.773 cadre didactice</w:t>
      </w:r>
      <w:r w:rsidRPr="00AE67BA">
        <w:t xml:space="preserve"> și </w:t>
      </w:r>
      <w:r w:rsidRPr="00AE67BA">
        <w:rPr>
          <w:b/>
        </w:rPr>
        <w:t>16.862</w:t>
      </w:r>
      <w:r w:rsidRPr="00AE67BA">
        <w:t xml:space="preserve"> utilizatori ai site-ului gandirefresh.ro, iar în cadrul proiectului prioritar de prevenire a infracţiunilor contra patrimoniului și prevenire violență în familie prin </w:t>
      </w:r>
      <w:r w:rsidRPr="00AE67BA">
        <w:rPr>
          <w:b/>
        </w:rPr>
        <w:t xml:space="preserve">100 </w:t>
      </w:r>
      <w:r w:rsidRPr="00AE67BA">
        <w:t xml:space="preserve">activităţi de informare publică, cu </w:t>
      </w:r>
      <w:r w:rsidRPr="00AE67BA">
        <w:rPr>
          <w:b/>
        </w:rPr>
        <w:t>41.598</w:t>
      </w:r>
      <w:r w:rsidRPr="00AE67BA">
        <w:t xml:space="preserve"> de beneficiari direcţi, precum și prin dezvoltarea de </w:t>
      </w:r>
      <w:r w:rsidRPr="00AE67BA">
        <w:rPr>
          <w:b/>
          <w:bCs/>
        </w:rPr>
        <w:t>parteneriate</w:t>
      </w:r>
      <w:r w:rsidRPr="00AE67BA">
        <w:t xml:space="preserve"> cu autorităţile centrale şi locale, cu inspectoratul şcolar, cu organizaţiile neguvernamentale </w:t>
      </w:r>
      <w:r w:rsidRPr="00AE67BA">
        <w:lastRenderedPageBreak/>
        <w:t>şi cu instituţii private (</w:t>
      </w:r>
      <w:r w:rsidRPr="00AE67BA">
        <w:rPr>
          <w:b/>
        </w:rPr>
        <w:t>22</w:t>
      </w:r>
      <w:r w:rsidRPr="00AE67BA">
        <w:t xml:space="preserve"> protocoale de colaborare încheiate cu societatea civilă , </w:t>
      </w:r>
      <w:r w:rsidRPr="00AE67BA">
        <w:rPr>
          <w:b/>
        </w:rPr>
        <w:t>36</w:t>
      </w:r>
      <w:r w:rsidRPr="00AE67BA">
        <w:t xml:space="preserve"> parteneri: instituţii, ONG-uri, parteneri din mediul privat).</w:t>
      </w:r>
    </w:p>
    <w:p w:rsidR="00AE67BA" w:rsidRPr="00AE67BA" w:rsidRDefault="00AE67BA" w:rsidP="00AE67BA">
      <w:pPr>
        <w:ind w:firstLine="720"/>
        <w:rPr>
          <w:b/>
          <w:bCs/>
          <w:u w:val="single"/>
        </w:rPr>
      </w:pPr>
      <w:r w:rsidRPr="00AE67BA">
        <w:rPr>
          <w:b/>
          <w:bCs/>
          <w:u w:val="single"/>
        </w:rPr>
        <w:t>COMBATEREA CRIMINALITĂŢII</w:t>
      </w:r>
    </w:p>
    <w:p w:rsidR="00AE67BA" w:rsidRPr="00AE67BA" w:rsidRDefault="00AE67BA" w:rsidP="00AE67BA">
      <w:pPr>
        <w:ind w:firstLine="720"/>
        <w:jc w:val="both"/>
      </w:pPr>
      <w:r w:rsidRPr="00AE67BA">
        <w:rPr>
          <w:b/>
          <w:bCs/>
        </w:rPr>
        <w:t xml:space="preserve">Combaterea criminalităţii în toate formele ei </w:t>
      </w:r>
      <w:r w:rsidRPr="00AE67BA">
        <w:rPr>
          <w:bCs/>
        </w:rPr>
        <w:t>a</w:t>
      </w:r>
      <w:r w:rsidRPr="00AE67BA">
        <w:rPr>
          <w:b/>
          <w:bCs/>
        </w:rPr>
        <w:t xml:space="preserve"> </w:t>
      </w:r>
      <w:r w:rsidRPr="00AE67BA">
        <w:rPr>
          <w:bCs/>
        </w:rPr>
        <w:t>constituit și constituie direcția principală de acțiune a Poliției Capitalei, drept pentru care</w:t>
      </w:r>
      <w:r w:rsidRPr="00AE67BA">
        <w:rPr>
          <w:b/>
          <w:bCs/>
        </w:rPr>
        <w:t xml:space="preserve"> </w:t>
      </w:r>
      <w:r w:rsidRPr="00AE67BA">
        <w:rPr>
          <w:bCs/>
        </w:rPr>
        <w:t>au fost alocate și angrenate cele mai multe resurse instituţionale, astfel încât</w:t>
      </w:r>
      <w:r w:rsidRPr="00AE67BA">
        <w:rPr>
          <w:b/>
          <w:bCs/>
        </w:rPr>
        <w:t xml:space="preserve"> </w:t>
      </w:r>
      <w:r w:rsidRPr="00AE67BA">
        <w:rPr>
          <w:bCs/>
        </w:rPr>
        <w:t>coroborat cu</w:t>
      </w:r>
      <w:r w:rsidRPr="00AE67BA">
        <w:rPr>
          <w:b/>
          <w:bCs/>
        </w:rPr>
        <w:t xml:space="preserve"> </w:t>
      </w:r>
      <w:r w:rsidRPr="00AE67BA">
        <w:rPr>
          <w:bCs/>
        </w:rPr>
        <w:t>m</w:t>
      </w:r>
      <w:r w:rsidRPr="00AE67BA">
        <w:t xml:space="preserve">ăsurile manageriale dispuse și eforturile concentrate ale tuturor poliţiştilor să conducă la diminuarea fenomenului  infracţional pe majoritatea elementelor sale. </w:t>
      </w:r>
    </w:p>
    <w:p w:rsidR="00AE67BA" w:rsidRPr="00AE67BA" w:rsidRDefault="00AE67BA" w:rsidP="00AE67BA">
      <w:pPr>
        <w:ind w:firstLine="720"/>
        <w:jc w:val="both"/>
        <w:rPr>
          <w:bCs/>
        </w:rPr>
      </w:pPr>
      <w:r w:rsidRPr="00AE67BA">
        <w:rPr>
          <w:bCs/>
        </w:rPr>
        <w:t xml:space="preserve">Faţă de anul anterior, </w:t>
      </w:r>
      <w:r w:rsidRPr="00AE67BA">
        <w:rPr>
          <w:b/>
          <w:bCs/>
        </w:rPr>
        <w:t>nivelul infracţionalităţii sesizate</w:t>
      </w:r>
      <w:r w:rsidRPr="00AE67BA">
        <w:rPr>
          <w:bCs/>
        </w:rPr>
        <w:t xml:space="preserve">, înregistrează o creștere de </w:t>
      </w:r>
      <w:r w:rsidRPr="00AE67BA">
        <w:rPr>
          <w:b/>
          <w:bCs/>
        </w:rPr>
        <w:t>4,6%</w:t>
      </w:r>
      <w:r w:rsidRPr="00AE67BA">
        <w:rPr>
          <w:bCs/>
        </w:rPr>
        <w:t xml:space="preserve">, ponderea principală fiind constituită de infracționalitatea de natură judiciară </w:t>
      </w:r>
      <w:r w:rsidRPr="00AE67BA">
        <w:rPr>
          <w:b/>
          <w:bCs/>
        </w:rPr>
        <w:t>67,7%</w:t>
      </w:r>
      <w:r w:rsidRPr="00AE67BA">
        <w:rPr>
          <w:bCs/>
        </w:rPr>
        <w:t>, iar restul îl reprezintă infracțiunile economico-financiare și de altă natură.</w:t>
      </w:r>
    </w:p>
    <w:p w:rsidR="00AE67BA" w:rsidRPr="00AE67BA" w:rsidRDefault="00AE67BA" w:rsidP="00AE67BA">
      <w:pPr>
        <w:autoSpaceDE w:val="0"/>
        <w:autoSpaceDN w:val="0"/>
        <w:adjustRightInd w:val="0"/>
        <w:jc w:val="right"/>
        <w:rPr>
          <w:b/>
        </w:rPr>
      </w:pPr>
      <w:r w:rsidRPr="00AE67BA">
        <w:rPr>
          <w:b/>
        </w:rPr>
        <w:t>TOTAL INFRACŢIUNI SESIZATE</w:t>
      </w:r>
    </w:p>
    <w:p w:rsidR="00AE67BA" w:rsidRPr="00AE67BA" w:rsidRDefault="00AE67BA" w:rsidP="00AE67BA">
      <w:pPr>
        <w:autoSpaceDE w:val="0"/>
        <w:autoSpaceDN w:val="0"/>
        <w:adjustRightInd w:val="0"/>
        <w:jc w:val="right"/>
        <w:rPr>
          <w:b/>
        </w:rPr>
      </w:pPr>
      <w:r w:rsidRPr="00AE67BA">
        <w:rPr>
          <w:b/>
          <w:noProof/>
        </w:rPr>
        <w:drawing>
          <wp:inline distT="0" distB="0" distL="0" distR="0">
            <wp:extent cx="6410325" cy="1543050"/>
            <wp:effectExtent l="0" t="0" r="0" b="0"/>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E67BA" w:rsidRPr="00AE67BA" w:rsidRDefault="00AE67BA" w:rsidP="00AE67BA">
      <w:pPr>
        <w:autoSpaceDE w:val="0"/>
        <w:autoSpaceDN w:val="0"/>
        <w:adjustRightInd w:val="0"/>
        <w:jc w:val="right"/>
        <w:rPr>
          <w:b/>
        </w:rPr>
      </w:pPr>
    </w:p>
    <w:p w:rsidR="00AE67BA" w:rsidRPr="00AE67BA" w:rsidRDefault="00AE67BA" w:rsidP="00AE67BA">
      <w:pPr>
        <w:ind w:firstLine="720"/>
        <w:jc w:val="both"/>
      </w:pPr>
      <w:r w:rsidRPr="00AE67BA">
        <w:t>Volumul</w:t>
      </w:r>
      <w:r w:rsidRPr="00AE67BA">
        <w:rPr>
          <w:color w:val="FF0000"/>
        </w:rPr>
        <w:t xml:space="preserve"> </w:t>
      </w:r>
      <w:r w:rsidRPr="00AE67BA">
        <w:t xml:space="preserve">activităţilor de cercetare penală desfăşurate de poliţiştii bucureşteni s-a materializat în soluționarea a aproximativ </w:t>
      </w:r>
      <w:r w:rsidRPr="00AE67BA">
        <w:rPr>
          <w:b/>
        </w:rPr>
        <w:t>67.488</w:t>
      </w:r>
      <w:r w:rsidRPr="00AE67BA">
        <w:t xml:space="preserve"> de </w:t>
      </w:r>
      <w:r w:rsidRPr="00AE67BA">
        <w:rPr>
          <w:bCs/>
        </w:rPr>
        <w:t xml:space="preserve">cauze din care 3.599 au fost soluționate cu trimitere în judecată. </w:t>
      </w:r>
      <w:r w:rsidRPr="00AE67BA">
        <w:t xml:space="preserve"> În 2018, au fost </w:t>
      </w:r>
      <w:r w:rsidRPr="00AE67BA">
        <w:rPr>
          <w:b/>
        </w:rPr>
        <w:t>cercetați 7.677 suspecți</w:t>
      </w:r>
      <w:r w:rsidRPr="00AE67BA">
        <w:t xml:space="preserve">, față de </w:t>
      </w:r>
      <w:r w:rsidRPr="00AE67BA">
        <w:rPr>
          <w:b/>
        </w:rPr>
        <w:t>2.370</w:t>
      </w:r>
      <w:r w:rsidRPr="00AE67BA">
        <w:t xml:space="preserve"> persoane au fost dispuse măsuri preventive.</w:t>
      </w:r>
      <w:r w:rsidRPr="00AE67BA">
        <w:rPr>
          <w:b/>
        </w:rPr>
        <w:t xml:space="preserve"> </w:t>
      </w:r>
      <w:r w:rsidRPr="00AE67BA">
        <w:t xml:space="preserve"> </w:t>
      </w:r>
    </w:p>
    <w:p w:rsidR="00AE67BA" w:rsidRPr="00AE67BA" w:rsidRDefault="00AE67BA" w:rsidP="00AE67BA">
      <w:pPr>
        <w:ind w:firstLine="720"/>
        <w:jc w:val="both"/>
        <w:rPr>
          <w:b/>
          <w:bCs/>
          <w:color w:val="000000" w:themeColor="text1"/>
        </w:rPr>
      </w:pPr>
      <w:r w:rsidRPr="00AE67BA">
        <w:rPr>
          <w:color w:val="000000" w:themeColor="text1"/>
        </w:rPr>
        <w:t xml:space="preserve">În prezent, un poliţist judiciar are în lucru, în medie, aproximativ </w:t>
      </w:r>
      <w:r w:rsidRPr="00AE67BA">
        <w:rPr>
          <w:b/>
          <w:bCs/>
          <w:color w:val="000000" w:themeColor="text1"/>
        </w:rPr>
        <w:t>121</w:t>
      </w:r>
      <w:r w:rsidRPr="00AE67BA">
        <w:rPr>
          <w:color w:val="000000" w:themeColor="text1"/>
        </w:rPr>
        <w:t xml:space="preserve"> de dosare penale.</w:t>
      </w:r>
    </w:p>
    <w:p w:rsidR="00AE67BA" w:rsidRPr="00AE67BA" w:rsidRDefault="00AE67BA" w:rsidP="00AE67BA">
      <w:pPr>
        <w:ind w:firstLine="720"/>
        <w:jc w:val="both"/>
        <w:rPr>
          <w:bCs/>
        </w:rPr>
      </w:pPr>
      <w:r w:rsidRPr="00AE67BA">
        <w:rPr>
          <w:bCs/>
        </w:rPr>
        <w:t xml:space="preserve">Pentru </w:t>
      </w:r>
      <w:r w:rsidRPr="00AE67BA">
        <w:rPr>
          <w:b/>
          <w:bCs/>
        </w:rPr>
        <w:t>combaterea criminalității</w:t>
      </w:r>
      <w:r w:rsidRPr="00AE67BA">
        <w:rPr>
          <w:bCs/>
        </w:rPr>
        <w:t xml:space="preserve">, Poliția Capitalei angrenează structuri de </w:t>
      </w:r>
      <w:r w:rsidRPr="00AE67BA">
        <w:rPr>
          <w:b/>
          <w:bCs/>
        </w:rPr>
        <w:t>investigații criminale</w:t>
      </w:r>
      <w:r w:rsidRPr="00AE67BA">
        <w:rPr>
          <w:bCs/>
        </w:rPr>
        <w:t xml:space="preserve">, </w:t>
      </w:r>
      <w:r w:rsidRPr="00AE67BA">
        <w:rPr>
          <w:b/>
          <w:bCs/>
        </w:rPr>
        <w:t>investigarea criminalității economice</w:t>
      </w:r>
      <w:r w:rsidRPr="00AE67BA">
        <w:rPr>
          <w:bCs/>
        </w:rPr>
        <w:t xml:space="preserve">, </w:t>
      </w:r>
      <w:r w:rsidRPr="00AE67BA">
        <w:rPr>
          <w:b/>
          <w:bCs/>
        </w:rPr>
        <w:t>de ordine publică</w:t>
      </w:r>
      <w:r w:rsidRPr="00AE67BA">
        <w:rPr>
          <w:bCs/>
        </w:rPr>
        <w:t xml:space="preserve"> și de </w:t>
      </w:r>
      <w:r w:rsidRPr="00AE67BA">
        <w:rPr>
          <w:b/>
          <w:bCs/>
        </w:rPr>
        <w:t>poliţie rutieră</w:t>
      </w:r>
      <w:r w:rsidRPr="00AE67BA">
        <w:rPr>
          <w:bCs/>
        </w:rPr>
        <w:t>, care sunt sprijinite de structurile de suport.</w:t>
      </w:r>
    </w:p>
    <w:p w:rsidR="00AE67BA" w:rsidRPr="00AE67BA" w:rsidRDefault="00AE67BA" w:rsidP="00AE67BA">
      <w:pPr>
        <w:ind w:firstLine="720"/>
        <w:rPr>
          <w:b/>
          <w:bCs/>
          <w:u w:val="single"/>
        </w:rPr>
      </w:pPr>
      <w:r w:rsidRPr="00AE67BA">
        <w:rPr>
          <w:b/>
          <w:bCs/>
          <w:u w:val="single"/>
        </w:rPr>
        <w:t>INVESTIGAȚII CRIMINALE</w:t>
      </w:r>
    </w:p>
    <w:p w:rsidR="00AE67BA" w:rsidRPr="00AE67BA" w:rsidRDefault="00AE67BA" w:rsidP="00AE67BA">
      <w:pPr>
        <w:ind w:firstLine="720"/>
        <w:jc w:val="both"/>
        <w:rPr>
          <w:bCs/>
        </w:rPr>
      </w:pPr>
      <w:r w:rsidRPr="00AE67BA">
        <w:rPr>
          <w:b/>
          <w:bCs/>
        </w:rPr>
        <w:t>Investigațiile criminale</w:t>
      </w:r>
      <w:r w:rsidRPr="00AE67BA">
        <w:rPr>
          <w:bCs/>
        </w:rPr>
        <w:t xml:space="preserve"> sunt structurate pe trei nivele: central, sector și secție, procentul de încadrare al acestora fiind de </w:t>
      </w:r>
      <w:r w:rsidRPr="00AE67BA">
        <w:rPr>
          <w:b/>
          <w:bCs/>
        </w:rPr>
        <w:t>84%</w:t>
      </w:r>
      <w:r w:rsidRPr="00AE67BA">
        <w:rPr>
          <w:bCs/>
        </w:rPr>
        <w:t>.</w:t>
      </w:r>
    </w:p>
    <w:p w:rsidR="00AE67BA" w:rsidRPr="00AE67BA" w:rsidRDefault="00AE67BA" w:rsidP="00AE67BA">
      <w:pPr>
        <w:ind w:firstLine="720"/>
        <w:jc w:val="both"/>
        <w:rPr>
          <w:bCs/>
        </w:rPr>
      </w:pPr>
      <w:r w:rsidRPr="00AE67BA">
        <w:t xml:space="preserve">Infracțiunile de natură judiciară, ce reprezintă ponderea cea mai mare din infracționalitatea sesizată, înregistrează o ușoară creștere de </w:t>
      </w:r>
      <w:r w:rsidRPr="00AE67BA">
        <w:rPr>
          <w:b/>
        </w:rPr>
        <w:t xml:space="preserve">0,59%. </w:t>
      </w:r>
      <w:r w:rsidRPr="00AE67BA">
        <w:rPr>
          <w:bCs/>
        </w:rPr>
        <w:t xml:space="preserve">Din totalul acestora, </w:t>
      </w:r>
      <w:r w:rsidRPr="00AE67BA">
        <w:rPr>
          <w:b/>
          <w:bCs/>
        </w:rPr>
        <w:t>54% sunt infracțiuni cu autor necunoscut</w:t>
      </w:r>
      <w:r w:rsidRPr="00AE67BA">
        <w:rPr>
          <w:bCs/>
        </w:rPr>
        <w:t>.</w:t>
      </w:r>
    </w:p>
    <w:p w:rsidR="00AE67BA" w:rsidRPr="00AE67BA" w:rsidRDefault="00AE67BA" w:rsidP="00AE67BA">
      <w:pPr>
        <w:ind w:firstLine="720"/>
        <w:jc w:val="right"/>
        <w:rPr>
          <w:b/>
        </w:rPr>
      </w:pPr>
      <w:r w:rsidRPr="00AE67BA">
        <w:rPr>
          <w:b/>
        </w:rPr>
        <w:t>INFRACȚIUNI DE NATURĂ JUDICIARĂ</w:t>
      </w:r>
    </w:p>
    <w:p w:rsidR="00AE67BA" w:rsidRPr="00AE67BA" w:rsidRDefault="00AE67BA" w:rsidP="00AE67BA">
      <w:pPr>
        <w:ind w:firstLine="720"/>
        <w:jc w:val="right"/>
        <w:rPr>
          <w:b/>
        </w:rPr>
      </w:pPr>
    </w:p>
    <w:p w:rsidR="00AE67BA" w:rsidRPr="00AE67BA" w:rsidRDefault="00AE67BA" w:rsidP="00AE67BA">
      <w:pPr>
        <w:tabs>
          <w:tab w:val="left" w:pos="284"/>
          <w:tab w:val="left" w:pos="426"/>
        </w:tabs>
        <w:jc w:val="right"/>
        <w:rPr>
          <w:b/>
        </w:rPr>
      </w:pPr>
      <w:r w:rsidRPr="00AE67BA">
        <w:rPr>
          <w:b/>
          <w:noProof/>
        </w:rPr>
        <w:drawing>
          <wp:inline distT="0" distB="0" distL="0" distR="0">
            <wp:extent cx="6438900" cy="1571625"/>
            <wp:effectExtent l="0" t="0" r="0" b="0"/>
            <wp:docPr id="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E67BA" w:rsidRDefault="00AE67BA" w:rsidP="00AE67BA">
      <w:pPr>
        <w:ind w:firstLine="720"/>
        <w:jc w:val="both"/>
      </w:pPr>
      <w:r w:rsidRPr="00AE67BA">
        <w:rPr>
          <w:b/>
        </w:rPr>
        <w:t>Infracţiunile contra persoanei</w:t>
      </w:r>
      <w:r w:rsidRPr="00AE67BA">
        <w:t xml:space="preserve"> au înregistrat o creştere cu </w:t>
      </w:r>
      <w:r w:rsidRPr="00AE67BA">
        <w:rPr>
          <w:b/>
        </w:rPr>
        <w:t>15%</w:t>
      </w:r>
      <w:r w:rsidRPr="00AE67BA">
        <w:t xml:space="preserve">, un procent semnificativ dintre acestea, aproximativ </w:t>
      </w:r>
      <w:r w:rsidRPr="00AE67BA">
        <w:rPr>
          <w:b/>
        </w:rPr>
        <w:t>62%</w:t>
      </w:r>
      <w:r w:rsidRPr="00AE67BA">
        <w:t>, fiind fapte cu pericol social redus (loviri sau alte violențe și amenințări).</w:t>
      </w:r>
    </w:p>
    <w:p w:rsidR="00AE67BA" w:rsidRPr="00AE67BA" w:rsidRDefault="00AE67BA" w:rsidP="00AE67BA">
      <w:pPr>
        <w:ind w:firstLine="720"/>
        <w:jc w:val="both"/>
      </w:pPr>
    </w:p>
    <w:p w:rsidR="00AE67BA" w:rsidRPr="00AE67BA" w:rsidRDefault="00AE67BA" w:rsidP="00AE67BA">
      <w:pPr>
        <w:ind w:firstLine="720"/>
        <w:jc w:val="right"/>
        <w:rPr>
          <w:b/>
        </w:rPr>
      </w:pPr>
      <w:r w:rsidRPr="00AE67BA">
        <w:rPr>
          <w:b/>
        </w:rPr>
        <w:t>INFRACŢIUNI CONTRA PERSOANEI</w:t>
      </w:r>
    </w:p>
    <w:p w:rsidR="00AE67BA" w:rsidRPr="00AE67BA" w:rsidRDefault="00AE67BA" w:rsidP="00AE67BA">
      <w:pPr>
        <w:jc w:val="right"/>
        <w:rPr>
          <w:b/>
        </w:rPr>
      </w:pPr>
      <w:r w:rsidRPr="00AE67BA">
        <w:rPr>
          <w:b/>
          <w:noProof/>
        </w:rPr>
        <w:lastRenderedPageBreak/>
        <w:drawing>
          <wp:inline distT="0" distB="0" distL="0" distR="0">
            <wp:extent cx="6438900" cy="1447800"/>
            <wp:effectExtent l="0" t="0" r="0" b="0"/>
            <wp:docPr id="3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E67BA" w:rsidRPr="00AE67BA" w:rsidRDefault="00AE67BA" w:rsidP="00AE67BA">
      <w:pPr>
        <w:ind w:firstLine="720"/>
        <w:jc w:val="both"/>
      </w:pPr>
      <w:r w:rsidRPr="00AE67BA">
        <w:t xml:space="preserve">Cauzele de </w:t>
      </w:r>
      <w:r w:rsidRPr="00AE67BA">
        <w:rPr>
          <w:b/>
        </w:rPr>
        <w:t>criminalitate gravă,</w:t>
      </w:r>
      <w:r w:rsidRPr="00AE67BA">
        <w:t xml:space="preserve"> comisă cu violenţă, au constituit o prioritate pentru Poliţia Capitalei, astfel că la sfârșitul anului 2018 statistica evidențiază </w:t>
      </w:r>
      <w:r w:rsidRPr="00AE67BA">
        <w:rPr>
          <w:b/>
        </w:rPr>
        <w:t>un singur autor de omor care nu a fost identificat,</w:t>
      </w:r>
      <w:r w:rsidRPr="00AE67BA">
        <w:t xml:space="preserve"> </w:t>
      </w:r>
      <w:r w:rsidRPr="00AE67BA">
        <w:rPr>
          <w:b/>
        </w:rPr>
        <w:t>fapta fiind comisă în luna decembrie.</w:t>
      </w:r>
      <w:r w:rsidRPr="00AE67BA">
        <w:t xml:space="preserve"> </w:t>
      </w:r>
    </w:p>
    <w:p w:rsidR="00AE67BA" w:rsidRPr="00AE67BA" w:rsidRDefault="00AE67BA" w:rsidP="00AE67BA">
      <w:pPr>
        <w:ind w:firstLine="720"/>
        <w:jc w:val="both"/>
      </w:pPr>
      <w:r w:rsidRPr="00AE67BA">
        <w:rPr>
          <w:b/>
        </w:rPr>
        <w:t>Infracţiunile</w:t>
      </w:r>
      <w:r w:rsidRPr="00AE67BA">
        <w:t xml:space="preserve"> sesizate </w:t>
      </w:r>
      <w:r w:rsidRPr="00AE67BA">
        <w:rPr>
          <w:b/>
        </w:rPr>
        <w:t>contra patrimoniului</w:t>
      </w:r>
      <w:r w:rsidRPr="00AE67BA">
        <w:t xml:space="preserve"> se situează pe un trend descendent,  cu </w:t>
      </w:r>
      <w:r w:rsidRPr="00AE67BA">
        <w:rPr>
          <w:b/>
        </w:rPr>
        <w:t>2.79%</w:t>
      </w:r>
      <w:r w:rsidRPr="00AE67BA">
        <w:t xml:space="preserve"> mai puţine fapte. Dintre acestea, </w:t>
      </w:r>
      <w:r w:rsidRPr="00AE67BA">
        <w:rPr>
          <w:b/>
        </w:rPr>
        <w:t>infracțiunea de furt</w:t>
      </w:r>
      <w:r w:rsidRPr="00AE67BA">
        <w:t xml:space="preserve"> reprezintă ponderea cea mai mare din totalul faptelor penale înregistrate, urmat de distrugere şi de înşelăciune. Tâlhăriile reprezentând numai </w:t>
      </w:r>
      <w:r w:rsidRPr="00AE67BA">
        <w:rPr>
          <w:b/>
        </w:rPr>
        <w:t>1,5%</w:t>
      </w:r>
      <w:r w:rsidRPr="00AE67BA">
        <w:t xml:space="preserve"> din totalul infracţiunilor contra patrimoniului.</w:t>
      </w:r>
    </w:p>
    <w:p w:rsidR="00AE67BA" w:rsidRPr="00AE67BA" w:rsidRDefault="00AE67BA" w:rsidP="00AE67BA">
      <w:pPr>
        <w:ind w:firstLine="720"/>
        <w:jc w:val="right"/>
        <w:rPr>
          <w:b/>
        </w:rPr>
      </w:pPr>
      <w:r w:rsidRPr="00AE67BA">
        <w:rPr>
          <w:b/>
        </w:rPr>
        <w:t>INFRACŢIUNI CONTRA PATRIMONIULUI</w:t>
      </w:r>
    </w:p>
    <w:p w:rsidR="00AE67BA" w:rsidRPr="00AE67BA" w:rsidRDefault="00AE67BA" w:rsidP="00AE67BA">
      <w:pPr>
        <w:ind w:firstLine="720"/>
        <w:jc w:val="right"/>
        <w:rPr>
          <w:b/>
        </w:rPr>
      </w:pPr>
    </w:p>
    <w:p w:rsidR="00AE67BA" w:rsidRPr="00AE67BA" w:rsidRDefault="00AE67BA" w:rsidP="00AE67BA">
      <w:pPr>
        <w:tabs>
          <w:tab w:val="left" w:pos="142"/>
        </w:tabs>
        <w:jc w:val="right"/>
        <w:rPr>
          <w:b/>
        </w:rPr>
      </w:pPr>
      <w:r w:rsidRPr="00AE67BA">
        <w:rPr>
          <w:b/>
          <w:noProof/>
        </w:rPr>
        <w:drawing>
          <wp:inline distT="0" distB="0" distL="0" distR="0">
            <wp:extent cx="6486525" cy="1428750"/>
            <wp:effectExtent l="0" t="0" r="0" b="0"/>
            <wp:docPr id="3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E67BA" w:rsidRPr="00AE67BA" w:rsidRDefault="00AE67BA" w:rsidP="00AE67BA">
      <w:pPr>
        <w:ind w:firstLine="720"/>
        <w:jc w:val="both"/>
        <w:rPr>
          <w:b/>
        </w:rPr>
      </w:pPr>
    </w:p>
    <w:p w:rsidR="00AE67BA" w:rsidRPr="00AE67BA" w:rsidRDefault="00AE67BA" w:rsidP="00AE67BA">
      <w:pPr>
        <w:ind w:firstLine="720"/>
        <w:jc w:val="both"/>
      </w:pPr>
      <w:r w:rsidRPr="00AE67BA">
        <w:rPr>
          <w:b/>
        </w:rPr>
        <w:t>Infracţiunile de furt</w:t>
      </w:r>
      <w:r w:rsidRPr="00AE67BA">
        <w:t xml:space="preserve"> înregistrează valori inferioare cu </w:t>
      </w:r>
      <w:r w:rsidRPr="00AE67BA">
        <w:rPr>
          <w:b/>
        </w:rPr>
        <w:t>6 %</w:t>
      </w:r>
      <w:r w:rsidRPr="00AE67BA">
        <w:t xml:space="preserve">, cele mai multe fapte  fiind furturile din societăți comerciale în procent de </w:t>
      </w:r>
      <w:r w:rsidRPr="00AE67BA">
        <w:rPr>
          <w:b/>
        </w:rPr>
        <w:t>22%</w:t>
      </w:r>
      <w:r w:rsidRPr="00AE67BA">
        <w:t xml:space="preserve">. </w:t>
      </w:r>
    </w:p>
    <w:p w:rsidR="00AE67BA" w:rsidRPr="00AE67BA" w:rsidRDefault="00AE67BA" w:rsidP="00AE67BA">
      <w:pPr>
        <w:ind w:firstLine="720"/>
        <w:jc w:val="right"/>
        <w:rPr>
          <w:b/>
        </w:rPr>
      </w:pPr>
      <w:r w:rsidRPr="00AE67BA">
        <w:rPr>
          <w:b/>
        </w:rPr>
        <w:t>FURTUL</w:t>
      </w:r>
    </w:p>
    <w:p w:rsidR="00AE67BA" w:rsidRPr="00AE67BA" w:rsidRDefault="00AE67BA" w:rsidP="00AE67BA">
      <w:pPr>
        <w:ind w:firstLine="720"/>
        <w:jc w:val="right"/>
        <w:rPr>
          <w:b/>
        </w:rPr>
      </w:pPr>
    </w:p>
    <w:p w:rsidR="00AE67BA" w:rsidRPr="00AE67BA" w:rsidRDefault="00AE67BA" w:rsidP="00AE67BA">
      <w:pPr>
        <w:ind w:hanging="142"/>
        <w:jc w:val="right"/>
        <w:rPr>
          <w:b/>
        </w:rPr>
      </w:pPr>
      <w:r w:rsidRPr="00AE67BA">
        <w:rPr>
          <w:b/>
          <w:noProof/>
        </w:rPr>
        <w:drawing>
          <wp:inline distT="0" distB="0" distL="0" distR="0">
            <wp:extent cx="6467475" cy="1295400"/>
            <wp:effectExtent l="0" t="0" r="0" b="0"/>
            <wp:docPr id="33"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E67BA" w:rsidRPr="00AE67BA" w:rsidRDefault="00AE67BA" w:rsidP="00AE67BA">
      <w:pPr>
        <w:ind w:firstLine="720"/>
        <w:jc w:val="both"/>
        <w:rPr>
          <w:b/>
        </w:rPr>
      </w:pPr>
    </w:p>
    <w:p w:rsidR="00AE67BA" w:rsidRPr="00AE67BA" w:rsidRDefault="00AE67BA" w:rsidP="00AE67BA">
      <w:pPr>
        <w:ind w:firstLine="720"/>
        <w:jc w:val="both"/>
      </w:pPr>
      <w:r w:rsidRPr="00AE67BA">
        <w:t>În dosarele</w:t>
      </w:r>
      <w:r w:rsidRPr="00AE67BA">
        <w:rPr>
          <w:b/>
        </w:rPr>
        <w:t xml:space="preserve"> </w:t>
      </w:r>
      <w:r w:rsidRPr="00AE67BA">
        <w:t>penale de furt</w:t>
      </w:r>
      <w:r w:rsidRPr="00AE67BA">
        <w:rPr>
          <w:b/>
        </w:rPr>
        <w:t xml:space="preserve"> </w:t>
      </w:r>
      <w:r w:rsidRPr="00AE67BA">
        <w:t>au fost</w:t>
      </w:r>
      <w:r w:rsidRPr="00AE67BA">
        <w:rPr>
          <w:b/>
        </w:rPr>
        <w:t xml:space="preserve"> </w:t>
      </w:r>
      <w:r w:rsidRPr="00AE67BA">
        <w:t>cercetați</w:t>
      </w:r>
      <w:r w:rsidRPr="00AE67BA">
        <w:rPr>
          <w:b/>
        </w:rPr>
        <w:t xml:space="preserve"> 3.056 suspecți</w:t>
      </w:r>
      <w:r w:rsidRPr="00AE67BA">
        <w:t xml:space="preserve">, iar împotriva a </w:t>
      </w:r>
      <w:r w:rsidRPr="00AE67BA">
        <w:rPr>
          <w:b/>
        </w:rPr>
        <w:t xml:space="preserve">1.242 persoane </w:t>
      </w:r>
      <w:r w:rsidRPr="00AE67BA">
        <w:t xml:space="preserve">au fost dispuse măsuri preventive pentru săvârșirea </w:t>
      </w:r>
      <w:r w:rsidRPr="00AE67BA">
        <w:rPr>
          <w:b/>
        </w:rPr>
        <w:t>infracțiunii de furt</w:t>
      </w:r>
      <w:r w:rsidRPr="00AE67BA">
        <w:t xml:space="preserve">. </w:t>
      </w:r>
    </w:p>
    <w:p w:rsidR="00AE67BA" w:rsidRPr="00AE67BA" w:rsidRDefault="00AE67BA" w:rsidP="00AE67BA">
      <w:pPr>
        <w:ind w:firstLine="720"/>
        <w:jc w:val="both"/>
      </w:pPr>
      <w:r w:rsidRPr="00AE67BA">
        <w:rPr>
          <w:b/>
        </w:rPr>
        <w:t>Furturile din locuințe</w:t>
      </w:r>
      <w:r w:rsidRPr="00AE67BA">
        <w:t xml:space="preserve"> au înregistrat o ușoară creștere de </w:t>
      </w:r>
      <w:r w:rsidRPr="00AE67BA">
        <w:rPr>
          <w:b/>
        </w:rPr>
        <w:t>0,6%</w:t>
      </w:r>
      <w:r w:rsidRPr="00AE67BA">
        <w:t xml:space="preserve">, cea mai mare pondere fiind reprezentată de cele săvârșite </w:t>
      </w:r>
      <w:r w:rsidRPr="00AE67BA">
        <w:rPr>
          <w:bCs/>
        </w:rPr>
        <w:t xml:space="preserve">prin împrietenire, respectiv </w:t>
      </w:r>
      <w:r w:rsidRPr="00AE67BA">
        <w:rPr>
          <w:b/>
        </w:rPr>
        <w:t>23%</w:t>
      </w:r>
      <w:r w:rsidRPr="00AE67BA">
        <w:t xml:space="preserve"> din total. </w:t>
      </w:r>
    </w:p>
    <w:p w:rsidR="00AE67BA" w:rsidRPr="00AE67BA" w:rsidRDefault="00AE67BA" w:rsidP="00AE67BA">
      <w:pPr>
        <w:ind w:firstLine="720"/>
        <w:jc w:val="both"/>
      </w:pPr>
    </w:p>
    <w:p w:rsidR="00AE67BA" w:rsidRPr="00AE67BA" w:rsidRDefault="00AE67BA" w:rsidP="00AE67BA">
      <w:pPr>
        <w:ind w:firstLine="720"/>
        <w:jc w:val="both"/>
      </w:pPr>
      <w:r w:rsidRPr="00AE67BA">
        <w:t xml:space="preserve">În ceea ce priveşte </w:t>
      </w:r>
      <w:r w:rsidRPr="00AE67BA">
        <w:rPr>
          <w:b/>
          <w:bCs/>
        </w:rPr>
        <w:t>tâlhăria</w:t>
      </w:r>
      <w:r w:rsidRPr="00AE67BA">
        <w:t xml:space="preserve"> se constată o scădere cu </w:t>
      </w:r>
      <w:r w:rsidRPr="00AE67BA">
        <w:rPr>
          <w:b/>
        </w:rPr>
        <w:t>7 %,</w:t>
      </w:r>
      <w:r w:rsidRPr="00AE67BA">
        <w:t xml:space="preserve"> majoritatea din acestea fiind comise în mediul stradal prin </w:t>
      </w:r>
      <w:r w:rsidRPr="00AE67BA">
        <w:rPr>
          <w:b/>
        </w:rPr>
        <w:t>smulgerea de obiecte</w:t>
      </w:r>
      <w:r w:rsidRPr="00AE67BA">
        <w:t>, care la rândul lor scad cu</w:t>
      </w:r>
      <w:r w:rsidRPr="00AE67BA">
        <w:rPr>
          <w:b/>
          <w:bCs/>
        </w:rPr>
        <w:t xml:space="preserve"> 15%</w:t>
      </w:r>
      <w:r w:rsidRPr="00AE67BA">
        <w:t xml:space="preserve">. </w:t>
      </w:r>
    </w:p>
    <w:p w:rsidR="00AE67BA" w:rsidRPr="00AE67BA" w:rsidRDefault="00AE67BA" w:rsidP="00AE67BA">
      <w:pPr>
        <w:ind w:firstLine="720"/>
        <w:jc w:val="right"/>
        <w:rPr>
          <w:b/>
        </w:rPr>
      </w:pPr>
      <w:r w:rsidRPr="00AE67BA">
        <w:rPr>
          <w:b/>
        </w:rPr>
        <w:t>TÂLHĂRIA</w:t>
      </w:r>
    </w:p>
    <w:p w:rsidR="00AE67BA" w:rsidRPr="00AE67BA" w:rsidRDefault="00AE67BA" w:rsidP="00AE67BA">
      <w:pPr>
        <w:jc w:val="right"/>
        <w:rPr>
          <w:b/>
        </w:rPr>
      </w:pPr>
      <w:r w:rsidRPr="00AE67BA">
        <w:rPr>
          <w:b/>
          <w:noProof/>
        </w:rPr>
        <w:lastRenderedPageBreak/>
        <w:drawing>
          <wp:inline distT="0" distB="0" distL="0" distR="0">
            <wp:extent cx="6467475" cy="1428750"/>
            <wp:effectExtent l="0" t="0" r="0" b="0"/>
            <wp:docPr id="3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E67BA" w:rsidRPr="00AE67BA" w:rsidRDefault="00AE67BA" w:rsidP="00AE67BA">
      <w:pPr>
        <w:jc w:val="both"/>
        <w:rPr>
          <w:b/>
        </w:rPr>
      </w:pPr>
      <w:r w:rsidRPr="00AE67BA">
        <w:rPr>
          <w:b/>
        </w:rPr>
        <w:t xml:space="preserve">         </w:t>
      </w:r>
    </w:p>
    <w:p w:rsidR="00AE67BA" w:rsidRPr="00AE67BA" w:rsidRDefault="00AE67BA" w:rsidP="00AE67BA">
      <w:pPr>
        <w:jc w:val="both"/>
      </w:pPr>
      <w:r w:rsidRPr="00AE67BA">
        <w:rPr>
          <w:b/>
          <w:bCs/>
        </w:rPr>
        <w:tab/>
      </w:r>
      <w:r w:rsidRPr="00AE67BA">
        <w:rPr>
          <w:bCs/>
        </w:rPr>
        <w:t>În dosarele penale de tâlhărie au fost cercetați</w:t>
      </w:r>
      <w:r w:rsidRPr="00AE67BA">
        <w:rPr>
          <w:b/>
          <w:bCs/>
        </w:rPr>
        <w:t xml:space="preserve"> 372 suspecți, </w:t>
      </w:r>
      <w:r w:rsidRPr="00AE67BA">
        <w:t xml:space="preserve">iar împotriva a </w:t>
      </w:r>
      <w:r w:rsidRPr="00AE67BA">
        <w:rPr>
          <w:b/>
        </w:rPr>
        <w:t>287 persoane</w:t>
      </w:r>
      <w:r w:rsidRPr="00AE67BA">
        <w:t xml:space="preserve"> au fost dispuse măsuri preventive pentru fapte de tâlhărie, în anul 2018. </w:t>
      </w:r>
    </w:p>
    <w:p w:rsidR="00AE67BA" w:rsidRDefault="00AE67BA" w:rsidP="00AE67BA">
      <w:pPr>
        <w:ind w:firstLine="720"/>
        <w:jc w:val="both"/>
        <w:rPr>
          <w:bCs/>
        </w:rPr>
      </w:pPr>
      <w:r w:rsidRPr="00AE67BA">
        <w:rPr>
          <w:b/>
          <w:bCs/>
        </w:rPr>
        <w:t>Criminalitatea stradală</w:t>
      </w:r>
      <w:r w:rsidRPr="00AE67BA">
        <w:rPr>
          <w:bCs/>
        </w:rPr>
        <w:t xml:space="preserve"> reprezintă </w:t>
      </w:r>
      <w:r w:rsidRPr="00AE67BA">
        <w:rPr>
          <w:b/>
          <w:bCs/>
        </w:rPr>
        <w:t>12%</w:t>
      </w:r>
      <w:r w:rsidRPr="00AE67BA">
        <w:rPr>
          <w:bCs/>
        </w:rPr>
        <w:t xml:space="preserve"> din totalul faptelor sesizate, valorile înregistrate continuă trendul descendent, cu </w:t>
      </w:r>
      <w:r w:rsidRPr="00AE67BA">
        <w:rPr>
          <w:b/>
          <w:bCs/>
        </w:rPr>
        <w:t>10% mai puțin</w:t>
      </w:r>
      <w:r w:rsidRPr="00AE67BA">
        <w:rPr>
          <w:bCs/>
        </w:rPr>
        <w:t xml:space="preserve"> față de anul trecut.</w:t>
      </w:r>
    </w:p>
    <w:p w:rsidR="00AE67BA" w:rsidRPr="00AE67BA" w:rsidRDefault="00AE67BA" w:rsidP="00AE67BA">
      <w:pPr>
        <w:ind w:firstLine="720"/>
        <w:jc w:val="both"/>
        <w:rPr>
          <w:bCs/>
        </w:rPr>
      </w:pPr>
    </w:p>
    <w:p w:rsidR="00AE67BA" w:rsidRPr="00AE67BA" w:rsidRDefault="00AE67BA" w:rsidP="00AE67BA">
      <w:pPr>
        <w:jc w:val="right"/>
        <w:rPr>
          <w:b/>
        </w:rPr>
      </w:pPr>
      <w:r w:rsidRPr="00AE67BA">
        <w:rPr>
          <w:b/>
        </w:rPr>
        <w:t>CRIMINALITATE STRADALĂ</w:t>
      </w:r>
    </w:p>
    <w:p w:rsidR="00AE67BA" w:rsidRPr="00AE67BA" w:rsidRDefault="00AE67BA" w:rsidP="00AE67BA">
      <w:pPr>
        <w:jc w:val="both"/>
        <w:rPr>
          <w:b/>
        </w:rPr>
      </w:pPr>
      <w:r w:rsidRPr="00AE67BA">
        <w:rPr>
          <w:b/>
          <w:noProof/>
        </w:rPr>
        <w:drawing>
          <wp:inline distT="0" distB="0" distL="0" distR="0">
            <wp:extent cx="6467475" cy="1409700"/>
            <wp:effectExtent l="0" t="0" r="0" b="0"/>
            <wp:docPr id="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E67BA" w:rsidRPr="00AE67BA" w:rsidRDefault="00AE67BA" w:rsidP="00AE67BA">
      <w:pPr>
        <w:jc w:val="right"/>
        <w:rPr>
          <w:b/>
        </w:rPr>
      </w:pPr>
    </w:p>
    <w:p w:rsidR="00AE67BA" w:rsidRPr="00AE67BA" w:rsidRDefault="00AE67BA" w:rsidP="00AE67BA">
      <w:pPr>
        <w:ind w:firstLine="720"/>
        <w:jc w:val="both"/>
      </w:pPr>
      <w:r w:rsidRPr="00AE67BA">
        <w:t xml:space="preserve"> Numărul mare de polițiști repartizați din promoțiile de agenți de poliție a făcut ca prin prezenţa activă a acestora în stradă, </w:t>
      </w:r>
      <w:r w:rsidRPr="00AE67BA">
        <w:rPr>
          <w:b/>
        </w:rPr>
        <w:t>16%</w:t>
      </w:r>
      <w:r w:rsidRPr="00AE67BA">
        <w:t xml:space="preserve"> din totalul infracțiunilor sesizate în segmentul stradal să fie constatate în flagrant. </w:t>
      </w:r>
    </w:p>
    <w:p w:rsidR="00AE67BA" w:rsidRPr="00AE67BA" w:rsidRDefault="00AE67BA" w:rsidP="00AE67BA">
      <w:pPr>
        <w:ind w:firstLine="720"/>
        <w:jc w:val="both"/>
        <w:rPr>
          <w:b/>
        </w:rPr>
      </w:pPr>
      <w:r w:rsidRPr="00AE67BA">
        <w:t xml:space="preserve">O prioritate în anul 2018 a constituit-o aplicarea planurilor de măsuri pentru punerea în legalitate a deținătorilor de arme, astfel pe acest segment de activitate au fost eliberate </w:t>
      </w:r>
      <w:r w:rsidRPr="00AE67BA">
        <w:rPr>
          <w:b/>
        </w:rPr>
        <w:t>314 permise de armă</w:t>
      </w:r>
      <w:r w:rsidRPr="00AE67BA">
        <w:t xml:space="preserve">, </w:t>
      </w:r>
      <w:r w:rsidRPr="00AE67BA">
        <w:rPr>
          <w:b/>
        </w:rPr>
        <w:t>1.980</w:t>
      </w:r>
      <w:r w:rsidRPr="00AE67BA">
        <w:t xml:space="preserve"> au fost anulate și </w:t>
      </w:r>
      <w:r w:rsidRPr="00AE67BA">
        <w:rPr>
          <w:b/>
        </w:rPr>
        <w:t xml:space="preserve">34 </w:t>
      </w:r>
      <w:r w:rsidRPr="00AE67BA">
        <w:t xml:space="preserve">suspendate, respectiv au fost indisponibilizate </w:t>
      </w:r>
      <w:r w:rsidRPr="00AE67BA">
        <w:rPr>
          <w:b/>
        </w:rPr>
        <w:t>1.577</w:t>
      </w:r>
      <w:r w:rsidRPr="00AE67BA">
        <w:t xml:space="preserve"> </w:t>
      </w:r>
      <w:r w:rsidRPr="00AE67BA">
        <w:rPr>
          <w:b/>
        </w:rPr>
        <w:t>arme de foc.</w:t>
      </w:r>
    </w:p>
    <w:p w:rsidR="00AE67BA" w:rsidRPr="00AE67BA" w:rsidRDefault="00AE67BA" w:rsidP="00AE67BA">
      <w:pPr>
        <w:ind w:firstLine="720"/>
        <w:jc w:val="both"/>
        <w:rPr>
          <w:color w:val="000000" w:themeColor="text1"/>
        </w:rPr>
      </w:pPr>
      <w:r w:rsidRPr="00AE67BA">
        <w:rPr>
          <w:color w:val="000000" w:themeColor="text1"/>
        </w:rPr>
        <w:t xml:space="preserve">Activitatea de </w:t>
      </w:r>
      <w:r w:rsidRPr="00AE67BA">
        <w:rPr>
          <w:b/>
          <w:color w:val="000000" w:themeColor="text1"/>
        </w:rPr>
        <w:t>supraveghere judiciară</w:t>
      </w:r>
      <w:r w:rsidRPr="00AE67BA">
        <w:rPr>
          <w:color w:val="000000" w:themeColor="text1"/>
        </w:rPr>
        <w:t xml:space="preserve"> a necesitat un volum de muncă semnificativ, ce a constat în gestionare a peste </w:t>
      </w:r>
      <w:r w:rsidRPr="00AE67BA">
        <w:rPr>
          <w:b/>
          <w:color w:val="000000" w:themeColor="text1"/>
        </w:rPr>
        <w:t xml:space="preserve">4.493 dosare de supraveghere, dintre care 81% </w:t>
      </w:r>
      <w:r w:rsidRPr="00AE67BA">
        <w:rPr>
          <w:color w:val="000000" w:themeColor="text1"/>
        </w:rPr>
        <w:t>au privit măsura controlului judiciar</w:t>
      </w:r>
      <w:r w:rsidRPr="00AE67BA">
        <w:rPr>
          <w:b/>
          <w:color w:val="000000" w:themeColor="text1"/>
        </w:rPr>
        <w:t>.</w:t>
      </w:r>
    </w:p>
    <w:p w:rsidR="00AE67BA" w:rsidRPr="00AE67BA" w:rsidRDefault="00AE67BA" w:rsidP="00AE67BA">
      <w:pPr>
        <w:ind w:firstLine="720"/>
        <w:jc w:val="both"/>
        <w:rPr>
          <w:color w:val="000000" w:themeColor="text1"/>
        </w:rPr>
      </w:pPr>
      <w:r w:rsidRPr="00AE67BA">
        <w:rPr>
          <w:color w:val="000000" w:themeColor="text1"/>
        </w:rPr>
        <w:t xml:space="preserve">Pe linia activității de urmăriri, prin intermediul formaţiunii specializate şi beneficiind de concursul celorlalţi poliţişti operativi, din </w:t>
      </w:r>
      <w:r w:rsidRPr="00AE67BA">
        <w:rPr>
          <w:b/>
          <w:color w:val="000000" w:themeColor="text1"/>
        </w:rPr>
        <w:t xml:space="preserve">1.809 </w:t>
      </w:r>
      <w:r w:rsidRPr="00AE67BA">
        <w:rPr>
          <w:color w:val="000000" w:themeColor="text1"/>
        </w:rPr>
        <w:t xml:space="preserve">cauze din competență au fost soluționate </w:t>
      </w:r>
      <w:r w:rsidRPr="00AE67BA">
        <w:rPr>
          <w:b/>
          <w:color w:val="000000" w:themeColor="text1"/>
        </w:rPr>
        <w:t>1.182</w:t>
      </w:r>
      <w:r w:rsidRPr="00AE67BA">
        <w:rPr>
          <w:color w:val="000000" w:themeColor="text1"/>
        </w:rPr>
        <w:t xml:space="preserve">, din care amintim </w:t>
      </w:r>
      <w:r w:rsidRPr="00AE67BA">
        <w:rPr>
          <w:b/>
          <w:color w:val="000000" w:themeColor="text1"/>
        </w:rPr>
        <w:t>781</w:t>
      </w:r>
      <w:r w:rsidRPr="00AE67BA">
        <w:rPr>
          <w:color w:val="000000" w:themeColor="text1"/>
        </w:rPr>
        <w:t xml:space="preserve"> mandate de executare a pedepsei închisorii, </w:t>
      </w:r>
      <w:r w:rsidRPr="00AE67BA">
        <w:rPr>
          <w:b/>
          <w:color w:val="000000" w:themeColor="text1"/>
        </w:rPr>
        <w:t>264</w:t>
      </w:r>
      <w:r w:rsidRPr="00AE67BA">
        <w:rPr>
          <w:color w:val="000000" w:themeColor="text1"/>
        </w:rPr>
        <w:t xml:space="preserve"> mandate de arestare preventivă și </w:t>
      </w:r>
      <w:r w:rsidRPr="00AE67BA">
        <w:rPr>
          <w:b/>
          <w:color w:val="000000" w:themeColor="text1"/>
        </w:rPr>
        <w:t xml:space="preserve">107 </w:t>
      </w:r>
      <w:r w:rsidRPr="00AE67BA">
        <w:rPr>
          <w:color w:val="000000" w:themeColor="text1"/>
        </w:rPr>
        <w:t>mandate europene de arestare.</w:t>
      </w:r>
    </w:p>
    <w:p w:rsidR="00AE67BA" w:rsidRPr="00AE67BA" w:rsidRDefault="00AE67BA" w:rsidP="00AE67BA">
      <w:pPr>
        <w:ind w:firstLine="720"/>
        <w:jc w:val="both"/>
        <w:rPr>
          <w:b/>
          <w:color w:val="000000" w:themeColor="text1"/>
        </w:rPr>
      </w:pPr>
      <w:r w:rsidRPr="00AE67BA">
        <w:rPr>
          <w:b/>
          <w:color w:val="000000" w:themeColor="text1"/>
        </w:rPr>
        <w:t>Volumul activităţii de investigații criminale</w:t>
      </w:r>
      <w:r w:rsidRPr="00AE67BA">
        <w:rPr>
          <w:color w:val="000000" w:themeColor="text1"/>
        </w:rPr>
        <w:t xml:space="preserve"> desfăşurate s-a materializat în soluționarea a </w:t>
      </w:r>
      <w:r w:rsidRPr="00AE67BA">
        <w:rPr>
          <w:b/>
          <w:color w:val="000000" w:themeColor="text1"/>
        </w:rPr>
        <w:t>50.039 cauze</w:t>
      </w:r>
      <w:r w:rsidRPr="00AE67BA">
        <w:rPr>
          <w:color w:val="000000" w:themeColor="text1"/>
        </w:rPr>
        <w:t xml:space="preserve">, dintre care </w:t>
      </w:r>
      <w:r w:rsidRPr="00AE67BA">
        <w:rPr>
          <w:b/>
          <w:color w:val="000000" w:themeColor="text1"/>
        </w:rPr>
        <w:t>2.224</w:t>
      </w:r>
      <w:r w:rsidRPr="00AE67BA">
        <w:rPr>
          <w:color w:val="000000" w:themeColor="text1"/>
        </w:rPr>
        <w:t xml:space="preserve"> cu trimitere în judecată, au fost cercetați</w:t>
      </w:r>
      <w:r w:rsidRPr="00AE67BA">
        <w:rPr>
          <w:b/>
          <w:color w:val="000000" w:themeColor="text1"/>
        </w:rPr>
        <w:t xml:space="preserve"> 5.456 suspecți, </w:t>
      </w:r>
      <w:r w:rsidRPr="00AE67BA">
        <w:rPr>
          <w:color w:val="000000" w:themeColor="text1"/>
        </w:rPr>
        <w:t>iar față de</w:t>
      </w:r>
      <w:r w:rsidRPr="00AE67BA">
        <w:rPr>
          <w:b/>
          <w:color w:val="000000" w:themeColor="text1"/>
        </w:rPr>
        <w:t xml:space="preserve"> 2.204 persoane </w:t>
      </w:r>
      <w:r w:rsidRPr="00AE67BA">
        <w:rPr>
          <w:color w:val="000000" w:themeColor="text1"/>
        </w:rPr>
        <w:t>au fost dispuse</w:t>
      </w:r>
      <w:r w:rsidRPr="00AE67BA">
        <w:rPr>
          <w:b/>
          <w:color w:val="000000" w:themeColor="text1"/>
        </w:rPr>
        <w:t xml:space="preserve"> măsuri preventive.</w:t>
      </w:r>
    </w:p>
    <w:p w:rsidR="00AE67BA" w:rsidRPr="00AE67BA" w:rsidRDefault="00AE67BA" w:rsidP="00AE67BA">
      <w:pPr>
        <w:jc w:val="both"/>
        <w:rPr>
          <w:color w:val="000000" w:themeColor="text1"/>
        </w:rPr>
      </w:pPr>
      <w:r w:rsidRPr="00AE67BA">
        <w:rPr>
          <w:color w:val="000000" w:themeColor="text1"/>
        </w:rPr>
        <w:tab/>
        <w:t xml:space="preserve">În prezent, pentru fiecare poliţist din structurile de </w:t>
      </w:r>
      <w:r>
        <w:rPr>
          <w:color w:val="000000" w:themeColor="text1"/>
        </w:rPr>
        <w:t>investigații criminale au rămas</w:t>
      </w:r>
      <w:r w:rsidRPr="00AE67BA">
        <w:rPr>
          <w:color w:val="000000" w:themeColor="text1"/>
        </w:rPr>
        <w:t xml:space="preserve"> în lucru, în medie, </w:t>
      </w:r>
      <w:r w:rsidRPr="00AE67BA">
        <w:rPr>
          <w:b/>
          <w:bCs/>
          <w:color w:val="000000" w:themeColor="text1"/>
        </w:rPr>
        <w:t>215</w:t>
      </w:r>
      <w:r w:rsidRPr="00AE67BA">
        <w:rPr>
          <w:b/>
          <w:color w:val="000000" w:themeColor="text1"/>
        </w:rPr>
        <w:t xml:space="preserve"> dosare</w:t>
      </w:r>
      <w:r w:rsidRPr="00AE67BA">
        <w:rPr>
          <w:color w:val="000000" w:themeColor="text1"/>
        </w:rPr>
        <w:t>.</w:t>
      </w:r>
    </w:p>
    <w:p w:rsidR="00AE67BA" w:rsidRPr="00AE67BA" w:rsidRDefault="00AE67BA" w:rsidP="00AE67BA">
      <w:pPr>
        <w:jc w:val="both"/>
      </w:pPr>
      <w:r w:rsidRPr="00AE67BA">
        <w:tab/>
        <w:t xml:space="preserve">Documentarea și destructurarea grupurilor infracționale </w:t>
      </w:r>
      <w:r w:rsidRPr="00AE67BA">
        <w:rPr>
          <w:bCs/>
        </w:rPr>
        <w:t xml:space="preserve">care pot genera </w:t>
      </w:r>
      <w:r w:rsidRPr="00AE67BA">
        <w:t>evenimente deosebite în planul ordinii și siguranței publice a constituit și constituie un obiectiv prioritar al Poliției Capitalei, astfel în perioada de referință</w:t>
      </w:r>
      <w:r w:rsidRPr="00AE67BA">
        <w:rPr>
          <w:b/>
        </w:rPr>
        <w:t xml:space="preserve"> au fost destructurate 36</w:t>
      </w:r>
      <w:r w:rsidRPr="00AE67BA">
        <w:t xml:space="preserve"> de grupuri infracționale din sfera investigațiilor criminale, iar pentru </w:t>
      </w:r>
      <w:r w:rsidRPr="00AE67BA">
        <w:rPr>
          <w:b/>
        </w:rPr>
        <w:t>169 de membri</w:t>
      </w:r>
      <w:r w:rsidRPr="00AE67BA">
        <w:t xml:space="preserve"> au fost dispuse </w:t>
      </w:r>
      <w:r w:rsidRPr="00AE67BA">
        <w:rPr>
          <w:b/>
        </w:rPr>
        <w:t>măsuri preventive</w:t>
      </w:r>
      <w:r w:rsidRPr="00AE67BA">
        <w:t xml:space="preserve">, respectiv </w:t>
      </w:r>
      <w:r w:rsidRPr="00AE67BA">
        <w:rPr>
          <w:b/>
        </w:rPr>
        <w:t>121 arest preventiv, 30 control judiciar, 12 arest la domiciliu și 6 rețineri</w:t>
      </w:r>
      <w:r w:rsidRPr="00AE67BA">
        <w:t>.</w:t>
      </w:r>
    </w:p>
    <w:p w:rsidR="00AE67BA" w:rsidRPr="00AE67BA" w:rsidRDefault="00AE67BA" w:rsidP="00AE67BA">
      <w:pPr>
        <w:ind w:firstLine="720"/>
        <w:jc w:val="both"/>
      </w:pPr>
      <w:r w:rsidRPr="00AE67BA">
        <w:rPr>
          <w:b/>
        </w:rPr>
        <w:t xml:space="preserve">Caracteristica situației infracționale </w:t>
      </w:r>
      <w:r w:rsidRPr="00AE67BA">
        <w:t xml:space="preserve">evidenţiază </w:t>
      </w:r>
      <w:r w:rsidRPr="00AE67BA">
        <w:rPr>
          <w:b/>
        </w:rPr>
        <w:t>scăderi</w:t>
      </w:r>
      <w:r w:rsidRPr="00AE67BA">
        <w:t xml:space="preserve"> la principalele genuri de fapte comise în segmentul stradal, la infracțiunile contra patrimoniului, tâlhării și  furturi, însă se înregistrează </w:t>
      </w:r>
      <w:r w:rsidRPr="00AE67BA">
        <w:rPr>
          <w:b/>
        </w:rPr>
        <w:t>c</w:t>
      </w:r>
      <w:r w:rsidRPr="00AE67BA">
        <w:rPr>
          <w:b/>
          <w:bCs/>
        </w:rPr>
        <w:t>reșteri</w:t>
      </w:r>
      <w:r w:rsidRPr="00AE67BA">
        <w:t xml:space="preserve"> la infracțiunile contra persoanei, loviri sau alte violențe și ultrajul.</w:t>
      </w:r>
    </w:p>
    <w:p w:rsidR="00AE67BA" w:rsidRPr="00AE67BA" w:rsidRDefault="006B1D2E" w:rsidP="00AE67BA">
      <w:pPr>
        <w:jc w:val="both"/>
      </w:pPr>
      <w:r>
        <w:rPr>
          <w:noProof/>
        </w:rPr>
        <w:lastRenderedPageBreak/>
        <w:drawing>
          <wp:anchor distT="0" distB="9906" distL="114300" distR="117602" simplePos="0" relativeHeight="251694080" behindDoc="0" locked="0" layoutInCell="1" allowOverlap="1">
            <wp:simplePos x="0" y="0"/>
            <wp:positionH relativeFrom="column">
              <wp:posOffset>6050280</wp:posOffset>
            </wp:positionH>
            <wp:positionV relativeFrom="paragraph">
              <wp:posOffset>913130</wp:posOffset>
            </wp:positionV>
            <wp:extent cx="285115" cy="189865"/>
            <wp:effectExtent l="0" t="0" r="0" b="0"/>
            <wp:wrapNone/>
            <wp:docPr id="69" name="Object 6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4282" cy="391583"/>
                      <a:chOff x="7901983" y="3683554"/>
                      <a:chExt cx="524282" cy="391583"/>
                    </a:xfrm>
                  </a:grpSpPr>
                  <a:sp>
                    <a:nvSpPr>
                      <a:cNvPr id="9" name="Right Arrow 8"/>
                      <a:cNvSpPr/>
                    </a:nvSpPr>
                    <a:spPr>
                      <a:xfrm rot="19986273">
                        <a:off x="7901983" y="3683554"/>
                        <a:ext cx="524282" cy="391583"/>
                      </a:xfrm>
                      <a:prstGeom prst="rightArrow">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5400000" scaled="1"/>
                        <a:tileRect/>
                      </a:gradFill>
                      <a:ln w="25400" cap="flat" cmpd="sng" algn="ctr">
                        <a:solidFill>
                          <a:srgbClr val="4F81BD">
                            <a:shade val="50000"/>
                          </a:srgbClr>
                        </a:solidFill>
                        <a:prstDash val="solid"/>
                      </a:ln>
                      <a:effectLst>
                        <a:innerShdw blurRad="114300">
                          <a:prstClr val="black"/>
                        </a:innerShdw>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noProof/>
        </w:rPr>
        <w:drawing>
          <wp:anchor distT="0" distB="9906" distL="114300" distR="117602" simplePos="0" relativeHeight="251692032" behindDoc="0" locked="0" layoutInCell="1" allowOverlap="1">
            <wp:simplePos x="0" y="0"/>
            <wp:positionH relativeFrom="column">
              <wp:posOffset>6050280</wp:posOffset>
            </wp:positionH>
            <wp:positionV relativeFrom="paragraph">
              <wp:posOffset>2056130</wp:posOffset>
            </wp:positionV>
            <wp:extent cx="285115" cy="189865"/>
            <wp:effectExtent l="0" t="0" r="0" b="0"/>
            <wp:wrapNone/>
            <wp:docPr id="67" name="Object 6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4282" cy="391583"/>
                      <a:chOff x="7901983" y="3683554"/>
                      <a:chExt cx="524282" cy="391583"/>
                    </a:xfrm>
                  </a:grpSpPr>
                  <a:sp>
                    <a:nvSpPr>
                      <a:cNvPr id="9" name="Right Arrow 8"/>
                      <a:cNvSpPr/>
                    </a:nvSpPr>
                    <a:spPr>
                      <a:xfrm rot="19986273">
                        <a:off x="7901983" y="3683554"/>
                        <a:ext cx="524282" cy="391583"/>
                      </a:xfrm>
                      <a:prstGeom prst="rightArrow">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5400000" scaled="1"/>
                        <a:tileRect/>
                      </a:gradFill>
                      <a:ln w="25400" cap="flat" cmpd="sng" algn="ctr">
                        <a:solidFill>
                          <a:srgbClr val="4F81BD">
                            <a:shade val="50000"/>
                          </a:srgbClr>
                        </a:solidFill>
                        <a:prstDash val="solid"/>
                      </a:ln>
                      <a:effectLst>
                        <a:innerShdw blurRad="114300">
                          <a:prstClr val="black"/>
                        </a:innerShdw>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00AE67BA">
        <w:rPr>
          <w:noProof/>
        </w:rPr>
        <w:drawing>
          <wp:anchor distT="0" distB="7239" distL="114300" distR="117729" simplePos="0" relativeHeight="251689984" behindDoc="0" locked="0" layoutInCell="1" allowOverlap="1">
            <wp:simplePos x="0" y="0"/>
            <wp:positionH relativeFrom="column">
              <wp:posOffset>6002655</wp:posOffset>
            </wp:positionH>
            <wp:positionV relativeFrom="paragraph">
              <wp:posOffset>1751330</wp:posOffset>
            </wp:positionV>
            <wp:extent cx="333375" cy="180975"/>
            <wp:effectExtent l="0" t="0" r="0" b="0"/>
            <wp:wrapNone/>
            <wp:docPr id="65" name="Object 6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4282" cy="391583"/>
                      <a:chOff x="7938309" y="1203360"/>
                      <a:chExt cx="524282" cy="391583"/>
                    </a:xfrm>
                  </a:grpSpPr>
                  <a:sp>
                    <a:nvSpPr>
                      <a:cNvPr id="2" name="Right Arrow 1"/>
                      <a:cNvSpPr/>
                    </a:nvSpPr>
                    <a:spPr>
                      <a:xfrm rot="1270227">
                        <a:off x="7938309" y="1203360"/>
                        <a:ext cx="524282" cy="391583"/>
                      </a:xfrm>
                      <a:prstGeom prst="rightArrow">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8100000" scaled="1"/>
                        <a:tileRect/>
                      </a:gradFill>
                      <a:ln w="25400" cap="flat" cmpd="sng" algn="ctr">
                        <a:solidFill>
                          <a:srgbClr val="4F81BD">
                            <a:shade val="50000"/>
                          </a:srgbClr>
                        </a:solidFill>
                        <a:prstDash val="solid"/>
                      </a:ln>
                      <a:effectLst>
                        <a:innerShdw blurRad="114300">
                          <a:prstClr val="black"/>
                        </a:innerShdw>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00AE67BA">
        <w:rPr>
          <w:noProof/>
        </w:rPr>
        <w:drawing>
          <wp:anchor distT="0" distB="7239" distL="114300" distR="117729" simplePos="0" relativeHeight="251687936" behindDoc="0" locked="0" layoutInCell="1" allowOverlap="1">
            <wp:simplePos x="0" y="0"/>
            <wp:positionH relativeFrom="column">
              <wp:posOffset>6002655</wp:posOffset>
            </wp:positionH>
            <wp:positionV relativeFrom="paragraph">
              <wp:posOffset>1208405</wp:posOffset>
            </wp:positionV>
            <wp:extent cx="333375" cy="180975"/>
            <wp:effectExtent l="0" t="0" r="0" b="0"/>
            <wp:wrapNone/>
            <wp:docPr id="63" name="Object 6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4282" cy="391583"/>
                      <a:chOff x="7938309" y="1203360"/>
                      <a:chExt cx="524282" cy="391583"/>
                    </a:xfrm>
                  </a:grpSpPr>
                  <a:sp>
                    <a:nvSpPr>
                      <a:cNvPr id="2" name="Right Arrow 1"/>
                      <a:cNvSpPr/>
                    </a:nvSpPr>
                    <a:spPr>
                      <a:xfrm rot="1270227">
                        <a:off x="7938309" y="1203360"/>
                        <a:ext cx="524282" cy="391583"/>
                      </a:xfrm>
                      <a:prstGeom prst="rightArrow">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8100000" scaled="1"/>
                        <a:tileRect/>
                      </a:gradFill>
                      <a:ln w="25400" cap="flat" cmpd="sng" algn="ctr">
                        <a:solidFill>
                          <a:srgbClr val="4F81BD">
                            <a:shade val="50000"/>
                          </a:srgbClr>
                        </a:solidFill>
                        <a:prstDash val="solid"/>
                      </a:ln>
                      <a:effectLst>
                        <a:innerShdw blurRad="114300">
                          <a:prstClr val="black"/>
                        </a:innerShdw>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00AE67BA">
        <w:rPr>
          <w:noProof/>
        </w:rPr>
        <w:drawing>
          <wp:anchor distT="0" distB="7239" distL="114300" distR="117729" simplePos="0" relativeHeight="251685888" behindDoc="0" locked="0" layoutInCell="1" allowOverlap="1">
            <wp:simplePos x="0" y="0"/>
            <wp:positionH relativeFrom="column">
              <wp:posOffset>6002655</wp:posOffset>
            </wp:positionH>
            <wp:positionV relativeFrom="paragraph">
              <wp:posOffset>646430</wp:posOffset>
            </wp:positionV>
            <wp:extent cx="333375" cy="180975"/>
            <wp:effectExtent l="0" t="0" r="0" b="0"/>
            <wp:wrapNone/>
            <wp:docPr id="61" name="Object 6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4282" cy="391583"/>
                      <a:chOff x="7938309" y="1203360"/>
                      <a:chExt cx="524282" cy="391583"/>
                    </a:xfrm>
                  </a:grpSpPr>
                  <a:sp>
                    <a:nvSpPr>
                      <a:cNvPr id="2" name="Right Arrow 1"/>
                      <a:cNvSpPr/>
                    </a:nvSpPr>
                    <a:spPr>
                      <a:xfrm rot="1270227">
                        <a:off x="7938309" y="1203360"/>
                        <a:ext cx="524282" cy="391583"/>
                      </a:xfrm>
                      <a:prstGeom prst="rightArrow">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8100000" scaled="1"/>
                        <a:tileRect/>
                      </a:gradFill>
                      <a:ln w="25400" cap="flat" cmpd="sng" algn="ctr">
                        <a:solidFill>
                          <a:srgbClr val="4F81BD">
                            <a:shade val="50000"/>
                          </a:srgbClr>
                        </a:solidFill>
                        <a:prstDash val="solid"/>
                      </a:ln>
                      <a:effectLst>
                        <a:innerShdw blurRad="114300">
                          <a:prstClr val="black"/>
                        </a:innerShdw>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00AE67BA">
        <w:rPr>
          <w:noProof/>
        </w:rPr>
        <w:drawing>
          <wp:anchor distT="0" distB="7239" distL="114300" distR="117729" simplePos="0" relativeHeight="251683840" behindDoc="0" locked="0" layoutInCell="1" allowOverlap="1">
            <wp:simplePos x="0" y="0"/>
            <wp:positionH relativeFrom="column">
              <wp:posOffset>6002655</wp:posOffset>
            </wp:positionH>
            <wp:positionV relativeFrom="paragraph">
              <wp:posOffset>379730</wp:posOffset>
            </wp:positionV>
            <wp:extent cx="333375" cy="180975"/>
            <wp:effectExtent l="0" t="0" r="0" b="0"/>
            <wp:wrapNone/>
            <wp:docPr id="59" name="Object 5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4282" cy="391583"/>
                      <a:chOff x="7938309" y="1203360"/>
                      <a:chExt cx="524282" cy="391583"/>
                    </a:xfrm>
                  </a:grpSpPr>
                  <a:sp>
                    <a:nvSpPr>
                      <a:cNvPr id="2" name="Right Arrow 1"/>
                      <a:cNvSpPr/>
                    </a:nvSpPr>
                    <a:spPr>
                      <a:xfrm rot="1270227">
                        <a:off x="7938309" y="1203360"/>
                        <a:ext cx="524282" cy="391583"/>
                      </a:xfrm>
                      <a:prstGeom prst="rightArrow">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8100000" scaled="1"/>
                        <a:tileRect/>
                      </a:gradFill>
                      <a:ln w="25400" cap="flat" cmpd="sng" algn="ctr">
                        <a:solidFill>
                          <a:srgbClr val="4F81BD">
                            <a:shade val="50000"/>
                          </a:srgbClr>
                        </a:solidFill>
                        <a:prstDash val="solid"/>
                      </a:ln>
                      <a:effectLst>
                        <a:innerShdw blurRad="114300">
                          <a:prstClr val="black"/>
                        </a:innerShdw>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00AE67BA" w:rsidRPr="00AE67BA">
        <w:rPr>
          <w:noProof/>
        </w:rPr>
        <w:drawing>
          <wp:anchor distT="0" distB="5334" distL="114300" distR="115824" simplePos="0" relativeHeight="251672576" behindDoc="0" locked="0" layoutInCell="1" allowOverlap="1">
            <wp:simplePos x="0" y="0"/>
            <wp:positionH relativeFrom="column">
              <wp:posOffset>5983605</wp:posOffset>
            </wp:positionH>
            <wp:positionV relativeFrom="paragraph">
              <wp:posOffset>122555</wp:posOffset>
            </wp:positionV>
            <wp:extent cx="333375" cy="180975"/>
            <wp:effectExtent l="0" t="0" r="0" b="0"/>
            <wp:wrapNone/>
            <wp:docPr id="56" name="Object 5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4282" cy="391583"/>
                      <a:chOff x="7938309" y="1203360"/>
                      <a:chExt cx="524282" cy="391583"/>
                    </a:xfrm>
                  </a:grpSpPr>
                  <a:sp>
                    <a:nvSpPr>
                      <a:cNvPr id="2" name="Right Arrow 1"/>
                      <a:cNvSpPr/>
                    </a:nvSpPr>
                    <a:spPr>
                      <a:xfrm rot="1270227">
                        <a:off x="7938309" y="1203360"/>
                        <a:ext cx="524282" cy="391583"/>
                      </a:xfrm>
                      <a:prstGeom prst="rightArrow">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8100000" scaled="1"/>
                        <a:tileRect/>
                      </a:gradFill>
                      <a:ln w="25400" cap="flat" cmpd="sng" algn="ctr">
                        <a:solidFill>
                          <a:srgbClr val="4F81BD">
                            <a:shade val="50000"/>
                          </a:srgbClr>
                        </a:solidFill>
                        <a:prstDash val="solid"/>
                      </a:ln>
                      <a:effectLst>
                        <a:innerShdw blurRad="114300">
                          <a:prstClr val="black"/>
                        </a:innerShdw>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00AE67BA" w:rsidRPr="00AE67BA">
        <w:rPr>
          <w:noProof/>
        </w:rPr>
        <w:drawing>
          <wp:anchor distT="0" distB="5334" distL="114300" distR="116840" simplePos="0" relativeHeight="251676672" behindDoc="0" locked="0" layoutInCell="1" allowOverlap="1">
            <wp:simplePos x="0" y="0"/>
            <wp:positionH relativeFrom="column">
              <wp:posOffset>6050280</wp:posOffset>
            </wp:positionH>
            <wp:positionV relativeFrom="paragraph">
              <wp:posOffset>1465580</wp:posOffset>
            </wp:positionV>
            <wp:extent cx="285750" cy="190500"/>
            <wp:effectExtent l="0" t="0" r="0" b="0"/>
            <wp:wrapNone/>
            <wp:docPr id="52" name="Object 5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4282" cy="391583"/>
                      <a:chOff x="7901983" y="3683554"/>
                      <a:chExt cx="524282" cy="391583"/>
                    </a:xfrm>
                  </a:grpSpPr>
                  <a:sp>
                    <a:nvSpPr>
                      <a:cNvPr id="9" name="Right Arrow 8"/>
                      <a:cNvSpPr/>
                    </a:nvSpPr>
                    <a:spPr>
                      <a:xfrm rot="19986273">
                        <a:off x="7901983" y="3683554"/>
                        <a:ext cx="524282" cy="391583"/>
                      </a:xfrm>
                      <a:prstGeom prst="rightArrow">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5400000" scaled="1"/>
                        <a:tileRect/>
                      </a:gradFill>
                      <a:ln w="25400" cap="flat" cmpd="sng" algn="ctr">
                        <a:solidFill>
                          <a:srgbClr val="4F81BD">
                            <a:shade val="50000"/>
                          </a:srgbClr>
                        </a:solidFill>
                        <a:prstDash val="solid"/>
                      </a:ln>
                      <a:effectLst>
                        <a:innerShdw blurRad="114300">
                          <a:prstClr val="black"/>
                        </a:innerShdw>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00AE67BA" w:rsidRPr="00AE67BA">
        <w:rPr>
          <w:noProof/>
        </w:rPr>
        <w:drawing>
          <wp:anchor distT="0" distB="5334" distL="114300" distR="116205" simplePos="0" relativeHeight="251681792" behindDoc="0" locked="0" layoutInCell="1" allowOverlap="1">
            <wp:simplePos x="0" y="0"/>
            <wp:positionH relativeFrom="column">
              <wp:posOffset>5866130</wp:posOffset>
            </wp:positionH>
            <wp:positionV relativeFrom="paragraph">
              <wp:posOffset>3754755</wp:posOffset>
            </wp:positionV>
            <wp:extent cx="394335" cy="292735"/>
            <wp:effectExtent l="0" t="0" r="0" b="0"/>
            <wp:wrapNone/>
            <wp:docPr id="41" name="Object 4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4282" cy="391583"/>
                      <a:chOff x="7901983" y="3683554"/>
                      <a:chExt cx="524282" cy="391583"/>
                    </a:xfrm>
                  </a:grpSpPr>
                  <a:sp>
                    <a:nvSpPr>
                      <a:cNvPr id="9" name="Right Arrow 8"/>
                      <a:cNvSpPr/>
                    </a:nvSpPr>
                    <a:spPr>
                      <a:xfrm rot="19986273">
                        <a:off x="7901983" y="3683554"/>
                        <a:ext cx="524282" cy="391583"/>
                      </a:xfrm>
                      <a:prstGeom prst="rightArrow">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5400000" scaled="1"/>
                        <a:tileRect/>
                      </a:gradFill>
                      <a:ln w="25400" cap="flat" cmpd="sng" algn="ctr">
                        <a:solidFill>
                          <a:srgbClr val="4F81BD">
                            <a:shade val="50000"/>
                          </a:srgbClr>
                        </a:solidFill>
                        <a:prstDash val="solid"/>
                      </a:ln>
                      <a:effectLst>
                        <a:innerShdw blurRad="114300">
                          <a:prstClr val="black"/>
                        </a:innerShdw>
                      </a:effectLst>
                    </a:spPr>
                    <a:txSp>
                      <a:txBody>
                        <a:bodyPr rtlCol="0" anchor="ctr"/>
                        <a:lstStyle>
                          <a:defPPr>
                            <a:defRPr lang="en-US"/>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00AE67BA" w:rsidRPr="00AE67BA">
        <w:rPr>
          <w:noProof/>
        </w:rPr>
        <w:drawing>
          <wp:inline distT="0" distB="0" distL="0" distR="0">
            <wp:extent cx="6305550" cy="2209800"/>
            <wp:effectExtent l="57150" t="19050" r="38100" b="19050"/>
            <wp:docPr id="53"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AE67BA" w:rsidRPr="00AE67BA" w:rsidRDefault="00AE67BA" w:rsidP="00AE67BA">
      <w:pPr>
        <w:ind w:firstLine="709"/>
        <w:rPr>
          <w:b/>
          <w:bCs/>
          <w:u w:val="single"/>
        </w:rPr>
      </w:pPr>
    </w:p>
    <w:p w:rsidR="00AE67BA" w:rsidRPr="00AE67BA" w:rsidRDefault="00AE67BA" w:rsidP="00AE67BA">
      <w:pPr>
        <w:ind w:firstLine="709"/>
        <w:rPr>
          <w:b/>
          <w:bCs/>
          <w:u w:val="single"/>
        </w:rPr>
      </w:pPr>
      <w:r w:rsidRPr="00AE67BA">
        <w:rPr>
          <w:b/>
          <w:bCs/>
          <w:u w:val="single"/>
        </w:rPr>
        <w:t>INVESTIGAREA CRIMINALITĂŢII ECONOMICE</w:t>
      </w:r>
    </w:p>
    <w:p w:rsidR="00AE67BA" w:rsidRPr="00AE67BA" w:rsidRDefault="00AE67BA" w:rsidP="00AE67BA">
      <w:pPr>
        <w:ind w:firstLine="720"/>
        <w:jc w:val="both"/>
        <w:rPr>
          <w:b/>
          <w:bCs/>
          <w:color w:val="FF0000"/>
        </w:rPr>
      </w:pPr>
      <w:r w:rsidRPr="00AE67BA">
        <w:rPr>
          <w:b/>
          <w:bCs/>
          <w:color w:val="000000" w:themeColor="text1"/>
        </w:rPr>
        <w:t>Investigarea criminalității economice este</w:t>
      </w:r>
      <w:r w:rsidRPr="00AE67BA">
        <w:rPr>
          <w:bCs/>
        </w:rPr>
        <w:t xml:space="preserve"> structurată organizațional, pe două nivele: central și sector, </w:t>
      </w:r>
      <w:r w:rsidRPr="00AE67BA">
        <w:rPr>
          <w:bCs/>
          <w:color w:val="000000" w:themeColor="text1"/>
        </w:rPr>
        <w:t xml:space="preserve">procentul de încadrare al acestora fiind de </w:t>
      </w:r>
      <w:r w:rsidRPr="00AE67BA">
        <w:rPr>
          <w:b/>
          <w:bCs/>
          <w:color w:val="000000" w:themeColor="text1"/>
        </w:rPr>
        <w:t>82%.</w:t>
      </w:r>
    </w:p>
    <w:p w:rsidR="00AE67BA" w:rsidRPr="00AE67BA" w:rsidRDefault="00AE67BA" w:rsidP="00AE67BA">
      <w:pPr>
        <w:ind w:firstLine="720"/>
        <w:jc w:val="both"/>
        <w:rPr>
          <w:bCs/>
        </w:rPr>
      </w:pPr>
      <w:r w:rsidRPr="00AE67BA">
        <w:rPr>
          <w:bCs/>
        </w:rPr>
        <w:t xml:space="preserve">Infracțiunile sesizate de natură economico-financiară, s-au situat pe un </w:t>
      </w:r>
      <w:r w:rsidRPr="00AE67BA">
        <w:rPr>
          <w:b/>
          <w:bCs/>
        </w:rPr>
        <w:t>trend descendent</w:t>
      </w:r>
      <w:r w:rsidRPr="00AE67BA">
        <w:rPr>
          <w:bCs/>
        </w:rPr>
        <w:t xml:space="preserve">, fiind cu </w:t>
      </w:r>
      <w:r w:rsidRPr="00AE67BA">
        <w:rPr>
          <w:b/>
          <w:bCs/>
        </w:rPr>
        <w:t>aproximativ 3% mai puține față de anul trecut</w:t>
      </w:r>
      <w:r w:rsidRPr="00AE67BA">
        <w:rPr>
          <w:bCs/>
        </w:rPr>
        <w:t xml:space="preserve">. </w:t>
      </w:r>
    </w:p>
    <w:p w:rsidR="00AE67BA" w:rsidRPr="00AE67BA" w:rsidRDefault="00AE67BA" w:rsidP="00AE67BA">
      <w:pPr>
        <w:ind w:firstLine="720"/>
        <w:jc w:val="both"/>
        <w:rPr>
          <w:bCs/>
        </w:rPr>
      </w:pPr>
      <w:r w:rsidRPr="00AE67BA">
        <w:rPr>
          <w:bCs/>
        </w:rPr>
        <w:t>În  perioada de referință</w:t>
      </w:r>
      <w:r w:rsidRPr="00AE67BA">
        <w:rPr>
          <w:b/>
          <w:bCs/>
        </w:rPr>
        <w:t>,</w:t>
      </w:r>
      <w:r w:rsidRPr="00AE67BA">
        <w:rPr>
          <w:bCs/>
        </w:rPr>
        <w:t xml:space="preserve"> au fost soluționate </w:t>
      </w:r>
      <w:r w:rsidRPr="00AE67BA">
        <w:rPr>
          <w:b/>
          <w:bCs/>
        </w:rPr>
        <w:t xml:space="preserve">9.553 </w:t>
      </w:r>
      <w:r w:rsidRPr="00AE67BA">
        <w:rPr>
          <w:bCs/>
        </w:rPr>
        <w:t xml:space="preserve">infracțiuni, iar față de </w:t>
      </w:r>
      <w:r w:rsidRPr="00AE67BA">
        <w:rPr>
          <w:b/>
          <w:bCs/>
        </w:rPr>
        <w:t>105 persoane</w:t>
      </w:r>
      <w:r w:rsidRPr="00AE67BA">
        <w:rPr>
          <w:bCs/>
        </w:rPr>
        <w:t xml:space="preserve"> au fost</w:t>
      </w:r>
      <w:r w:rsidRPr="00AE67BA">
        <w:rPr>
          <w:b/>
          <w:bCs/>
        </w:rPr>
        <w:t xml:space="preserve"> </w:t>
      </w:r>
      <w:r w:rsidRPr="00AE67BA">
        <w:rPr>
          <w:bCs/>
        </w:rPr>
        <w:t xml:space="preserve">dispuse </w:t>
      </w:r>
      <w:r w:rsidRPr="00AE67BA">
        <w:rPr>
          <w:b/>
          <w:bCs/>
        </w:rPr>
        <w:t>măsuri preventive</w:t>
      </w:r>
      <w:r w:rsidRPr="00AE67BA">
        <w:rPr>
          <w:bCs/>
        </w:rPr>
        <w:t xml:space="preserve">. </w:t>
      </w:r>
    </w:p>
    <w:p w:rsidR="00AE67BA" w:rsidRPr="00AE67BA" w:rsidRDefault="00AE67BA" w:rsidP="00AE67BA">
      <w:pPr>
        <w:ind w:firstLine="720"/>
        <w:jc w:val="right"/>
        <w:rPr>
          <w:b/>
          <w:bCs/>
        </w:rPr>
      </w:pPr>
      <w:r w:rsidRPr="00AE67BA">
        <w:rPr>
          <w:b/>
          <w:bCs/>
        </w:rPr>
        <w:t>CRIMINALITATEA ECONOMICO-FINANCIARĂ</w:t>
      </w:r>
      <w:r w:rsidRPr="00AE67BA">
        <w:rPr>
          <w:b/>
          <w:bCs/>
          <w:noProof/>
        </w:rPr>
        <w:drawing>
          <wp:inline distT="0" distB="0" distL="0" distR="0">
            <wp:extent cx="6448425" cy="1419225"/>
            <wp:effectExtent l="0" t="0" r="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E67BA" w:rsidRPr="00AE67BA" w:rsidRDefault="00AE67BA" w:rsidP="00AE67BA">
      <w:pPr>
        <w:ind w:firstLine="720"/>
        <w:jc w:val="both"/>
      </w:pPr>
      <w:r w:rsidRPr="00AE67BA">
        <w:t xml:space="preserve">Abordarea fenomenului </w:t>
      </w:r>
      <w:r w:rsidRPr="00AE67BA">
        <w:rPr>
          <w:b/>
          <w:bCs/>
        </w:rPr>
        <w:t>evaziunii fiscale</w:t>
      </w:r>
      <w:r w:rsidRPr="00AE67BA">
        <w:t xml:space="preserve"> s-a realizat din perspectiva constatării unor infracţiuni grave ca mod de operare şi prejudiciu, ori cu un număr mare de suspecţi. </w:t>
      </w:r>
    </w:p>
    <w:p w:rsidR="00AE67BA" w:rsidRPr="00AE67BA" w:rsidRDefault="00AE67BA" w:rsidP="00AE67BA">
      <w:pPr>
        <w:ind w:firstLine="720"/>
        <w:jc w:val="both"/>
      </w:pPr>
      <w:r w:rsidRPr="00AE67BA">
        <w:t xml:space="preserve">Prioritizarea activităţilor pe acest segment s-a axat pe dosarele penale întocmite, măsurile preventive dispuse, prejudiciul recuperat la finalizarea cercetărilor, valoarea măsurilor asiguratorii și finalitatea judiciară. </w:t>
      </w:r>
    </w:p>
    <w:p w:rsidR="00AE67BA" w:rsidRPr="00AE67BA" w:rsidRDefault="00AE67BA" w:rsidP="00AE67BA">
      <w:pPr>
        <w:ind w:firstLine="720"/>
        <w:jc w:val="both"/>
      </w:pPr>
      <w:r w:rsidRPr="00AE67BA">
        <w:t xml:space="preserve">De notat este faptul că prejudiciul recuperat, </w:t>
      </w:r>
      <w:r w:rsidRPr="00AE67BA">
        <w:rPr>
          <w:b/>
        </w:rPr>
        <w:t>în anul 2018</w:t>
      </w:r>
      <w:r w:rsidRPr="00AE67BA">
        <w:t xml:space="preserve">, pe linia evaziunii fiscale, </w:t>
      </w:r>
      <w:r w:rsidRPr="00AE67BA">
        <w:rPr>
          <w:b/>
        </w:rPr>
        <w:t>ar acoperi de aproximativ 6 ori fondurile necesare Poliției Capitalei pentru bunuri și servicii</w:t>
      </w:r>
      <w:r w:rsidRPr="00AE67BA">
        <w:t>.</w:t>
      </w:r>
    </w:p>
    <w:p w:rsidR="00AE67BA" w:rsidRPr="00AE67BA" w:rsidRDefault="00AE67BA" w:rsidP="00AE67BA">
      <w:pPr>
        <w:ind w:firstLine="720"/>
        <w:jc w:val="both"/>
        <w:rPr>
          <w:color w:val="000000" w:themeColor="text1"/>
        </w:rPr>
      </w:pPr>
      <w:r w:rsidRPr="00AE67BA">
        <w:rPr>
          <w:color w:val="000000" w:themeColor="text1"/>
        </w:rPr>
        <w:t xml:space="preserve">Astfel, structurile de investigare a infracționalității economice, cu sprijinul activ al secțiilor de poliție, au constatat </w:t>
      </w:r>
      <w:r w:rsidRPr="00AE67BA">
        <w:rPr>
          <w:b/>
        </w:rPr>
        <w:t>461</w:t>
      </w:r>
      <w:r w:rsidRPr="00AE67BA">
        <w:rPr>
          <w:color w:val="000000" w:themeColor="text1"/>
        </w:rPr>
        <w:t xml:space="preserve"> de infracţiuni de contrabanda, au cercetat  </w:t>
      </w:r>
      <w:r w:rsidRPr="00AE67BA">
        <w:rPr>
          <w:b/>
        </w:rPr>
        <w:t>126 de persoane</w:t>
      </w:r>
      <w:r w:rsidRPr="00AE67BA">
        <w:rPr>
          <w:color w:val="000000" w:themeColor="text1"/>
        </w:rPr>
        <w:t xml:space="preserve">, din care pentru </w:t>
      </w:r>
      <w:r w:rsidRPr="00AE67BA">
        <w:rPr>
          <w:b/>
        </w:rPr>
        <w:t>52</w:t>
      </w:r>
      <w:r w:rsidRPr="00AE67BA">
        <w:rPr>
          <w:b/>
          <w:color w:val="000000" w:themeColor="text1"/>
        </w:rPr>
        <w:t xml:space="preserve"> persoane</w:t>
      </w:r>
      <w:r w:rsidRPr="00AE67BA">
        <w:rPr>
          <w:color w:val="000000" w:themeColor="text1"/>
        </w:rPr>
        <w:t xml:space="preserve"> au fost dispuse măsuri preventive și au indisponibilizat țigarete și tutun vrac în valoare de aproximativ </w:t>
      </w:r>
      <w:r w:rsidRPr="00AE67BA">
        <w:rPr>
          <w:b/>
          <w:color w:val="000000" w:themeColor="text1"/>
        </w:rPr>
        <w:t>2,1</w:t>
      </w:r>
      <w:r w:rsidRPr="00AE67BA">
        <w:rPr>
          <w:color w:val="000000" w:themeColor="text1"/>
        </w:rPr>
        <w:t xml:space="preserve"> milioane lei, </w:t>
      </w:r>
      <w:r w:rsidRPr="00AE67BA">
        <w:rPr>
          <w:b/>
          <w:color w:val="000000" w:themeColor="text1"/>
        </w:rPr>
        <w:t>37 mii USD</w:t>
      </w:r>
      <w:r w:rsidRPr="00AE67BA">
        <w:rPr>
          <w:color w:val="000000" w:themeColor="text1"/>
        </w:rPr>
        <w:t xml:space="preserve"> și </w:t>
      </w:r>
      <w:r w:rsidRPr="00AE67BA">
        <w:rPr>
          <w:b/>
          <w:color w:val="000000" w:themeColor="text1"/>
        </w:rPr>
        <w:t>2.400</w:t>
      </w:r>
      <w:r w:rsidRPr="00AE67BA">
        <w:rPr>
          <w:color w:val="000000" w:themeColor="text1"/>
        </w:rPr>
        <w:t xml:space="preserve"> </w:t>
      </w:r>
      <w:r w:rsidRPr="00AE67BA">
        <w:rPr>
          <w:b/>
          <w:color w:val="000000" w:themeColor="text1"/>
        </w:rPr>
        <w:t>EUR</w:t>
      </w:r>
      <w:r w:rsidRPr="00AE67BA">
        <w:rPr>
          <w:color w:val="000000" w:themeColor="text1"/>
        </w:rPr>
        <w:t>.</w:t>
      </w:r>
    </w:p>
    <w:p w:rsidR="00AE67BA" w:rsidRPr="00AE67BA" w:rsidRDefault="00AE67BA" w:rsidP="00AE67BA">
      <w:pPr>
        <w:ind w:firstLine="720"/>
        <w:jc w:val="both"/>
      </w:pPr>
      <w:r w:rsidRPr="00AE67BA">
        <w:t xml:space="preserve">Activitatea desfăşurată de aceste structuri s-a materializat în înregistrarea în anul 2018 a peste </w:t>
      </w:r>
      <w:r w:rsidRPr="00AE67BA">
        <w:rPr>
          <w:b/>
        </w:rPr>
        <w:t xml:space="preserve">2.688 </w:t>
      </w:r>
      <w:r w:rsidRPr="00AE67BA">
        <w:rPr>
          <w:b/>
          <w:bCs/>
        </w:rPr>
        <w:t>cauze</w:t>
      </w:r>
      <w:r w:rsidRPr="00AE67BA">
        <w:t>. Peste</w:t>
      </w:r>
      <w:r w:rsidRPr="00AE67BA">
        <w:rPr>
          <w:b/>
        </w:rPr>
        <w:t xml:space="preserve"> 4.132 de cauze </w:t>
      </w:r>
      <w:r w:rsidRPr="00AE67BA">
        <w:t xml:space="preserve">au fost soluționate, din care </w:t>
      </w:r>
      <w:r w:rsidRPr="00AE67BA">
        <w:rPr>
          <w:b/>
        </w:rPr>
        <w:t>159</w:t>
      </w:r>
      <w:r w:rsidRPr="00AE67BA">
        <w:t xml:space="preserve"> prin trimitere în judecată, la finalul anului rămânând în lucru aproximativ </w:t>
      </w:r>
      <w:r w:rsidRPr="00AE67BA">
        <w:rPr>
          <w:b/>
        </w:rPr>
        <w:t>11.524 de cauze</w:t>
      </w:r>
      <w:r w:rsidRPr="00AE67BA">
        <w:t xml:space="preserve">, ceea ce înseamnă că, pentru un poliţist de investigare a criminalității economice a rămas în lucru, în medie, </w:t>
      </w:r>
      <w:r w:rsidRPr="00AE67BA">
        <w:rPr>
          <w:b/>
          <w:bCs/>
        </w:rPr>
        <w:t xml:space="preserve">43 </w:t>
      </w:r>
      <w:r w:rsidRPr="00AE67BA">
        <w:rPr>
          <w:bCs/>
        </w:rPr>
        <w:t>de</w:t>
      </w:r>
      <w:r w:rsidRPr="00AE67BA">
        <w:t xml:space="preserve"> dosare.</w:t>
      </w:r>
    </w:p>
    <w:p w:rsidR="00AE67BA" w:rsidRPr="00AE67BA" w:rsidRDefault="00AE67BA" w:rsidP="00AE67BA">
      <w:pPr>
        <w:ind w:firstLine="720"/>
        <w:rPr>
          <w:b/>
          <w:bCs/>
          <w:u w:val="single"/>
        </w:rPr>
      </w:pPr>
      <w:r w:rsidRPr="00AE67BA">
        <w:rPr>
          <w:b/>
          <w:u w:val="single"/>
        </w:rPr>
        <w:t>ORDINE PUBLICĂ</w:t>
      </w:r>
      <w:r w:rsidRPr="00AE67BA">
        <w:rPr>
          <w:u w:val="single"/>
        </w:rPr>
        <w:t xml:space="preserve"> </w:t>
      </w:r>
    </w:p>
    <w:p w:rsidR="00AE67BA" w:rsidRPr="00AE67BA" w:rsidRDefault="00AE67BA" w:rsidP="00AE67BA">
      <w:pPr>
        <w:ind w:firstLine="720"/>
        <w:jc w:val="both"/>
        <w:rPr>
          <w:color w:val="000000" w:themeColor="text1"/>
        </w:rPr>
      </w:pPr>
      <w:r w:rsidRPr="00AE67BA">
        <w:t>Ordinea publică, cea mai vizibilă structură din poliție, prima care intră în contact cu cetățeanul şi este chemată să aplice legea, este organizată pe două paliere: central și secție,</w:t>
      </w:r>
      <w:r w:rsidRPr="00AE67BA">
        <w:rPr>
          <w:b/>
          <w:color w:val="000000" w:themeColor="text1"/>
        </w:rPr>
        <w:t xml:space="preserve"> </w:t>
      </w:r>
      <w:r w:rsidRPr="00AE67BA">
        <w:rPr>
          <w:color w:val="000000" w:themeColor="text1"/>
        </w:rPr>
        <w:t>atingând în acest an un procent de</w:t>
      </w:r>
      <w:r w:rsidRPr="00AE67BA">
        <w:rPr>
          <w:b/>
          <w:color w:val="000000" w:themeColor="text1"/>
        </w:rPr>
        <w:t xml:space="preserve"> </w:t>
      </w:r>
      <w:r w:rsidRPr="00AE67BA">
        <w:rPr>
          <w:color w:val="000000" w:themeColor="text1"/>
        </w:rPr>
        <w:t xml:space="preserve">încadrare de </w:t>
      </w:r>
      <w:r w:rsidRPr="00AE67BA">
        <w:rPr>
          <w:b/>
          <w:color w:val="000000" w:themeColor="text1"/>
        </w:rPr>
        <w:t>90%</w:t>
      </w:r>
      <w:r w:rsidRPr="00AE67BA">
        <w:rPr>
          <w:color w:val="000000" w:themeColor="text1"/>
        </w:rPr>
        <w:t>,</w:t>
      </w:r>
      <w:r w:rsidRPr="00AE67BA">
        <w:rPr>
          <w:b/>
          <w:color w:val="000000" w:themeColor="text1"/>
        </w:rPr>
        <w:t xml:space="preserve"> </w:t>
      </w:r>
      <w:r w:rsidRPr="00AE67BA">
        <w:rPr>
          <w:color w:val="000000" w:themeColor="text1"/>
        </w:rPr>
        <w:t>ca urmare a infuziei masive de personal din școlile de agenți de poliție.</w:t>
      </w:r>
    </w:p>
    <w:p w:rsidR="00AE67BA" w:rsidRPr="00AE67BA" w:rsidRDefault="00AE67BA" w:rsidP="00AE67BA">
      <w:pPr>
        <w:ind w:firstLine="720"/>
        <w:jc w:val="both"/>
      </w:pPr>
      <w:r w:rsidRPr="00AE67BA">
        <w:lastRenderedPageBreak/>
        <w:t xml:space="preserve">Polițiștii acestor structuri au un rol determinant în combaterea infracționalității stradale în toate formele ei de manifestare, astfel în perioada de referință aceștia au constatat aproximativ </w:t>
      </w:r>
      <w:r w:rsidRPr="00AE67BA">
        <w:rPr>
          <w:b/>
        </w:rPr>
        <w:t>58%</w:t>
      </w:r>
      <w:r w:rsidRPr="00AE67BA">
        <w:t xml:space="preserve"> din totalul infracţiunilor descoperite </w:t>
      </w:r>
      <w:r w:rsidRPr="00AE67BA">
        <w:rPr>
          <w:b/>
        </w:rPr>
        <w:t>în flagrant</w:t>
      </w:r>
      <w:r w:rsidRPr="00AE67BA">
        <w:t xml:space="preserve">, au aplicat </w:t>
      </w:r>
      <w:r w:rsidRPr="00AE67BA">
        <w:rPr>
          <w:b/>
        </w:rPr>
        <w:t xml:space="preserve">75.196 </w:t>
      </w:r>
      <w:r w:rsidRPr="00AE67BA">
        <w:t xml:space="preserve">sancțiuni contravenționale și au intervenit la </w:t>
      </w:r>
      <w:r w:rsidRPr="00AE67BA">
        <w:rPr>
          <w:b/>
        </w:rPr>
        <w:t>79%</w:t>
      </w:r>
      <w:r w:rsidRPr="00AE67BA">
        <w:t xml:space="preserve"> din apelurile primite prin Sistemul Naţional Unic pentru Apeluri de Urgenţă 112.</w:t>
      </w:r>
    </w:p>
    <w:p w:rsidR="00AE67BA" w:rsidRPr="00AE67BA" w:rsidRDefault="00AE67BA" w:rsidP="00AE67BA">
      <w:pPr>
        <w:ind w:firstLine="720"/>
        <w:jc w:val="both"/>
        <w:rPr>
          <w:color w:val="000000" w:themeColor="text1"/>
        </w:rPr>
      </w:pPr>
      <w:r w:rsidRPr="00AE67BA">
        <w:rPr>
          <w:color w:val="000000" w:themeColor="text1"/>
        </w:rPr>
        <w:t xml:space="preserve">Poliția Capitalei gestionează </w:t>
      </w:r>
      <w:r w:rsidRPr="00AE67BA">
        <w:rPr>
          <w:b/>
          <w:color w:val="000000" w:themeColor="text1"/>
        </w:rPr>
        <w:t xml:space="preserve">15% </w:t>
      </w:r>
      <w:r w:rsidRPr="00AE67BA">
        <w:rPr>
          <w:color w:val="000000" w:themeColor="text1"/>
        </w:rPr>
        <w:t xml:space="preserve">din totalul apelurilor, primite la nivel național, prin Sistemul Naţional Unic pentru Apeluri de Urgenţă 112, ceea ce reprezintă </w:t>
      </w:r>
      <w:r w:rsidRPr="00AE67BA">
        <w:rPr>
          <w:b/>
          <w:color w:val="000000" w:themeColor="text1"/>
        </w:rPr>
        <w:t>628</w:t>
      </w:r>
      <w:r w:rsidRPr="00AE67BA">
        <w:rPr>
          <w:color w:val="000000" w:themeColor="text1"/>
        </w:rPr>
        <w:t xml:space="preserve"> de apeluri pe zi şi 1 apel primit la fiecare </w:t>
      </w:r>
      <w:r w:rsidRPr="00AE67BA">
        <w:rPr>
          <w:b/>
          <w:color w:val="000000" w:themeColor="text1"/>
        </w:rPr>
        <w:t>2,3 minute</w:t>
      </w:r>
      <w:r w:rsidRPr="00AE67BA">
        <w:rPr>
          <w:color w:val="000000" w:themeColor="text1"/>
        </w:rPr>
        <w:t xml:space="preserve">. </w:t>
      </w:r>
    </w:p>
    <w:p w:rsidR="00AE67BA" w:rsidRPr="00AE67BA" w:rsidRDefault="00AE67BA" w:rsidP="00AE67BA">
      <w:pPr>
        <w:ind w:firstLine="720"/>
        <w:jc w:val="both"/>
        <w:rPr>
          <w:color w:val="000000" w:themeColor="text1"/>
        </w:rPr>
      </w:pPr>
      <w:r w:rsidRPr="00AE67BA">
        <w:rPr>
          <w:color w:val="000000" w:themeColor="text1"/>
        </w:rPr>
        <w:t xml:space="preserve">Anul 2018 înregistrează o creștere a apelurilor cetățenilor prin Sistemul Naţional Unic pentru Apeluri de Urgenţă 112, în procent de </w:t>
      </w:r>
      <w:r w:rsidRPr="00AE67BA">
        <w:rPr>
          <w:b/>
          <w:color w:val="000000" w:themeColor="text1"/>
        </w:rPr>
        <w:t>13%</w:t>
      </w:r>
      <w:r w:rsidRPr="00AE67BA">
        <w:rPr>
          <w:color w:val="000000" w:themeColor="text1"/>
        </w:rPr>
        <w:t>.</w:t>
      </w:r>
    </w:p>
    <w:p w:rsidR="00AE67BA" w:rsidRPr="00AE67BA" w:rsidRDefault="00AE67BA" w:rsidP="00AE67BA">
      <w:pPr>
        <w:jc w:val="both"/>
        <w:rPr>
          <w:color w:val="FF0000"/>
        </w:rPr>
      </w:pPr>
      <w:r w:rsidRPr="00AE67BA">
        <w:rPr>
          <w:b/>
        </w:rPr>
        <w:tab/>
        <w:t>Poliţia de proximitate</w:t>
      </w:r>
      <w:r w:rsidRPr="00AE67BA">
        <w:t xml:space="preserve"> asigură un serviciu complet şi complex, deopotrivă proactiv şi reactiv pe palierul de menținere a ordinei și siguranței publice.</w:t>
      </w:r>
      <w:r w:rsidRPr="00AE67BA">
        <w:rPr>
          <w:color w:val="FF0000"/>
        </w:rPr>
        <w:t xml:space="preserve"> </w:t>
      </w:r>
    </w:p>
    <w:p w:rsidR="00AE67BA" w:rsidRPr="00AE67BA" w:rsidRDefault="00AE67BA" w:rsidP="00AE67BA">
      <w:pPr>
        <w:ind w:firstLine="720"/>
        <w:jc w:val="both"/>
      </w:pPr>
      <w:r w:rsidRPr="00AE67BA">
        <w:t xml:space="preserve">Astfel, polițiștii de proximitate au desfășurat </w:t>
      </w:r>
      <w:r w:rsidRPr="00AE67BA">
        <w:rPr>
          <w:b/>
        </w:rPr>
        <w:t>18.184</w:t>
      </w:r>
      <w:r w:rsidRPr="00AE67BA">
        <w:t xml:space="preserve"> de activități în comunitate iar, prin soluționarea cu promptitudine și profesionalism a peste </w:t>
      </w:r>
      <w:r w:rsidRPr="00AE67BA">
        <w:rPr>
          <w:b/>
        </w:rPr>
        <w:t xml:space="preserve">16.017 </w:t>
      </w:r>
      <w:r w:rsidRPr="00AE67BA">
        <w:t>sesizări, a fost consolidat parteneriatul cu societatea civilă.</w:t>
      </w:r>
    </w:p>
    <w:p w:rsidR="00AE67BA" w:rsidRPr="00AE67BA" w:rsidRDefault="00AE67BA" w:rsidP="00AE67BA">
      <w:pPr>
        <w:ind w:firstLine="720"/>
        <w:jc w:val="both"/>
        <w:rPr>
          <w:color w:val="000000" w:themeColor="text1"/>
        </w:rPr>
      </w:pPr>
      <w:r w:rsidRPr="00AE67BA">
        <w:t xml:space="preserve">Preocuparea Poliției Capitalei pentru </w:t>
      </w:r>
      <w:r w:rsidRPr="00AE67BA">
        <w:rPr>
          <w:b/>
        </w:rPr>
        <w:t>violența în familie</w:t>
      </w:r>
      <w:r w:rsidRPr="00AE67BA">
        <w:t xml:space="preserve"> este considerată  adiacentă angajamentului asumat, în sensul asigurării siguranței cetățeanului. Astfel, în 2018, problematica infracționalității comise în mediul familial a fost tratată cu fermitate, instrumentarea sesizărilor pe această linie concretizându-se în întocmirea unui număr de </w:t>
      </w:r>
      <w:r w:rsidRPr="00AE67BA">
        <w:rPr>
          <w:b/>
        </w:rPr>
        <w:t>4.094</w:t>
      </w:r>
      <w:r w:rsidRPr="00AE67BA">
        <w:rPr>
          <w:b/>
          <w:color w:val="000000" w:themeColor="text1"/>
        </w:rPr>
        <w:t xml:space="preserve"> dosare penale</w:t>
      </w:r>
      <w:r w:rsidRPr="00AE67BA">
        <w:rPr>
          <w:color w:val="000000" w:themeColor="text1"/>
        </w:rPr>
        <w:t xml:space="preserve">, </w:t>
      </w:r>
      <w:r w:rsidRPr="00AE67BA">
        <w:rPr>
          <w:b/>
          <w:color w:val="000000" w:themeColor="text1"/>
        </w:rPr>
        <w:t>reținerea a 14 persoane</w:t>
      </w:r>
      <w:r w:rsidRPr="00AE67BA">
        <w:rPr>
          <w:color w:val="FF0000"/>
        </w:rPr>
        <w:t xml:space="preserve"> </w:t>
      </w:r>
      <w:r w:rsidRPr="00AE67BA">
        <w:rPr>
          <w:color w:val="000000" w:themeColor="text1"/>
        </w:rPr>
        <w:t xml:space="preserve">și instrumentarea a </w:t>
      </w:r>
      <w:r w:rsidRPr="00AE67BA">
        <w:rPr>
          <w:b/>
          <w:color w:val="000000" w:themeColor="text1"/>
        </w:rPr>
        <w:t>193 de dosare</w:t>
      </w:r>
      <w:r w:rsidRPr="00AE67BA">
        <w:rPr>
          <w:color w:val="000000" w:themeColor="text1"/>
        </w:rPr>
        <w:t xml:space="preserve"> privind nerespectarea condițiilor stabilite de instanțele de judecată.</w:t>
      </w:r>
      <w:r w:rsidRPr="00AE67BA">
        <w:rPr>
          <w:color w:val="000000" w:themeColor="text1"/>
        </w:rPr>
        <w:tab/>
      </w:r>
    </w:p>
    <w:p w:rsidR="00AE67BA" w:rsidRPr="00AE67BA" w:rsidRDefault="00AE67BA" w:rsidP="00AE67BA">
      <w:pPr>
        <w:ind w:firstLine="720"/>
        <w:jc w:val="both"/>
      </w:pPr>
      <w:r w:rsidRPr="00AE67BA">
        <w:rPr>
          <w:b/>
        </w:rPr>
        <w:t>Gestionarea infracționalității comise în mediu familial a cunoscut o modificare esențială și va reprezenta o provocare a anului 2019</w:t>
      </w:r>
      <w:r w:rsidRPr="00AE67BA">
        <w:t>, astfel de la finalul lunii decembrie 2018, polițiștii emit ordine de protecție provizorii în situațiile în care există un risc iminent ca viața, integritatea fizică ori libertatea unei persoane să fie pusă în pericol printr-un act de violență domestică.</w:t>
      </w:r>
    </w:p>
    <w:p w:rsidR="00AE67BA" w:rsidRPr="00AE67BA" w:rsidRDefault="00AE67BA" w:rsidP="00AE67BA">
      <w:pPr>
        <w:ind w:firstLine="720"/>
        <w:jc w:val="both"/>
      </w:pPr>
      <w:r w:rsidRPr="00AE67BA">
        <w:t xml:space="preserve">Criminalitatea sesizată în incinta și în zona </w:t>
      </w:r>
      <w:r w:rsidRPr="00AE67BA">
        <w:rPr>
          <w:b/>
        </w:rPr>
        <w:t>unităţilor de învăţământ</w:t>
      </w:r>
      <w:r w:rsidRPr="00AE67BA">
        <w:t xml:space="preserve"> a înregistrat o creștere de </w:t>
      </w:r>
      <w:r w:rsidRPr="00AE67BA">
        <w:rPr>
          <w:b/>
        </w:rPr>
        <w:t>37%</w:t>
      </w:r>
      <w:r w:rsidRPr="00AE67BA">
        <w:t xml:space="preserve">. </w:t>
      </w:r>
    </w:p>
    <w:p w:rsidR="00AE67BA" w:rsidRDefault="00AE67BA" w:rsidP="00AE67BA">
      <w:pPr>
        <w:ind w:firstLine="720"/>
        <w:jc w:val="both"/>
      </w:pPr>
      <w:r w:rsidRPr="00AE67BA">
        <w:t xml:space="preserve">Principala problemă continuă să fie infracţiunile săvârşite în interiorul unităţilor şcolare, cu o pondere de aproximativ </w:t>
      </w:r>
      <w:r w:rsidRPr="00AE67BA">
        <w:rPr>
          <w:b/>
        </w:rPr>
        <w:t>88% din total</w:t>
      </w:r>
      <w:r w:rsidRPr="00AE67BA">
        <w:t>, ceea ce arată că, asigurarea pazei şi controlului accesului în unităţile de învăţământ rămâne un aspect ce trebuie îmbunătățit.</w:t>
      </w:r>
    </w:p>
    <w:p w:rsidR="006B1D2E" w:rsidRPr="00AE67BA" w:rsidRDefault="006B1D2E" w:rsidP="00AE67BA">
      <w:pPr>
        <w:ind w:firstLine="720"/>
        <w:jc w:val="both"/>
      </w:pPr>
    </w:p>
    <w:p w:rsidR="00AE67BA" w:rsidRPr="00AE67BA" w:rsidRDefault="00AE67BA" w:rsidP="00AE67BA">
      <w:pPr>
        <w:ind w:firstLine="720"/>
        <w:jc w:val="right"/>
        <w:rPr>
          <w:b/>
        </w:rPr>
      </w:pPr>
      <w:r w:rsidRPr="00AE67BA">
        <w:rPr>
          <w:b/>
        </w:rPr>
        <w:t>INFRACȚIUNI SESIZATE ÎN INCINTA/ZONA UNITĂȚILOR DE ÎNVĂŢĂMÂNT</w:t>
      </w:r>
    </w:p>
    <w:p w:rsidR="00AE67BA" w:rsidRPr="00AE67BA" w:rsidRDefault="00AE67BA" w:rsidP="00AE67BA">
      <w:pPr>
        <w:jc w:val="right"/>
        <w:rPr>
          <w:b/>
        </w:rPr>
      </w:pPr>
      <w:r w:rsidRPr="00AE67BA">
        <w:rPr>
          <w:b/>
          <w:noProof/>
        </w:rPr>
        <w:drawing>
          <wp:inline distT="0" distB="0" distL="0" distR="0">
            <wp:extent cx="6467475" cy="1257300"/>
            <wp:effectExtent l="0" t="0" r="0"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E67BA" w:rsidRPr="00AE67BA" w:rsidRDefault="00AE67BA" w:rsidP="00AE67BA">
      <w:pPr>
        <w:ind w:firstLine="720"/>
        <w:jc w:val="both"/>
        <w:rPr>
          <w:color w:val="000000" w:themeColor="text1"/>
        </w:rPr>
      </w:pPr>
      <w:r w:rsidRPr="00AE67BA">
        <w:rPr>
          <w:color w:val="000000" w:themeColor="text1"/>
        </w:rPr>
        <w:t xml:space="preserve">În scopul optimizării activităţii de pază a obiectivelor, bunurilor şi de protecţie a persoanelor, au fost efectuate peste </w:t>
      </w:r>
      <w:r w:rsidRPr="00AE67BA">
        <w:rPr>
          <w:b/>
          <w:color w:val="000000" w:themeColor="text1"/>
        </w:rPr>
        <w:t xml:space="preserve">8.319 </w:t>
      </w:r>
      <w:r w:rsidRPr="00AE67BA">
        <w:rPr>
          <w:color w:val="000000" w:themeColor="text1"/>
        </w:rPr>
        <w:t>de controale,</w:t>
      </w:r>
      <w:r w:rsidRPr="00AE67BA">
        <w:rPr>
          <w:color w:val="FF0000"/>
        </w:rPr>
        <w:t xml:space="preserve"> </w:t>
      </w:r>
      <w:r w:rsidRPr="00AE67BA">
        <w:rPr>
          <w:color w:val="000000" w:themeColor="text1"/>
        </w:rPr>
        <w:t xml:space="preserve">în urma cărora au fost constatate </w:t>
      </w:r>
      <w:r w:rsidRPr="00AE67BA">
        <w:rPr>
          <w:b/>
          <w:color w:val="000000" w:themeColor="text1"/>
        </w:rPr>
        <w:t>18</w:t>
      </w:r>
      <w:r w:rsidRPr="00AE67BA">
        <w:rPr>
          <w:color w:val="000000" w:themeColor="text1"/>
        </w:rPr>
        <w:t xml:space="preserve"> infracţiuni şi au fost aplicate </w:t>
      </w:r>
      <w:r w:rsidRPr="00AE67BA">
        <w:rPr>
          <w:b/>
          <w:color w:val="000000" w:themeColor="text1"/>
        </w:rPr>
        <w:t>2.301</w:t>
      </w:r>
      <w:r w:rsidRPr="00AE67BA">
        <w:rPr>
          <w:color w:val="000000" w:themeColor="text1"/>
        </w:rPr>
        <w:t xml:space="preserve"> de sancțiuni contravenţionale. </w:t>
      </w:r>
    </w:p>
    <w:p w:rsidR="00AE67BA" w:rsidRPr="00AE67BA" w:rsidRDefault="00AE67BA" w:rsidP="00AE67BA">
      <w:pPr>
        <w:ind w:firstLine="720"/>
        <w:rPr>
          <w:b/>
          <w:bCs/>
          <w:u w:val="single"/>
        </w:rPr>
      </w:pPr>
      <w:r w:rsidRPr="00AE67BA">
        <w:rPr>
          <w:b/>
          <w:u w:val="single"/>
        </w:rPr>
        <w:t>POLIȚIE RUTIERĂ</w:t>
      </w:r>
    </w:p>
    <w:p w:rsidR="00AE67BA" w:rsidRPr="00AE67BA" w:rsidRDefault="00AE67BA" w:rsidP="00AE67BA">
      <w:pPr>
        <w:ind w:firstLine="720"/>
        <w:jc w:val="both"/>
      </w:pPr>
      <w:r w:rsidRPr="00AE67BA">
        <w:rPr>
          <w:b/>
        </w:rPr>
        <w:t xml:space="preserve"> Brigada Rutieră</w:t>
      </w:r>
      <w:r w:rsidRPr="00AE67BA">
        <w:t xml:space="preserve"> este structura aflată în prim-planul tuturor evenimentelor majore din capitală cu ocazia manifestaţiilor cultural–sportive, sociale și politice (vizite oficiale, adunări publice, meciuri de fotbal, etc.).</w:t>
      </w:r>
    </w:p>
    <w:p w:rsidR="00AE67BA" w:rsidRPr="00AE67BA" w:rsidRDefault="00AE67BA" w:rsidP="00AE67BA">
      <w:pPr>
        <w:ind w:firstLine="720"/>
        <w:jc w:val="both"/>
        <w:rPr>
          <w:color w:val="000000" w:themeColor="text1"/>
        </w:rPr>
      </w:pPr>
      <w:r w:rsidRPr="00AE67BA">
        <w:rPr>
          <w:color w:val="000000" w:themeColor="text1"/>
        </w:rPr>
        <w:t xml:space="preserve">Structura are un procent de încadrare de </w:t>
      </w:r>
      <w:r w:rsidRPr="00AE67BA">
        <w:rPr>
          <w:b/>
          <w:color w:val="000000" w:themeColor="text1"/>
        </w:rPr>
        <w:t xml:space="preserve">95% </w:t>
      </w:r>
      <w:r w:rsidRPr="00AE67BA">
        <w:rPr>
          <w:color w:val="000000" w:themeColor="text1"/>
        </w:rPr>
        <w:t xml:space="preserve">și are ca principale atribuții prevenirea accidentelor rutiere și asigurarea fluenței traficului rutier. </w:t>
      </w:r>
    </w:p>
    <w:p w:rsidR="00AE67BA" w:rsidRPr="00AE67BA" w:rsidRDefault="00AE67BA" w:rsidP="00AE67BA">
      <w:pPr>
        <w:ind w:firstLine="720"/>
        <w:jc w:val="both"/>
        <w:rPr>
          <w:b/>
          <w:color w:val="000000" w:themeColor="text1"/>
        </w:rPr>
      </w:pPr>
      <w:r w:rsidRPr="00AE67BA">
        <w:rPr>
          <w:color w:val="000000" w:themeColor="text1"/>
        </w:rPr>
        <w:t xml:space="preserve">Dinamica accidentelor grave înregistrează, </w:t>
      </w:r>
      <w:r w:rsidRPr="00AE67BA">
        <w:rPr>
          <w:b/>
          <w:color w:val="000000" w:themeColor="text1"/>
        </w:rPr>
        <w:t>în anul 2018</w:t>
      </w:r>
      <w:r w:rsidRPr="00AE67BA">
        <w:rPr>
          <w:color w:val="000000" w:themeColor="text1"/>
        </w:rPr>
        <w:t xml:space="preserve">, o creștere cu </w:t>
      </w:r>
      <w:r w:rsidRPr="00AE67BA">
        <w:rPr>
          <w:b/>
          <w:color w:val="000000" w:themeColor="text1"/>
        </w:rPr>
        <w:t>16,78 %</w:t>
      </w:r>
      <w:r w:rsidRPr="00AE67BA">
        <w:rPr>
          <w:color w:val="000000" w:themeColor="text1"/>
        </w:rPr>
        <w:t xml:space="preserve">, și cu toate că numărul persoanelor rănite grav crește cu </w:t>
      </w:r>
      <w:r w:rsidRPr="00AE67BA">
        <w:rPr>
          <w:b/>
          <w:color w:val="000000" w:themeColor="text1"/>
        </w:rPr>
        <w:t xml:space="preserve">21,53%, </w:t>
      </w:r>
      <w:r w:rsidRPr="00AE67BA">
        <w:rPr>
          <w:color w:val="000000" w:themeColor="text1"/>
        </w:rPr>
        <w:t xml:space="preserve">numărul persoanelor decedate evidențiază o scădere importantă, cu </w:t>
      </w:r>
      <w:r w:rsidRPr="00AE67BA">
        <w:rPr>
          <w:b/>
          <w:color w:val="000000" w:themeColor="text1"/>
        </w:rPr>
        <w:t xml:space="preserve">32%. </w:t>
      </w:r>
    </w:p>
    <w:p w:rsidR="00AE67BA" w:rsidRPr="00AE67BA" w:rsidRDefault="00AE67BA" w:rsidP="00AE67BA">
      <w:pPr>
        <w:jc w:val="both"/>
        <w:rPr>
          <w:color w:val="000000" w:themeColor="text1"/>
        </w:rPr>
      </w:pPr>
      <w:r w:rsidRPr="00AE67BA">
        <w:rPr>
          <w:noProof/>
          <w:color w:val="000000" w:themeColor="text1"/>
        </w:rPr>
        <w:lastRenderedPageBreak/>
        <w:drawing>
          <wp:inline distT="0" distB="0" distL="0" distR="0">
            <wp:extent cx="6448425" cy="1666875"/>
            <wp:effectExtent l="0" t="0" r="0" b="0"/>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B1D2E" w:rsidRDefault="006B1D2E" w:rsidP="00AE67BA">
      <w:pPr>
        <w:ind w:firstLine="720"/>
        <w:jc w:val="both"/>
        <w:rPr>
          <w:b/>
        </w:rPr>
      </w:pPr>
    </w:p>
    <w:p w:rsidR="00AE67BA" w:rsidRPr="00AE67BA" w:rsidRDefault="00AE67BA" w:rsidP="00AE67BA">
      <w:pPr>
        <w:ind w:firstLine="720"/>
        <w:jc w:val="both"/>
      </w:pPr>
      <w:r w:rsidRPr="00AE67BA">
        <w:rPr>
          <w:b/>
        </w:rPr>
        <w:t>Principalele cauze generatoare de accidente grave</w:t>
      </w:r>
      <w:r w:rsidRPr="00AE67BA">
        <w:t xml:space="preserve"> rămân: traversarea neregulamentară a pietonilor, neacordarea de prioritate pentru pietoni, neacordarea de prioritate pentru vehicule şi viteza neadaptată. </w:t>
      </w:r>
    </w:p>
    <w:p w:rsidR="00AE67BA" w:rsidRPr="00AE67BA" w:rsidRDefault="00AE67BA" w:rsidP="00AE67BA">
      <w:pPr>
        <w:ind w:firstLine="720"/>
        <w:jc w:val="both"/>
      </w:pPr>
      <w:r w:rsidRPr="00AE67BA">
        <w:t xml:space="preserve">Pentru combaterea cauzelor generatoare de accidente grave polițiștii rutieri au desfășurat </w:t>
      </w:r>
      <w:r w:rsidRPr="00AE67BA">
        <w:rPr>
          <w:b/>
        </w:rPr>
        <w:t>208 acțiuni</w:t>
      </w:r>
      <w:r w:rsidRPr="00AE67BA">
        <w:t xml:space="preserve">, au aplicat </w:t>
      </w:r>
      <w:r w:rsidRPr="00AE67BA">
        <w:rPr>
          <w:b/>
        </w:rPr>
        <w:t>190.722 sancțiuni contravenționale</w:t>
      </w:r>
      <w:r w:rsidRPr="00AE67BA">
        <w:t xml:space="preserve"> și au descoperit </w:t>
      </w:r>
      <w:r w:rsidRPr="00AE67BA">
        <w:rPr>
          <w:b/>
        </w:rPr>
        <w:t>6.350 infracțiuni</w:t>
      </w:r>
      <w:r w:rsidRPr="00AE67BA">
        <w:t>.</w:t>
      </w:r>
    </w:p>
    <w:p w:rsidR="00AE67BA" w:rsidRPr="00AE67BA" w:rsidRDefault="00AE67BA" w:rsidP="00AE67BA">
      <w:pPr>
        <w:ind w:firstLine="720"/>
        <w:jc w:val="both"/>
      </w:pPr>
      <w:r w:rsidRPr="00AE67BA">
        <w:rPr>
          <w:b/>
        </w:rPr>
        <w:t>Mortalitatea generata de accidente rutiere atinge</w:t>
      </w:r>
      <w:r w:rsidRPr="00AE67BA">
        <w:t xml:space="preserve"> anul acesta </w:t>
      </w:r>
      <w:r w:rsidRPr="00AE67BA">
        <w:rPr>
          <w:b/>
          <w:bCs/>
        </w:rPr>
        <w:t>valorile</w:t>
      </w:r>
      <w:r w:rsidRPr="00AE67BA">
        <w:t xml:space="preserve"> stabilite pentru anul 2020, estimate în </w:t>
      </w:r>
      <w:r w:rsidRPr="00AE67BA">
        <w:rPr>
          <w:b/>
        </w:rPr>
        <w:t>Programul European de Acţiune pe linia Siguranţei Rutiere</w:t>
      </w:r>
      <w:r w:rsidRPr="00AE67BA">
        <w:t>.</w:t>
      </w:r>
    </w:p>
    <w:p w:rsidR="00AE67BA" w:rsidRPr="00AE67BA" w:rsidRDefault="00AE67BA" w:rsidP="00AE67BA">
      <w:pPr>
        <w:jc w:val="both"/>
        <w:rPr>
          <w:noProof/>
        </w:rPr>
      </w:pPr>
      <w:r w:rsidRPr="00AE67BA">
        <w:rPr>
          <w:noProof/>
        </w:rPr>
        <w:drawing>
          <wp:anchor distT="0" distB="4445" distL="114300" distR="115316" simplePos="0" relativeHeight="251678720" behindDoc="0" locked="0" layoutInCell="1" allowOverlap="1">
            <wp:simplePos x="0" y="0"/>
            <wp:positionH relativeFrom="column">
              <wp:posOffset>314960</wp:posOffset>
            </wp:positionH>
            <wp:positionV relativeFrom="paragraph">
              <wp:posOffset>1428750</wp:posOffset>
            </wp:positionV>
            <wp:extent cx="5979160" cy="26670"/>
            <wp:effectExtent l="0" t="0" r="0" b="0"/>
            <wp:wrapNone/>
            <wp:docPr id="38" name="Object 3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96200" cy="38100"/>
                      <a:chOff x="838200" y="4648200"/>
                      <a:chExt cx="7696200" cy="38100"/>
                    </a:xfrm>
                  </a:grpSpPr>
                  <a:cxnSp>
                    <a:nvCxnSpPr>
                      <a:cNvPr id="17" name="Straight Connector 16"/>
                      <a:cNvCxnSpPr>
                        <a:stCxn id="23" idx="1"/>
                      </a:cNvCxnSpPr>
                    </a:nvCxnSpPr>
                    <a:spPr>
                      <a:xfrm flipH="1" flipV="1">
                        <a:off x="838200" y="4648200"/>
                        <a:ext cx="7696200" cy="38100"/>
                      </a:xfrm>
                      <a:prstGeom prst="line">
                        <a:avLst/>
                      </a:prstGeom>
                      <a:noFill/>
                      <a:ln w="25400" cap="flat" cmpd="sng" algn="ctr">
                        <a:solidFill>
                          <a:srgbClr val="FFC000"/>
                        </a:solidFill>
                        <a:prstDash val="dash"/>
                      </a:ln>
                      <a:effectLst/>
                    </a:spPr>
                    <a:style>
                      <a:lnRef idx="1">
                        <a:schemeClr val="accent1"/>
                      </a:lnRef>
                      <a:fillRef idx="0">
                        <a:schemeClr val="accent1"/>
                      </a:fillRef>
                      <a:effectRef idx="0">
                        <a:schemeClr val="accent1"/>
                      </a:effectRef>
                      <a:fontRef idx="minor">
                        <a:schemeClr val="tx1"/>
                      </a:fontRef>
                    </a:style>
                  </a:cxnSp>
                </lc:lockedCanvas>
              </a:graphicData>
            </a:graphic>
          </wp:anchor>
        </w:drawing>
      </w:r>
      <w:r w:rsidRPr="00AE67BA">
        <w:rPr>
          <w:noProof/>
        </w:rPr>
        <w:drawing>
          <wp:anchor distT="0" distB="0" distL="114300" distR="114300" simplePos="0" relativeHeight="251679744" behindDoc="0" locked="0" layoutInCell="1" allowOverlap="1">
            <wp:simplePos x="0" y="0"/>
            <wp:positionH relativeFrom="column">
              <wp:posOffset>5894070</wp:posOffset>
            </wp:positionH>
            <wp:positionV relativeFrom="paragraph">
              <wp:posOffset>1347470</wp:posOffset>
            </wp:positionV>
            <wp:extent cx="476250" cy="228600"/>
            <wp:effectExtent l="0" t="0" r="0" b="0"/>
            <wp:wrapNone/>
            <wp:docPr id="34" name="Object 3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9600" cy="228600"/>
                      <a:chOff x="8534400" y="4572000"/>
                      <a:chExt cx="609600" cy="228600"/>
                    </a:xfrm>
                  </a:grpSpPr>
                  <a:sp>
                    <a:nvSpPr>
                      <a:cNvPr id="23" name="Rectangle 22"/>
                      <a:cNvSpPr/>
                    </a:nvSpPr>
                    <a:spPr>
                      <a:xfrm>
                        <a:off x="8534400" y="4572000"/>
                        <a:ext cx="609600" cy="2286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pPr>
                    <a:txSp>
                      <a:txBody>
                        <a:bodyPr rtlCol="0" anchor="ct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ro-RO" sz="1400" b="1" i="1" dirty="0" smtClean="0">
                              <a:solidFill>
                                <a:srgbClr val="FF0000"/>
                              </a:solidFill>
                            </a:rPr>
                            <a:t>-50%</a:t>
                          </a:r>
                          <a:endParaRPr lang="ro-RO" sz="1400" b="1" i="1" dirty="0">
                            <a:solidFill>
                              <a:srgbClr val="FF0000"/>
                            </a:solidFill>
                          </a:endParaRPr>
                        </a:p>
                      </a:txBody>
                      <a:useSpRect/>
                    </a:txSp>
                    <a:style>
                      <a:lnRef idx="1">
                        <a:schemeClr val="accent6"/>
                      </a:lnRef>
                      <a:fillRef idx="2">
                        <a:schemeClr val="accent6"/>
                      </a:fillRef>
                      <a:effectRef idx="1">
                        <a:schemeClr val="accent6"/>
                      </a:effectRef>
                      <a:fontRef idx="minor">
                        <a:schemeClr val="dk1"/>
                      </a:fontRef>
                    </a:style>
                  </a:sp>
                </lc:lockedCanvas>
              </a:graphicData>
            </a:graphic>
          </wp:anchor>
        </w:drawing>
      </w:r>
      <w:r w:rsidRPr="00AE67BA">
        <w:rPr>
          <w:noProof/>
        </w:rPr>
        <w:drawing>
          <wp:inline distT="0" distB="0" distL="0" distR="0">
            <wp:extent cx="6431544" cy="2059663"/>
            <wp:effectExtent l="0" t="0" r="0" b="0"/>
            <wp:docPr id="1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B1D2E" w:rsidRDefault="00AE67BA" w:rsidP="00AE67BA">
      <w:pPr>
        <w:jc w:val="both"/>
      </w:pPr>
      <w:r w:rsidRPr="00AE67BA">
        <w:tab/>
      </w:r>
    </w:p>
    <w:p w:rsidR="00AE67BA" w:rsidRPr="00AE67BA" w:rsidRDefault="006B1D2E" w:rsidP="00AE67BA">
      <w:pPr>
        <w:jc w:val="both"/>
      </w:pPr>
      <w:r>
        <w:tab/>
      </w:r>
      <w:r w:rsidR="00AE67BA" w:rsidRPr="00AE67BA">
        <w:rPr>
          <w:b/>
          <w:bCs/>
        </w:rPr>
        <w:t>Latura preventivă în materie de siguranţă rutieră</w:t>
      </w:r>
      <w:r w:rsidR="00AE67BA" w:rsidRPr="00AE67BA">
        <w:t xml:space="preserve"> a însumat un număr semnificativ de programe destinate educaţiei rutiere în mediul şcolar, conştientizării de către participanţii la trafic a necesităţii respectării normelor rutiere, precum şi riscului la care aceştia se expun în cazul încălcării lor.</w:t>
      </w:r>
    </w:p>
    <w:p w:rsidR="00AE67BA" w:rsidRPr="00AE67BA" w:rsidRDefault="00AE67BA" w:rsidP="00AE67BA">
      <w:pPr>
        <w:ind w:firstLine="720"/>
        <w:jc w:val="both"/>
        <w:rPr>
          <w:u w:val="single"/>
        </w:rPr>
      </w:pPr>
      <w:r w:rsidRPr="00AE67BA">
        <w:rPr>
          <w:b/>
          <w:bCs/>
          <w:u w:val="single"/>
        </w:rPr>
        <w:t xml:space="preserve">TRANSPORTUL PUBLIC </w:t>
      </w:r>
    </w:p>
    <w:p w:rsidR="00AE67BA" w:rsidRPr="00AE67BA" w:rsidRDefault="00AE67BA" w:rsidP="00AE67BA">
      <w:pPr>
        <w:jc w:val="both"/>
      </w:pPr>
      <w:r w:rsidRPr="00AE67BA">
        <w:tab/>
        <w:t>Brigada de Poliție pentru Transportul Public asigură prevenirea și combaterea criminalității pe mijloacele de transport urban, de suprafață și subteran, fiind pusă în practică o abordare integrată de siguranță a călătorilor.</w:t>
      </w:r>
    </w:p>
    <w:p w:rsidR="00AE67BA" w:rsidRPr="00AE67BA" w:rsidRDefault="00AE67BA" w:rsidP="00AE67BA">
      <w:pPr>
        <w:jc w:val="both"/>
      </w:pPr>
      <w:r w:rsidRPr="00AE67BA">
        <w:tab/>
        <w:t xml:space="preserve">În anul 2018 pe mijloacele de transport au fost sesizate </w:t>
      </w:r>
      <w:r w:rsidRPr="00AE67BA">
        <w:rPr>
          <w:b/>
        </w:rPr>
        <w:t>1.245</w:t>
      </w:r>
      <w:r w:rsidRPr="00AE67BA">
        <w:t xml:space="preserve"> infracțiuni, cu </w:t>
      </w:r>
      <w:r w:rsidRPr="00AE67BA">
        <w:rPr>
          <w:b/>
        </w:rPr>
        <w:t>14%</w:t>
      </w:r>
      <w:r w:rsidRPr="00AE67BA">
        <w:t xml:space="preserve"> mai puțin față de anul anterior, dintre care </w:t>
      </w:r>
      <w:r w:rsidRPr="00AE67BA">
        <w:rPr>
          <w:b/>
        </w:rPr>
        <w:t>137</w:t>
      </w:r>
      <w:r w:rsidRPr="00AE67BA">
        <w:t xml:space="preserve"> au fost descoperite în flagrant.</w:t>
      </w:r>
    </w:p>
    <w:p w:rsidR="00AE67BA" w:rsidRPr="00AE67BA" w:rsidRDefault="00AE67BA" w:rsidP="00AE67BA">
      <w:pPr>
        <w:jc w:val="both"/>
      </w:pPr>
      <w:r w:rsidRPr="00AE67BA">
        <w:tab/>
        <w:t xml:space="preserve">Polițiștii brigăzii intervenind la </w:t>
      </w:r>
      <w:r w:rsidRPr="00AE67BA">
        <w:rPr>
          <w:b/>
        </w:rPr>
        <w:t>453</w:t>
      </w:r>
      <w:r w:rsidRPr="00AE67BA">
        <w:t xml:space="preserve"> evenimente semnalate prin S.N.U.A.U. 112, </w:t>
      </w:r>
      <w:r w:rsidRPr="00AE67BA">
        <w:rPr>
          <w:b/>
        </w:rPr>
        <w:t>cu 78% mai multe față de anul anterior</w:t>
      </w:r>
      <w:r w:rsidRPr="00AE67BA">
        <w:t>.</w:t>
      </w:r>
    </w:p>
    <w:p w:rsidR="00AE67BA" w:rsidRPr="00AE67BA" w:rsidRDefault="00AE67BA" w:rsidP="00AE67BA">
      <w:pPr>
        <w:ind w:firstLine="720"/>
        <w:jc w:val="both"/>
        <w:rPr>
          <w:b/>
          <w:u w:val="single"/>
        </w:rPr>
      </w:pPr>
      <w:r w:rsidRPr="00AE67BA">
        <w:rPr>
          <w:b/>
          <w:u w:val="single"/>
        </w:rPr>
        <w:t>ACTIVITATEA STRUCTURILOR DE SUPORT</w:t>
      </w:r>
    </w:p>
    <w:p w:rsidR="00AE67BA" w:rsidRPr="00AE67BA" w:rsidRDefault="00AE67BA" w:rsidP="00AE67BA">
      <w:pPr>
        <w:ind w:firstLine="720"/>
        <w:jc w:val="both"/>
      </w:pPr>
      <w:r w:rsidRPr="00AE67BA">
        <w:t>Rezultatele prezentate anterior nu puteau fi obţinute fără aportul structurilor de suport operativ, decizional şi administrativ.</w:t>
      </w:r>
    </w:p>
    <w:p w:rsidR="00AE67BA" w:rsidRPr="00AE67BA" w:rsidRDefault="00AE67BA" w:rsidP="00AE67BA">
      <w:pPr>
        <w:ind w:firstLine="720"/>
        <w:jc w:val="both"/>
      </w:pPr>
      <w:r w:rsidRPr="00AE67BA">
        <w:t xml:space="preserve">Se remarcă activitatea </w:t>
      </w:r>
      <w:r w:rsidRPr="00AE67BA">
        <w:rPr>
          <w:b/>
          <w:bCs/>
        </w:rPr>
        <w:t>criminaliştilor</w:t>
      </w:r>
      <w:r w:rsidRPr="00AE67BA">
        <w:t xml:space="preserve">, una dintre cele mai importante structuri de suport, care, în 2018, a fost alături de polițiștii operativi prin cele </w:t>
      </w:r>
      <w:r w:rsidRPr="00AE67BA">
        <w:rPr>
          <w:b/>
        </w:rPr>
        <w:t>11.690</w:t>
      </w:r>
      <w:r w:rsidRPr="00AE67BA">
        <w:t xml:space="preserve"> cercetări la fața locului efectuate și cele </w:t>
      </w:r>
      <w:r w:rsidRPr="00AE67BA">
        <w:rPr>
          <w:b/>
        </w:rPr>
        <w:t xml:space="preserve">1.653 persoane </w:t>
      </w:r>
      <w:r w:rsidRPr="00AE67BA">
        <w:rPr>
          <w:b/>
          <w:bCs/>
        </w:rPr>
        <w:t>identificate</w:t>
      </w:r>
      <w:r w:rsidRPr="00AE67BA">
        <w:rPr>
          <w:bCs/>
        </w:rPr>
        <w:t xml:space="preserve"> prin sistemul AFIS sau prin expertize și constatări criminalistice.</w:t>
      </w:r>
      <w:r w:rsidRPr="00AE67BA">
        <w:t xml:space="preserve">   </w:t>
      </w:r>
    </w:p>
    <w:p w:rsidR="00AE67BA" w:rsidRPr="00AE67BA" w:rsidRDefault="00AE67BA" w:rsidP="00AE67BA">
      <w:pPr>
        <w:ind w:firstLine="720"/>
        <w:jc w:val="both"/>
        <w:rPr>
          <w:bCs/>
        </w:rPr>
      </w:pPr>
      <w:r w:rsidRPr="00AE67BA">
        <w:rPr>
          <w:b/>
          <w:bCs/>
        </w:rPr>
        <w:t xml:space="preserve">Activitatea de reţinere </w:t>
      </w:r>
      <w:r w:rsidRPr="00AE67BA">
        <w:rPr>
          <w:bCs/>
        </w:rPr>
        <w:t xml:space="preserve">şi </w:t>
      </w:r>
      <w:r w:rsidRPr="00AE67BA">
        <w:rPr>
          <w:b/>
          <w:bCs/>
        </w:rPr>
        <w:t>arestare preventivă</w:t>
      </w:r>
      <w:r w:rsidRPr="00AE67BA">
        <w:rPr>
          <w:bCs/>
        </w:rPr>
        <w:t xml:space="preserve"> a fost o preocupare constantă la nivelul Poliției Capitalei. Prin cele 11 centre de reţinere şi arestare preventivă, cu o capacitate de </w:t>
      </w:r>
      <w:r w:rsidRPr="00AE67BA">
        <w:rPr>
          <w:b/>
          <w:bCs/>
        </w:rPr>
        <w:t xml:space="preserve">aproximativ 400 </w:t>
      </w:r>
      <w:r w:rsidRPr="00AE67BA">
        <w:rPr>
          <w:b/>
          <w:bCs/>
        </w:rPr>
        <w:lastRenderedPageBreak/>
        <w:t>locuri</w:t>
      </w:r>
      <w:r w:rsidRPr="00AE67BA">
        <w:rPr>
          <w:bCs/>
        </w:rPr>
        <w:t xml:space="preserve">, se deservesc atât structurile D.G.P.M.B. cât și cele ale I.G.P.R., IPJ Ilfov, D.N.A., D.I.I.C.O.T., D.G.A. și ale Parchetelor militare, aproximativ </w:t>
      </w:r>
      <w:r w:rsidRPr="00AE67BA">
        <w:rPr>
          <w:b/>
          <w:bCs/>
        </w:rPr>
        <w:t>31%</w:t>
      </w:r>
      <w:r w:rsidRPr="00AE67BA">
        <w:rPr>
          <w:bCs/>
        </w:rPr>
        <w:t xml:space="preserve"> din persoanele încarcerate fiind introduse în arest de către acestea din urmă.</w:t>
      </w:r>
    </w:p>
    <w:p w:rsidR="00AE67BA" w:rsidRPr="00AE67BA" w:rsidRDefault="00AE67BA" w:rsidP="00AE67BA">
      <w:pPr>
        <w:ind w:firstLine="720"/>
        <w:jc w:val="both"/>
        <w:rPr>
          <w:b/>
          <w:bCs/>
        </w:rPr>
      </w:pPr>
      <w:r w:rsidRPr="00AE67BA">
        <w:rPr>
          <w:bCs/>
        </w:rPr>
        <w:t xml:space="preserve">În anul 2018, au fost încarcerate </w:t>
      </w:r>
      <w:r w:rsidRPr="00AE67BA">
        <w:rPr>
          <w:b/>
          <w:bCs/>
        </w:rPr>
        <w:t>3.075</w:t>
      </w:r>
      <w:r w:rsidRPr="00AE67BA">
        <w:rPr>
          <w:bCs/>
        </w:rPr>
        <w:t xml:space="preserve"> de persoane, ceea ce reprezintă </w:t>
      </w:r>
      <w:r w:rsidRPr="00AE67BA">
        <w:rPr>
          <w:b/>
          <w:bCs/>
        </w:rPr>
        <w:t>18%</w:t>
      </w:r>
      <w:r w:rsidRPr="00AE67BA">
        <w:rPr>
          <w:bCs/>
        </w:rPr>
        <w:t xml:space="preserve"> </w:t>
      </w:r>
      <w:r w:rsidRPr="00AE67BA">
        <w:rPr>
          <w:b/>
          <w:bCs/>
        </w:rPr>
        <w:t>din totalul persoanelor încarcerate la nivel național.</w:t>
      </w:r>
    </w:p>
    <w:p w:rsidR="00AE67BA" w:rsidRPr="00AE67BA" w:rsidRDefault="00AE67BA" w:rsidP="00AE67BA">
      <w:pPr>
        <w:ind w:firstLine="720"/>
        <w:jc w:val="both"/>
        <w:rPr>
          <w:bCs/>
        </w:rPr>
      </w:pPr>
      <w:r w:rsidRPr="00AE67BA">
        <w:rPr>
          <w:bCs/>
        </w:rPr>
        <w:t xml:space="preserve">Dacă în anii anteriori una dintre problemele structurii a constituit-o deficitul de personal, în urma politicii de resurse umane de la nivelul Poliției Române, în anul 2018 prin repartizarea directă de agenți din instituțiile de învățământ, procentul de încadrare atinge un procent de </w:t>
      </w:r>
      <w:r w:rsidRPr="00AE67BA">
        <w:rPr>
          <w:b/>
          <w:bCs/>
        </w:rPr>
        <w:t>91%</w:t>
      </w:r>
      <w:r w:rsidRPr="00AE67BA">
        <w:rPr>
          <w:bCs/>
        </w:rPr>
        <w:t>.</w:t>
      </w:r>
    </w:p>
    <w:p w:rsidR="00AE67BA" w:rsidRPr="00AE67BA" w:rsidRDefault="00AE67BA" w:rsidP="00AE67BA">
      <w:pPr>
        <w:ind w:firstLine="720"/>
        <w:jc w:val="both"/>
      </w:pPr>
      <w:r w:rsidRPr="00AE67BA">
        <w:rPr>
          <w:b/>
          <w:bCs/>
        </w:rPr>
        <w:t>Serviciul pentru Acţiuni Speciale</w:t>
      </w:r>
      <w:r w:rsidRPr="00AE67BA">
        <w:t xml:space="preserve"> constituie principalul suport al structurilor operative în derularea unor acţiuni cu grad ridicat de risc, astfel, cele </w:t>
      </w:r>
      <w:r w:rsidRPr="00AE67BA">
        <w:rPr>
          <w:b/>
        </w:rPr>
        <w:t>2.359</w:t>
      </w:r>
      <w:r w:rsidRPr="00AE67BA">
        <w:t xml:space="preserve"> de misiuni la care aceştia au fost solicitaţi să participe, confirmă eficienţa şi profesionalismul polițiștilor, fie că ne referim la percheziţii sau la executarea unor mandate, ori misiuni de escortă</w:t>
      </w:r>
      <w:r w:rsidRPr="00AE67BA">
        <w:rPr>
          <w:b/>
        </w:rPr>
        <w:t>.</w:t>
      </w:r>
    </w:p>
    <w:p w:rsidR="00AE67BA" w:rsidRPr="00AE67BA" w:rsidRDefault="00AE67BA" w:rsidP="00AE67BA">
      <w:pPr>
        <w:ind w:firstLine="720"/>
        <w:jc w:val="both"/>
        <w:rPr>
          <w:bCs/>
        </w:rPr>
      </w:pPr>
      <w:r w:rsidRPr="00AE67BA">
        <w:rPr>
          <w:bCs/>
        </w:rPr>
        <w:t xml:space="preserve">În </w:t>
      </w:r>
      <w:r w:rsidRPr="00AE67BA">
        <w:rPr>
          <w:b/>
          <w:bCs/>
        </w:rPr>
        <w:t>2018</w:t>
      </w:r>
      <w:r w:rsidRPr="00AE67BA">
        <w:rPr>
          <w:bCs/>
        </w:rPr>
        <w:t xml:space="preserve">, polițiștii din cadrul </w:t>
      </w:r>
      <w:r w:rsidRPr="00AE67BA">
        <w:rPr>
          <w:b/>
          <w:bCs/>
        </w:rPr>
        <w:t>Biroului Misiuni Speciale</w:t>
      </w:r>
      <w:r w:rsidRPr="00AE67BA">
        <w:rPr>
          <w:bCs/>
        </w:rPr>
        <w:t xml:space="preserve"> au intervenit în </w:t>
      </w:r>
      <w:r w:rsidRPr="00AE67BA">
        <w:rPr>
          <w:b/>
          <w:bCs/>
        </w:rPr>
        <w:t>30 de situații limită</w:t>
      </w:r>
      <w:r w:rsidRPr="00AE67BA">
        <w:rPr>
          <w:bCs/>
        </w:rPr>
        <w:t>.</w:t>
      </w:r>
    </w:p>
    <w:p w:rsidR="00AE67BA" w:rsidRPr="00AE67BA" w:rsidRDefault="00AE67BA" w:rsidP="00AE67BA">
      <w:pPr>
        <w:ind w:firstLine="720"/>
        <w:jc w:val="both"/>
        <w:rPr>
          <w:bCs/>
        </w:rPr>
      </w:pPr>
      <w:r w:rsidRPr="00AE67BA">
        <w:rPr>
          <w:b/>
          <w:bCs/>
        </w:rPr>
        <w:t xml:space="preserve">Activitatea de consiliere şi reprezentare juridică </w:t>
      </w:r>
      <w:r w:rsidRPr="00AE67BA">
        <w:rPr>
          <w:bCs/>
        </w:rPr>
        <w:t xml:space="preserve">s-a materializat, printre altele, în obţinerea de soluţii favorabile în instanţă în peste </w:t>
      </w:r>
      <w:r w:rsidRPr="00AE67BA">
        <w:rPr>
          <w:b/>
          <w:bCs/>
        </w:rPr>
        <w:t>3.191</w:t>
      </w:r>
      <w:r w:rsidRPr="00AE67BA">
        <w:rPr>
          <w:bCs/>
        </w:rPr>
        <w:t xml:space="preserve"> de dosare în care s-au pronunţat soluţii definitive şi irevocabile.</w:t>
      </w:r>
    </w:p>
    <w:p w:rsidR="00AE67BA" w:rsidRPr="00AE67BA" w:rsidRDefault="00AE67BA" w:rsidP="00AE67BA">
      <w:pPr>
        <w:ind w:firstLine="720"/>
        <w:jc w:val="both"/>
        <w:rPr>
          <w:bCs/>
        </w:rPr>
      </w:pPr>
      <w:r w:rsidRPr="00AE67BA">
        <w:rPr>
          <w:bCs/>
        </w:rPr>
        <w:t xml:space="preserve">De asemenea, activitatea de relaţionare cu publicul reprezintă una dintre cele mai importante componente în sfera preocupărilor instituţiei fiind legătura permanentă cu cetățenii, fiind primite şi soluţionate </w:t>
      </w:r>
      <w:r w:rsidRPr="00AE67BA">
        <w:rPr>
          <w:b/>
          <w:bCs/>
        </w:rPr>
        <w:t>51.715 petiţii</w:t>
      </w:r>
      <w:r w:rsidRPr="00AE67BA">
        <w:rPr>
          <w:bCs/>
        </w:rPr>
        <w:t>, ceea ce dovedește încă o dată capitalul de încredere pe care îl are Poliția Capitalei.</w:t>
      </w:r>
    </w:p>
    <w:p w:rsidR="00AE67BA" w:rsidRPr="00AE67BA" w:rsidRDefault="00AE67BA" w:rsidP="00AE67BA">
      <w:pPr>
        <w:ind w:firstLine="720"/>
        <w:jc w:val="both"/>
        <w:rPr>
          <w:b/>
          <w:bCs/>
          <w:color w:val="FF0000"/>
        </w:rPr>
      </w:pPr>
      <w:r w:rsidRPr="00AE67BA">
        <w:rPr>
          <w:bCs/>
        </w:rPr>
        <w:t>La buna funcționare a instituției, și-au adus aportul și celelalte structuri de suport, dintre care putem aminti: Serviciul de Poliție canină, controlul intern, comunicațiile și informatică, psihologic, structura de securitate, logistic, resurse umane, financiar, cazier judiciar.</w:t>
      </w:r>
    </w:p>
    <w:p w:rsidR="00AE67BA" w:rsidRPr="00AE67BA" w:rsidRDefault="00AE67BA" w:rsidP="00AE67BA">
      <w:pPr>
        <w:ind w:firstLine="720"/>
        <w:jc w:val="both"/>
        <w:rPr>
          <w:color w:val="000000" w:themeColor="text1"/>
        </w:rPr>
      </w:pPr>
      <w:r w:rsidRPr="00AE67BA">
        <w:rPr>
          <w:b/>
          <w:bCs/>
          <w:color w:val="000000" w:themeColor="text1"/>
        </w:rPr>
        <w:t>Cooperarea interinstituţională</w:t>
      </w:r>
      <w:r w:rsidRPr="00AE67BA">
        <w:rPr>
          <w:color w:val="000000" w:themeColor="text1"/>
        </w:rPr>
        <w:t xml:space="preserve"> reprezintă pilonul principal în realizarea obiectivelor asumate, rezultatele neputând fi obţinute fără susţinerea acordată de instituţiile partenere din cadrul sistemului judiciar, de ordine şi siguranţă publică, securitate naţională, de administraţia centrală şi locală şi, nu în ultimul rând, toți ceilalți parteneri, împreună cu care ne-am concentrat eforturile pentru asigurarea nivelului de siguranță atât în spaţiul public, privat, cât şi în cel al mediului de afaceri.</w:t>
      </w:r>
    </w:p>
    <w:p w:rsidR="00AE67BA" w:rsidRPr="00AE67BA" w:rsidRDefault="00AE67BA" w:rsidP="00AE67BA">
      <w:pPr>
        <w:ind w:firstLine="720"/>
        <w:jc w:val="both"/>
        <w:rPr>
          <w:color w:val="000000" w:themeColor="text1"/>
        </w:rPr>
      </w:pPr>
      <w:r w:rsidRPr="00AE67BA">
        <w:rPr>
          <w:color w:val="000000" w:themeColor="text1"/>
        </w:rPr>
        <w:t xml:space="preserve">Activitatea polițiștilor bucureșteni în planul </w:t>
      </w:r>
      <w:r w:rsidRPr="00AE67BA">
        <w:rPr>
          <w:b/>
          <w:bCs/>
          <w:color w:val="000000" w:themeColor="text1"/>
        </w:rPr>
        <w:t>cooperării internaţionale s-a materializat în</w:t>
      </w:r>
      <w:r w:rsidRPr="00AE67BA">
        <w:rPr>
          <w:color w:val="000000" w:themeColor="text1"/>
        </w:rPr>
        <w:t xml:space="preserve"> participarea la </w:t>
      </w:r>
      <w:r w:rsidRPr="00AE67BA">
        <w:rPr>
          <w:b/>
          <w:color w:val="000000" w:themeColor="text1"/>
        </w:rPr>
        <w:t xml:space="preserve">10 </w:t>
      </w:r>
      <w:r w:rsidRPr="00AE67BA">
        <w:rPr>
          <w:color w:val="000000" w:themeColor="text1"/>
        </w:rPr>
        <w:t xml:space="preserve">misiuni operative în alte state și </w:t>
      </w:r>
      <w:r w:rsidRPr="00AE67BA">
        <w:rPr>
          <w:b/>
          <w:color w:val="000000" w:themeColor="text1"/>
        </w:rPr>
        <w:t>primirea a 9</w:t>
      </w:r>
      <w:r w:rsidRPr="00AE67BA">
        <w:rPr>
          <w:color w:val="000000" w:themeColor="text1"/>
        </w:rPr>
        <w:t xml:space="preserve"> delegații străine în vizită de studiu sau de documentare. </w:t>
      </w:r>
    </w:p>
    <w:p w:rsidR="00AE67BA" w:rsidRPr="00AE67BA" w:rsidRDefault="00AE67BA" w:rsidP="00AE67BA">
      <w:pPr>
        <w:ind w:firstLine="720"/>
        <w:jc w:val="both"/>
        <w:rPr>
          <w:color w:val="000000" w:themeColor="text1"/>
        </w:rPr>
      </w:pPr>
      <w:r w:rsidRPr="00AE67BA">
        <w:rPr>
          <w:color w:val="000000" w:themeColor="text1"/>
        </w:rPr>
        <w:t>De asemenea, cooperarea internațională a vizat dezvoltarea parteneriatului cu celelalte instituţii de aplicare a legii, în efortul comun pentru combaterea criminalităţii în spațiul Uniunii Europene.</w:t>
      </w:r>
    </w:p>
    <w:p w:rsidR="00AE67BA" w:rsidRPr="00AE67BA" w:rsidRDefault="00AE67BA" w:rsidP="00AE67BA">
      <w:pPr>
        <w:ind w:firstLine="720"/>
        <w:jc w:val="both"/>
        <w:rPr>
          <w:color w:val="000000" w:themeColor="text1"/>
        </w:rPr>
      </w:pPr>
      <w:r w:rsidRPr="00AE67BA">
        <w:rPr>
          <w:bCs/>
          <w:color w:val="000000" w:themeColor="text1"/>
        </w:rPr>
        <w:t xml:space="preserve">Obiectivul transparenței instituționale </w:t>
      </w:r>
      <w:r w:rsidRPr="00AE67BA">
        <w:rPr>
          <w:color w:val="000000" w:themeColor="text1"/>
        </w:rPr>
        <w:t>l-a constituit prezentarea onestă şi echidistantă a activităţii organizației, Poliţia Capitalei rămâne în continuare un important vector de imagine al Poliţiei Române.</w:t>
      </w:r>
    </w:p>
    <w:p w:rsidR="00AE67BA" w:rsidRPr="005710F8" w:rsidRDefault="00AE67BA" w:rsidP="00AE67BA">
      <w:pPr>
        <w:ind w:firstLine="720"/>
        <w:jc w:val="both"/>
        <w:rPr>
          <w:bCs/>
          <w:color w:val="000000" w:themeColor="text1"/>
          <w:sz w:val="26"/>
          <w:szCs w:val="26"/>
        </w:rPr>
      </w:pPr>
      <w:r w:rsidRPr="00AE67BA">
        <w:rPr>
          <w:bCs/>
          <w:color w:val="000000" w:themeColor="text1"/>
        </w:rPr>
        <w:t xml:space="preserve">Activitatea Direcţiei Generale de Poliţie a Municipiului Bucureşti a fost reflectată în peste </w:t>
      </w:r>
      <w:r w:rsidRPr="00AE67BA">
        <w:rPr>
          <w:b/>
          <w:bCs/>
          <w:color w:val="000000" w:themeColor="text1"/>
        </w:rPr>
        <w:t>7.500</w:t>
      </w:r>
      <w:r w:rsidRPr="00AE67BA">
        <w:rPr>
          <w:bCs/>
          <w:color w:val="000000" w:themeColor="text1"/>
        </w:rPr>
        <w:t xml:space="preserve"> de prezenţe mediatice scrise, online, radio şi TV.</w:t>
      </w:r>
    </w:p>
    <w:p w:rsidR="00284A40" w:rsidRPr="006B1D2E" w:rsidRDefault="006B1D2E" w:rsidP="00A77970">
      <w:pPr>
        <w:jc w:val="both"/>
        <w:rPr>
          <w:color w:val="000000" w:themeColor="text1"/>
        </w:rPr>
      </w:pPr>
      <w:r>
        <w:rPr>
          <w:color w:val="000000" w:themeColor="text1"/>
        </w:rPr>
        <w:t xml:space="preserve"> </w:t>
      </w:r>
    </w:p>
    <w:p w:rsidR="00A66032" w:rsidRPr="0014428E" w:rsidRDefault="0014428E" w:rsidP="00A77970">
      <w:pPr>
        <w:autoSpaceDE w:val="0"/>
        <w:autoSpaceDN w:val="0"/>
        <w:adjustRightInd w:val="0"/>
        <w:jc w:val="both"/>
        <w:rPr>
          <w:b/>
          <w:lang w:val="it-IT" w:eastAsia="en-US"/>
        </w:rPr>
      </w:pPr>
      <w:r>
        <w:rPr>
          <w:b/>
          <w:kern w:val="28"/>
          <w:lang w:val="en-US" w:eastAsia="en-US"/>
        </w:rPr>
        <w:t>P</w:t>
      </w:r>
      <w:r w:rsidRPr="001A0ECE">
        <w:rPr>
          <w:b/>
          <w:kern w:val="28"/>
          <w:lang w:val="en-US" w:eastAsia="en-US"/>
        </w:rPr>
        <w:t xml:space="preserve">rincipalele realizări </w:t>
      </w:r>
      <w:r>
        <w:rPr>
          <w:b/>
          <w:kern w:val="28"/>
          <w:lang w:val="en-US" w:eastAsia="en-US"/>
        </w:rPr>
        <w:t xml:space="preserve">ale </w:t>
      </w:r>
      <w:r w:rsidRPr="007A580D">
        <w:rPr>
          <w:b/>
          <w:lang w:val="it-IT" w:eastAsia="en-US"/>
        </w:rPr>
        <w:t>Direcți</w:t>
      </w:r>
      <w:r>
        <w:rPr>
          <w:b/>
          <w:lang w:val="it-IT" w:eastAsia="en-US"/>
        </w:rPr>
        <w:t>ei</w:t>
      </w:r>
      <w:r w:rsidRPr="007A580D">
        <w:rPr>
          <w:b/>
          <w:lang w:val="it-IT" w:eastAsia="en-US"/>
        </w:rPr>
        <w:t xml:space="preserve"> Generală </w:t>
      </w:r>
      <w:r>
        <w:rPr>
          <w:b/>
          <w:lang w:val="it-IT" w:eastAsia="en-US"/>
        </w:rPr>
        <w:t>d</w:t>
      </w:r>
      <w:r w:rsidRPr="007A580D">
        <w:rPr>
          <w:b/>
          <w:lang w:val="it-IT" w:eastAsia="en-US"/>
        </w:rPr>
        <w:t xml:space="preserve">e Jandarmi </w:t>
      </w:r>
      <w:r>
        <w:rPr>
          <w:b/>
          <w:lang w:val="it-IT" w:eastAsia="en-US"/>
        </w:rPr>
        <w:t>a</w:t>
      </w:r>
      <w:r w:rsidRPr="007A580D">
        <w:rPr>
          <w:b/>
          <w:lang w:val="it-IT" w:eastAsia="en-US"/>
        </w:rPr>
        <w:t xml:space="preserve"> Municipiului </w:t>
      </w:r>
      <w:r w:rsidRPr="0014428E">
        <w:rPr>
          <w:b/>
          <w:lang w:val="it-IT" w:eastAsia="en-US"/>
        </w:rPr>
        <w:t xml:space="preserve">București </w:t>
      </w:r>
      <w:r w:rsidR="00473E5C" w:rsidRPr="0014428E">
        <w:rPr>
          <w:b/>
          <w:lang w:val="it-IT" w:eastAsia="en-US"/>
        </w:rPr>
        <w:t>(D.G.J.M.B.)</w:t>
      </w:r>
    </w:p>
    <w:p w:rsidR="00473E5C" w:rsidRDefault="00473E5C" w:rsidP="00A77970">
      <w:pPr>
        <w:autoSpaceDE w:val="0"/>
        <w:autoSpaceDN w:val="0"/>
        <w:adjustRightInd w:val="0"/>
        <w:rPr>
          <w:b/>
          <w:lang w:val="it-IT" w:eastAsia="en-US"/>
        </w:rPr>
      </w:pPr>
    </w:p>
    <w:p w:rsidR="00A77970" w:rsidRDefault="00A66032" w:rsidP="00CE08D7">
      <w:pPr>
        <w:ind w:firstLine="720"/>
        <w:jc w:val="both"/>
        <w:rPr>
          <w:kern w:val="24"/>
          <w:lang w:val="af-ZA" w:eastAsia="pl-PL"/>
        </w:rPr>
      </w:pPr>
      <w:r w:rsidRPr="00A66032">
        <w:rPr>
          <w:kern w:val="24"/>
          <w:lang w:val="pl-PL" w:eastAsia="pl-PL"/>
        </w:rPr>
        <w:t>În anul 201</w:t>
      </w:r>
      <w:r w:rsidR="00A77970">
        <w:rPr>
          <w:kern w:val="24"/>
          <w:lang w:val="pl-PL" w:eastAsia="pl-PL"/>
        </w:rPr>
        <w:t>8,</w:t>
      </w:r>
      <w:r w:rsidRPr="00A66032">
        <w:rPr>
          <w:kern w:val="24"/>
          <w:lang w:val="pl-PL" w:eastAsia="pl-PL"/>
        </w:rPr>
        <w:t xml:space="preserve"> Direcţia Generală de Jandarmi a Municipiului Bucureşti a planificat, organizat şi executat</w:t>
      </w:r>
      <w:r w:rsidR="00A77970">
        <w:rPr>
          <w:kern w:val="24"/>
          <w:lang w:val="pl-PL" w:eastAsia="pl-PL"/>
        </w:rPr>
        <w:t xml:space="preserve"> un număr</w:t>
      </w:r>
      <w:r w:rsidRPr="00A66032">
        <w:rPr>
          <w:kern w:val="24"/>
          <w:lang w:val="pl-PL" w:eastAsia="pl-PL"/>
        </w:rPr>
        <w:t xml:space="preserve"> </w:t>
      </w:r>
      <w:r w:rsidR="00A77970" w:rsidRPr="009010C0">
        <w:rPr>
          <w:kern w:val="24"/>
          <w:lang w:val="af-ZA" w:eastAsia="pl-PL"/>
        </w:rPr>
        <w:t xml:space="preserve">de </w:t>
      </w:r>
      <w:r w:rsidR="00A77970" w:rsidRPr="009010C0">
        <w:rPr>
          <w:b/>
          <w:kern w:val="24"/>
          <w:lang w:val="af-ZA" w:eastAsia="pl-PL"/>
        </w:rPr>
        <w:t>17.827</w:t>
      </w:r>
      <w:r w:rsidR="00A77970" w:rsidRPr="009010C0">
        <w:rPr>
          <w:kern w:val="24"/>
          <w:lang w:val="af-ZA" w:eastAsia="pl-PL"/>
        </w:rPr>
        <w:t xml:space="preserve"> misiuni cu un efectiv de </w:t>
      </w:r>
      <w:r w:rsidR="00A77970" w:rsidRPr="009010C0">
        <w:rPr>
          <w:b/>
          <w:kern w:val="24"/>
          <w:lang w:val="af-ZA" w:eastAsia="pl-PL"/>
        </w:rPr>
        <w:t>140.183</w:t>
      </w:r>
      <w:r w:rsidR="00A77970" w:rsidRPr="009010C0">
        <w:rPr>
          <w:kern w:val="24"/>
          <w:lang w:val="af-ZA" w:eastAsia="pl-PL"/>
        </w:rPr>
        <w:t xml:space="preserve"> jandarmi, comparativ cu anul 2017, când s-au planificat, organizat şi executat un număr de 16.747 misiuni cu un efectiv de 135.610 jandarmi, ceea ce reprezintă o creștere de 6 % a numărului de misiuni, respectiv de 3% a</w:t>
      </w:r>
      <w:r w:rsidR="00A77970">
        <w:rPr>
          <w:kern w:val="24"/>
          <w:lang w:val="af-ZA" w:eastAsia="pl-PL"/>
        </w:rPr>
        <w:t xml:space="preserve"> numărului de jandarmi folosiţi.</w:t>
      </w:r>
    </w:p>
    <w:p w:rsidR="00A77970" w:rsidRPr="009010C0" w:rsidRDefault="00A77970" w:rsidP="00CE08D7">
      <w:pPr>
        <w:ind w:firstLine="720"/>
        <w:jc w:val="both"/>
        <w:rPr>
          <w:kern w:val="24"/>
          <w:lang w:val="af-ZA" w:eastAsia="pl-PL"/>
        </w:rPr>
      </w:pPr>
      <w:r w:rsidRPr="009010C0">
        <w:rPr>
          <w:b/>
          <w:i/>
          <w:kern w:val="24"/>
          <w:lang w:val="af-ZA" w:eastAsia="pl-PL"/>
        </w:rPr>
        <w:t xml:space="preserve">Asigurarea ordinii publice la manifestările de protest </w:t>
      </w:r>
      <w:r w:rsidRPr="009010C0">
        <w:rPr>
          <w:kern w:val="24"/>
          <w:lang w:val="af-ZA" w:eastAsia="pl-PL"/>
        </w:rPr>
        <w:t>reprezintă aproximativ 25,22% din totalul misiunilor de asigurare a ordinii publice executate în anul 2018, atenţia fiind concentrată atât pe activităţile premergătoare desfăşurării manifestărilor, cât și pe activitățile desfășurate pe timpul misiunii propriu-zise.</w:t>
      </w:r>
    </w:p>
    <w:p w:rsidR="00A77970" w:rsidRPr="009010C0" w:rsidRDefault="00A77970" w:rsidP="00CE08D7">
      <w:pPr>
        <w:ind w:firstLine="720"/>
        <w:jc w:val="both"/>
        <w:rPr>
          <w:b/>
          <w:i/>
          <w:kern w:val="24"/>
          <w:lang w:val="af-ZA" w:eastAsia="pl-PL"/>
        </w:rPr>
      </w:pPr>
      <w:r w:rsidRPr="009010C0">
        <w:rPr>
          <w:kern w:val="24"/>
          <w:lang w:val="af-ZA" w:eastAsia="pl-PL"/>
        </w:rPr>
        <w:t>În anul 2018, s-au desfăşurat 456 misiuni de asigurare a ordinii publice pe timpul manifestărilor de protest, cu un efectiv de 16.331 jandarmi.</w:t>
      </w:r>
    </w:p>
    <w:p w:rsidR="00A77970" w:rsidRPr="009010C0" w:rsidRDefault="00A77970" w:rsidP="00CE08D7">
      <w:pPr>
        <w:ind w:firstLine="720"/>
        <w:jc w:val="both"/>
        <w:rPr>
          <w:kern w:val="24"/>
          <w:lang w:val="af-ZA" w:eastAsia="pl-PL"/>
        </w:rPr>
      </w:pPr>
      <w:r w:rsidRPr="009010C0">
        <w:rPr>
          <w:kern w:val="24"/>
          <w:lang w:val="af-ZA" w:eastAsia="pl-PL"/>
        </w:rPr>
        <w:lastRenderedPageBreak/>
        <w:t xml:space="preserve">Dintre </w:t>
      </w:r>
      <w:r w:rsidRPr="009010C0">
        <w:rPr>
          <w:b/>
          <w:i/>
          <w:kern w:val="24"/>
          <w:lang w:val="af-ZA" w:eastAsia="pl-PL"/>
        </w:rPr>
        <w:t>manifestările de protest declarate</w:t>
      </w:r>
      <w:r w:rsidRPr="009010C0">
        <w:rPr>
          <w:kern w:val="24"/>
          <w:lang w:val="af-ZA" w:eastAsia="pl-PL"/>
        </w:rPr>
        <w:t xml:space="preserve"> ce s-au desfăşurat în cursul perioadei analizate, exemplificăm:</w:t>
      </w:r>
    </w:p>
    <w:p w:rsidR="00A77970" w:rsidRPr="009010C0" w:rsidRDefault="00A77970" w:rsidP="00CE08D7">
      <w:pPr>
        <w:tabs>
          <w:tab w:val="left" w:pos="1170"/>
          <w:tab w:val="left" w:pos="1440"/>
        </w:tabs>
        <w:jc w:val="both"/>
        <w:rPr>
          <w:kern w:val="24"/>
          <w:lang w:val="af-ZA" w:eastAsia="pl-PL"/>
        </w:rPr>
      </w:pPr>
      <w:r w:rsidRPr="009010C0">
        <w:rPr>
          <w:kern w:val="24"/>
          <w:lang w:val="af-ZA" w:eastAsia="pl-PL"/>
        </w:rPr>
        <w:t>-</w:t>
      </w:r>
      <w:r>
        <w:rPr>
          <w:kern w:val="24"/>
          <w:lang w:val="af-ZA" w:eastAsia="pl-PL"/>
        </w:rPr>
        <w:t xml:space="preserve"> </w:t>
      </w:r>
      <w:r w:rsidRPr="009010C0">
        <w:rPr>
          <w:kern w:val="24"/>
          <w:lang w:val="af-ZA" w:eastAsia="pl-PL"/>
        </w:rPr>
        <w:t>mitingul de protest organizat de sindicate ale polițiștilor în data de 24.03.2018, din fața sediului MAI (4000 persoane);</w:t>
      </w:r>
    </w:p>
    <w:p w:rsidR="00A77970" w:rsidRPr="009010C0" w:rsidRDefault="00A77970" w:rsidP="00CE08D7">
      <w:pPr>
        <w:tabs>
          <w:tab w:val="left" w:pos="1170"/>
          <w:tab w:val="left" w:pos="1440"/>
        </w:tabs>
        <w:jc w:val="both"/>
        <w:rPr>
          <w:kern w:val="24"/>
          <w:lang w:val="af-ZA" w:eastAsia="pl-PL"/>
        </w:rPr>
      </w:pPr>
      <w:r w:rsidRPr="009010C0">
        <w:rPr>
          <w:kern w:val="24"/>
          <w:lang w:val="af-ZA" w:eastAsia="pl-PL"/>
        </w:rPr>
        <w:t>-</w:t>
      </w:r>
      <w:r>
        <w:rPr>
          <w:kern w:val="24"/>
          <w:lang w:val="af-ZA" w:eastAsia="pl-PL"/>
        </w:rPr>
        <w:t xml:space="preserve"> </w:t>
      </w:r>
      <w:r w:rsidRPr="009010C0">
        <w:rPr>
          <w:kern w:val="24"/>
          <w:lang w:val="af-ZA" w:eastAsia="pl-PL"/>
        </w:rPr>
        <w:t xml:space="preserve">mitingul de protest organizate de federația SANITAS din România din data de 26.04.2018 în Piața Victoriei (6500 persoane) </w:t>
      </w:r>
    </w:p>
    <w:p w:rsidR="00A77970" w:rsidRPr="009010C0" w:rsidRDefault="00A77970" w:rsidP="00CE08D7">
      <w:pPr>
        <w:tabs>
          <w:tab w:val="left" w:pos="1170"/>
          <w:tab w:val="left" w:pos="1440"/>
        </w:tabs>
        <w:jc w:val="both"/>
        <w:rPr>
          <w:kern w:val="24"/>
          <w:lang w:val="af-ZA" w:eastAsia="pl-PL"/>
        </w:rPr>
      </w:pPr>
      <w:r w:rsidRPr="009010C0">
        <w:rPr>
          <w:kern w:val="24"/>
          <w:lang w:val="af-ZA" w:eastAsia="pl-PL"/>
        </w:rPr>
        <w:t>-</w:t>
      </w:r>
      <w:r>
        <w:rPr>
          <w:kern w:val="24"/>
          <w:lang w:val="af-ZA" w:eastAsia="pl-PL"/>
        </w:rPr>
        <w:t xml:space="preserve"> </w:t>
      </w:r>
      <w:r w:rsidRPr="009010C0">
        <w:rPr>
          <w:kern w:val="24"/>
          <w:lang w:val="af-ZA" w:eastAsia="pl-PL"/>
        </w:rPr>
        <w:t>mitingul organizat de PSD în Piața Victoriei - 09.06.2018 (120.000 persoane);</w:t>
      </w:r>
    </w:p>
    <w:p w:rsidR="00A77970" w:rsidRPr="009010C0" w:rsidRDefault="00A77970" w:rsidP="00CE08D7">
      <w:pPr>
        <w:tabs>
          <w:tab w:val="left" w:pos="1170"/>
          <w:tab w:val="left" w:pos="1440"/>
        </w:tabs>
        <w:jc w:val="both"/>
        <w:rPr>
          <w:kern w:val="24"/>
          <w:lang w:val="af-ZA" w:eastAsia="pl-PL"/>
        </w:rPr>
      </w:pPr>
      <w:r w:rsidRPr="009010C0">
        <w:rPr>
          <w:kern w:val="24"/>
          <w:lang w:val="af-ZA" w:eastAsia="pl-PL"/>
        </w:rPr>
        <w:t>-</w:t>
      </w:r>
      <w:r>
        <w:rPr>
          <w:kern w:val="24"/>
          <w:lang w:val="af-ZA" w:eastAsia="pl-PL"/>
        </w:rPr>
        <w:t xml:space="preserve"> </w:t>
      </w:r>
      <w:r w:rsidRPr="009010C0">
        <w:rPr>
          <w:kern w:val="24"/>
          <w:lang w:val="af-ZA" w:eastAsia="pl-PL"/>
        </w:rPr>
        <w:t>mitingul de protest din Piața Victoriei - 01.12.2018 (1.500 persoane).</w:t>
      </w:r>
    </w:p>
    <w:p w:rsidR="00A77970" w:rsidRPr="009010C0" w:rsidRDefault="00A77970" w:rsidP="00CE08D7">
      <w:pPr>
        <w:tabs>
          <w:tab w:val="left" w:pos="1440"/>
        </w:tabs>
        <w:jc w:val="both"/>
        <w:rPr>
          <w:kern w:val="24"/>
          <w:lang w:val="af-ZA" w:eastAsia="pl-PL"/>
        </w:rPr>
      </w:pPr>
      <w:r w:rsidRPr="009010C0">
        <w:rPr>
          <w:kern w:val="24"/>
          <w:lang w:val="af-ZA" w:eastAsia="pl-PL"/>
        </w:rPr>
        <w:t xml:space="preserve">Dintre </w:t>
      </w:r>
      <w:r w:rsidRPr="009010C0">
        <w:rPr>
          <w:b/>
          <w:i/>
          <w:kern w:val="24"/>
          <w:lang w:val="af-ZA" w:eastAsia="pl-PL"/>
        </w:rPr>
        <w:t>manifestările de protestele nedeclarate</w:t>
      </w:r>
      <w:r w:rsidRPr="009010C0">
        <w:rPr>
          <w:kern w:val="24"/>
          <w:lang w:val="af-ZA" w:eastAsia="pl-PL"/>
        </w:rPr>
        <w:t xml:space="preserve"> ce s-au desfăşurat în cursul perioadei analizate, sunt de menţionat:</w:t>
      </w:r>
    </w:p>
    <w:p w:rsidR="00A77970" w:rsidRPr="009010C0" w:rsidRDefault="00A77970" w:rsidP="00CE08D7">
      <w:pPr>
        <w:tabs>
          <w:tab w:val="left" w:pos="1170"/>
          <w:tab w:val="left" w:pos="1260"/>
          <w:tab w:val="left" w:pos="1440"/>
          <w:tab w:val="left" w:pos="1530"/>
        </w:tabs>
        <w:jc w:val="both"/>
        <w:rPr>
          <w:kern w:val="24"/>
          <w:lang w:val="af-ZA" w:eastAsia="pl-PL"/>
        </w:rPr>
      </w:pPr>
      <w:r w:rsidRPr="009010C0">
        <w:rPr>
          <w:kern w:val="24"/>
          <w:lang w:val="af-ZA" w:eastAsia="pl-PL"/>
        </w:rPr>
        <w:t>-</w:t>
      </w:r>
      <w:r>
        <w:rPr>
          <w:kern w:val="24"/>
          <w:lang w:val="af-ZA" w:eastAsia="pl-PL"/>
        </w:rPr>
        <w:t xml:space="preserve"> </w:t>
      </w:r>
      <w:r w:rsidRPr="009010C0">
        <w:rPr>
          <w:kern w:val="24"/>
          <w:lang w:val="af-ZA" w:eastAsia="pl-PL"/>
        </w:rPr>
        <w:t xml:space="preserve">mitingul de protest intitulat </w:t>
      </w:r>
      <w:r w:rsidRPr="003C080A">
        <w:rPr>
          <w:i/>
          <w:iCs/>
          <w:kern w:val="24"/>
          <w:lang w:val="af-ZA" w:eastAsia="pl-PL"/>
        </w:rPr>
        <w:t>Corupţia Ucide</w:t>
      </w:r>
      <w:r w:rsidRPr="009010C0">
        <w:rPr>
          <w:kern w:val="24"/>
          <w:lang w:val="af-ZA" w:eastAsia="pl-PL"/>
        </w:rPr>
        <w:t xml:space="preserve"> din Piaţa Universităţii cât şi </w:t>
      </w:r>
      <w:r>
        <w:rPr>
          <w:kern w:val="24"/>
          <w:lang w:val="af-ZA" w:eastAsia="pl-PL"/>
        </w:rPr>
        <w:t xml:space="preserve">din </w:t>
      </w:r>
      <w:r w:rsidRPr="009010C0">
        <w:rPr>
          <w:kern w:val="24"/>
          <w:lang w:val="af-ZA" w:eastAsia="pl-PL"/>
        </w:rPr>
        <w:t>Piaţa Victoriei (30.000 persoane) - 20.01.2018;</w:t>
      </w:r>
    </w:p>
    <w:p w:rsidR="00A77970" w:rsidRPr="009010C0" w:rsidRDefault="00A77970" w:rsidP="00CE08D7">
      <w:pPr>
        <w:tabs>
          <w:tab w:val="left" w:pos="1170"/>
          <w:tab w:val="left" w:pos="1260"/>
          <w:tab w:val="left" w:pos="1440"/>
          <w:tab w:val="left" w:pos="1530"/>
        </w:tabs>
        <w:jc w:val="both"/>
        <w:rPr>
          <w:kern w:val="24"/>
          <w:lang w:val="af-ZA" w:eastAsia="pl-PL"/>
        </w:rPr>
      </w:pPr>
      <w:r w:rsidRPr="009010C0">
        <w:rPr>
          <w:kern w:val="24"/>
          <w:lang w:val="af-ZA" w:eastAsia="pl-PL"/>
        </w:rPr>
        <w:t>-</w:t>
      </w:r>
      <w:r>
        <w:rPr>
          <w:kern w:val="24"/>
          <w:lang w:val="af-ZA" w:eastAsia="pl-PL"/>
        </w:rPr>
        <w:t xml:space="preserve"> </w:t>
      </w:r>
      <w:r w:rsidRPr="009010C0">
        <w:rPr>
          <w:kern w:val="24"/>
          <w:lang w:val="af-ZA" w:eastAsia="pl-PL"/>
        </w:rPr>
        <w:t>mitingul de protest din Piața Victoriei, în contextul deciziei Ministrului Justiției de a propune revocarea din funcție a Procurorului șef al D.N.A. - 26.02.2018 (4000 persoane);</w:t>
      </w:r>
    </w:p>
    <w:p w:rsidR="00A77970" w:rsidRPr="009010C0" w:rsidRDefault="00A77970" w:rsidP="00CE08D7">
      <w:pPr>
        <w:tabs>
          <w:tab w:val="left" w:pos="1170"/>
          <w:tab w:val="left" w:pos="1260"/>
          <w:tab w:val="left" w:pos="1440"/>
          <w:tab w:val="left" w:pos="1530"/>
        </w:tabs>
        <w:jc w:val="both"/>
        <w:rPr>
          <w:kern w:val="24"/>
          <w:lang w:val="af-ZA" w:eastAsia="pl-PL"/>
        </w:rPr>
      </w:pPr>
      <w:r w:rsidRPr="009010C0">
        <w:rPr>
          <w:kern w:val="24"/>
          <w:lang w:val="af-ZA" w:eastAsia="pl-PL"/>
        </w:rPr>
        <w:t>-</w:t>
      </w:r>
      <w:r>
        <w:rPr>
          <w:kern w:val="24"/>
          <w:lang w:val="af-ZA" w:eastAsia="pl-PL"/>
        </w:rPr>
        <w:t xml:space="preserve"> </w:t>
      </w:r>
      <w:r w:rsidRPr="009010C0">
        <w:rPr>
          <w:kern w:val="24"/>
          <w:lang w:val="af-ZA" w:eastAsia="pl-PL"/>
        </w:rPr>
        <w:t>mitingul de protest în urma prezentării Raportului privind activitatea managerială a D.N.A. de către Ministrul Justiției, din Piața Victoriei - 22.02.2018 (1800 persoane);</w:t>
      </w:r>
    </w:p>
    <w:p w:rsidR="00A77970" w:rsidRPr="009010C0" w:rsidRDefault="00A77970" w:rsidP="00CE08D7">
      <w:pPr>
        <w:tabs>
          <w:tab w:val="left" w:pos="1170"/>
          <w:tab w:val="left" w:pos="1260"/>
          <w:tab w:val="left" w:pos="1440"/>
          <w:tab w:val="left" w:pos="1530"/>
        </w:tabs>
        <w:jc w:val="both"/>
        <w:rPr>
          <w:kern w:val="24"/>
          <w:lang w:val="af-ZA" w:eastAsia="pl-PL"/>
        </w:rPr>
      </w:pPr>
      <w:r w:rsidRPr="009010C0">
        <w:rPr>
          <w:kern w:val="24"/>
          <w:lang w:val="af-ZA" w:eastAsia="pl-PL"/>
        </w:rPr>
        <w:t>-</w:t>
      </w:r>
      <w:r>
        <w:rPr>
          <w:kern w:val="24"/>
          <w:lang w:val="af-ZA" w:eastAsia="pl-PL"/>
        </w:rPr>
        <w:t xml:space="preserve"> </w:t>
      </w:r>
      <w:r w:rsidRPr="009010C0">
        <w:rPr>
          <w:kern w:val="24"/>
          <w:lang w:val="af-ZA" w:eastAsia="pl-PL"/>
        </w:rPr>
        <w:t>mitingul de protest din Piața Victoriei - 12.05.2018 (5000 persoane);</w:t>
      </w:r>
    </w:p>
    <w:p w:rsidR="00A77970" w:rsidRPr="009010C0" w:rsidRDefault="00A77970" w:rsidP="00CE08D7">
      <w:pPr>
        <w:tabs>
          <w:tab w:val="left" w:pos="1170"/>
          <w:tab w:val="left" w:pos="1260"/>
          <w:tab w:val="left" w:pos="1440"/>
          <w:tab w:val="left" w:pos="1530"/>
        </w:tabs>
        <w:jc w:val="both"/>
        <w:rPr>
          <w:kern w:val="24"/>
          <w:lang w:val="af-ZA" w:eastAsia="pl-PL"/>
        </w:rPr>
      </w:pPr>
      <w:r w:rsidRPr="009010C0">
        <w:rPr>
          <w:kern w:val="24"/>
          <w:lang w:val="af-ZA" w:eastAsia="pl-PL"/>
        </w:rPr>
        <w:t>-</w:t>
      </w:r>
      <w:r>
        <w:rPr>
          <w:kern w:val="24"/>
          <w:lang w:val="af-ZA" w:eastAsia="pl-PL"/>
        </w:rPr>
        <w:t xml:space="preserve"> </w:t>
      </w:r>
      <w:r w:rsidRPr="009010C0">
        <w:rPr>
          <w:kern w:val="24"/>
          <w:lang w:val="af-ZA" w:eastAsia="pl-PL"/>
        </w:rPr>
        <w:t>mitingul de protest din Piața Victoriei - 10.06.2018 (2200 persoane);</w:t>
      </w:r>
    </w:p>
    <w:p w:rsidR="00A77970" w:rsidRPr="009010C0" w:rsidRDefault="00A77970" w:rsidP="00CE08D7">
      <w:pPr>
        <w:tabs>
          <w:tab w:val="left" w:pos="1170"/>
        </w:tabs>
        <w:jc w:val="both"/>
        <w:rPr>
          <w:kern w:val="24"/>
          <w:lang w:val="af-ZA" w:eastAsia="pl-PL"/>
        </w:rPr>
      </w:pPr>
      <w:r w:rsidRPr="009010C0">
        <w:rPr>
          <w:kern w:val="24"/>
          <w:lang w:val="af-ZA" w:eastAsia="pl-PL"/>
        </w:rPr>
        <w:t>-</w:t>
      </w:r>
      <w:r>
        <w:rPr>
          <w:kern w:val="24"/>
          <w:lang w:val="af-ZA" w:eastAsia="pl-PL"/>
        </w:rPr>
        <w:t xml:space="preserve"> </w:t>
      </w:r>
      <w:r w:rsidRPr="009010C0">
        <w:rPr>
          <w:kern w:val="24"/>
          <w:lang w:val="af-ZA" w:eastAsia="pl-PL"/>
        </w:rPr>
        <w:t>mitingul de protest din Piața Victoriei - 10.08.2018 (30.000 persoane);</w:t>
      </w:r>
    </w:p>
    <w:p w:rsidR="00A77970" w:rsidRPr="009010C0" w:rsidRDefault="00A77970" w:rsidP="00CE08D7">
      <w:pPr>
        <w:tabs>
          <w:tab w:val="left" w:pos="1170"/>
        </w:tabs>
        <w:jc w:val="both"/>
        <w:rPr>
          <w:kern w:val="24"/>
          <w:lang w:val="af-ZA" w:eastAsia="pl-PL"/>
        </w:rPr>
      </w:pPr>
      <w:r w:rsidRPr="009010C0">
        <w:rPr>
          <w:kern w:val="24"/>
          <w:lang w:val="af-ZA" w:eastAsia="pl-PL"/>
        </w:rPr>
        <w:t>-</w:t>
      </w:r>
      <w:r>
        <w:rPr>
          <w:kern w:val="24"/>
          <w:lang w:val="af-ZA" w:eastAsia="pl-PL"/>
        </w:rPr>
        <w:t xml:space="preserve"> </w:t>
      </w:r>
      <w:r w:rsidRPr="009010C0">
        <w:rPr>
          <w:kern w:val="24"/>
          <w:lang w:val="af-ZA" w:eastAsia="pl-PL"/>
        </w:rPr>
        <w:t>mitingul de protest din Piața Victoriei - 12.08.2018 (15.000 persoane);</w:t>
      </w:r>
    </w:p>
    <w:p w:rsidR="00A77970" w:rsidRPr="009010C0" w:rsidRDefault="00A77970" w:rsidP="00CE08D7">
      <w:pPr>
        <w:tabs>
          <w:tab w:val="left" w:pos="1170"/>
        </w:tabs>
        <w:jc w:val="both"/>
        <w:rPr>
          <w:kern w:val="24"/>
          <w:lang w:val="af-ZA" w:eastAsia="pl-PL"/>
        </w:rPr>
      </w:pPr>
      <w:r w:rsidRPr="009010C0">
        <w:rPr>
          <w:kern w:val="24"/>
          <w:lang w:val="af-ZA" w:eastAsia="pl-PL"/>
        </w:rPr>
        <w:t>-</w:t>
      </w:r>
      <w:r>
        <w:rPr>
          <w:kern w:val="24"/>
          <w:lang w:val="af-ZA" w:eastAsia="pl-PL"/>
        </w:rPr>
        <w:t xml:space="preserve"> </w:t>
      </w:r>
      <w:r w:rsidRPr="009010C0">
        <w:rPr>
          <w:kern w:val="24"/>
          <w:lang w:val="af-ZA" w:eastAsia="pl-PL"/>
        </w:rPr>
        <w:t>mitingul de protest din Piața Victoriei - 21.10.2018 (1.000 persoane).</w:t>
      </w:r>
    </w:p>
    <w:p w:rsidR="00A77970" w:rsidRPr="009010C0" w:rsidRDefault="00A77970" w:rsidP="00CE08D7">
      <w:pPr>
        <w:ind w:firstLine="720"/>
        <w:jc w:val="both"/>
        <w:rPr>
          <w:kern w:val="24"/>
          <w:lang w:val="af-ZA" w:eastAsia="pl-PL"/>
        </w:rPr>
      </w:pPr>
      <w:r w:rsidRPr="009010C0">
        <w:rPr>
          <w:kern w:val="24"/>
          <w:lang w:val="af-ZA" w:eastAsia="pl-PL"/>
        </w:rPr>
        <w:t>Un aspect negativ a fost marcat de faptul că organizatorii adunărilor publice nu au putut fi identificați la anumite adunări de protest pentru a relaţiona cu efectivele cu atribuţii de dialog pe timpul desfăşurării activităţilor şi a fi abordaţi direct în momentul în care au apărut stări tensionate, crescând astfel riscul degenerării situaţiilor.</w:t>
      </w:r>
    </w:p>
    <w:p w:rsidR="00A77970" w:rsidRPr="009010C0" w:rsidRDefault="00A77970" w:rsidP="00CE08D7">
      <w:pPr>
        <w:ind w:firstLine="720"/>
        <w:jc w:val="both"/>
        <w:rPr>
          <w:kern w:val="24"/>
          <w:lang w:val="af-ZA" w:eastAsia="pl-PL"/>
        </w:rPr>
      </w:pPr>
      <w:r w:rsidRPr="009010C0">
        <w:rPr>
          <w:b/>
          <w:i/>
          <w:kern w:val="24"/>
          <w:lang w:val="af-ZA" w:eastAsia="pl-PL"/>
        </w:rPr>
        <w:t>Asigurarea ordinii publice la manifestările cultural – artistice</w:t>
      </w:r>
      <w:r w:rsidRPr="009010C0">
        <w:rPr>
          <w:lang w:val="af-ZA"/>
        </w:rPr>
        <w:t xml:space="preserve">  </w:t>
      </w:r>
      <w:r w:rsidRPr="009010C0">
        <w:rPr>
          <w:kern w:val="24"/>
          <w:lang w:val="af-ZA" w:eastAsia="pl-PL"/>
        </w:rPr>
        <w:t xml:space="preserve">reprezintă aproximativ 26,88% din totalul misiunilor de asigurare a ordinii publice executate în anul 2018. În perioada analizată s-au executat un număr de 486 misiuni, cu un efectiv de 7.275 jandarmi, cele mai importante fiind: </w:t>
      </w:r>
    </w:p>
    <w:p w:rsidR="00A77970" w:rsidRPr="009010C0" w:rsidRDefault="00A77970" w:rsidP="00CE08D7">
      <w:pPr>
        <w:tabs>
          <w:tab w:val="left" w:pos="1350"/>
        </w:tabs>
        <w:jc w:val="both"/>
        <w:rPr>
          <w:kern w:val="24"/>
          <w:lang w:val="af-ZA" w:eastAsia="pl-PL"/>
        </w:rPr>
      </w:pPr>
      <w:r w:rsidRPr="009010C0">
        <w:rPr>
          <w:kern w:val="24"/>
          <w:lang w:val="af-ZA" w:eastAsia="pl-PL"/>
        </w:rPr>
        <w:t>-</w:t>
      </w:r>
      <w:r>
        <w:rPr>
          <w:kern w:val="24"/>
          <w:lang w:val="af-ZA" w:eastAsia="pl-PL"/>
        </w:rPr>
        <w:t xml:space="preserve"> </w:t>
      </w:r>
      <w:r w:rsidRPr="009010C0">
        <w:rPr>
          <w:kern w:val="24"/>
          <w:lang w:val="af-ZA" w:eastAsia="pl-PL"/>
        </w:rPr>
        <w:t xml:space="preserve">concertul artistului internaţional Lara Fabian în data de 31.03.2018, </w:t>
      </w:r>
      <w:smartTag w:uri="urn:schemas-microsoft-com:office:smarttags" w:element="PersonName">
        <w:smartTagPr>
          <w:attr w:name="ProductID" w:val="la Sala Palatului"/>
        </w:smartTagPr>
        <w:r w:rsidRPr="009010C0">
          <w:rPr>
            <w:kern w:val="24"/>
            <w:lang w:val="af-ZA" w:eastAsia="pl-PL"/>
          </w:rPr>
          <w:t>la Sala Palatului</w:t>
        </w:r>
      </w:smartTag>
      <w:r w:rsidRPr="009010C0">
        <w:rPr>
          <w:kern w:val="24"/>
          <w:lang w:val="af-ZA" w:eastAsia="pl-PL"/>
        </w:rPr>
        <w:t xml:space="preserve"> (4.200 persoane); </w:t>
      </w:r>
    </w:p>
    <w:p w:rsidR="00A77970" w:rsidRPr="009010C0" w:rsidRDefault="00A77970" w:rsidP="00CE08D7">
      <w:pPr>
        <w:tabs>
          <w:tab w:val="left" w:pos="1350"/>
        </w:tabs>
        <w:jc w:val="both"/>
        <w:rPr>
          <w:kern w:val="24"/>
          <w:lang w:val="af-ZA" w:eastAsia="pl-PL"/>
        </w:rPr>
      </w:pPr>
      <w:r w:rsidRPr="009010C0">
        <w:rPr>
          <w:kern w:val="24"/>
          <w:lang w:val="af-ZA" w:eastAsia="pl-PL"/>
        </w:rPr>
        <w:t>-</w:t>
      </w:r>
      <w:r>
        <w:rPr>
          <w:kern w:val="24"/>
          <w:lang w:val="af-ZA" w:eastAsia="pl-PL"/>
        </w:rPr>
        <w:t xml:space="preserve"> </w:t>
      </w:r>
      <w:r w:rsidRPr="009010C0">
        <w:rPr>
          <w:kern w:val="24"/>
          <w:lang w:val="af-ZA" w:eastAsia="pl-PL"/>
        </w:rPr>
        <w:t xml:space="preserve">în data de 28.07.2018 a fost organizat </w:t>
      </w:r>
      <w:smartTag w:uri="urn:schemas-microsoft-com:office:smarttags" w:element="PersonName">
        <w:smartTagPr>
          <w:attr w:name="ProductID" w:val="la Aeroportul Interna"/>
        </w:smartTagPr>
        <w:r w:rsidRPr="009010C0">
          <w:rPr>
            <w:kern w:val="24"/>
            <w:lang w:val="af-ZA" w:eastAsia="pl-PL"/>
          </w:rPr>
          <w:t>la Aeroportul Interna</w:t>
        </w:r>
      </w:smartTag>
      <w:r w:rsidRPr="009010C0">
        <w:rPr>
          <w:kern w:val="24"/>
          <w:lang w:val="af-ZA" w:eastAsia="pl-PL"/>
        </w:rPr>
        <w:t>țional București Băneasa ,,Aurel Vlaicu’’, spectacolul aviatic intitulat: ,,Bucharest International Air Show &amp; General Aviation Exhibition 2018’’ la care au participat un număr de 30.000 persoane;</w:t>
      </w:r>
    </w:p>
    <w:p w:rsidR="00A77970" w:rsidRPr="009010C0" w:rsidRDefault="00A77970" w:rsidP="00CE08D7">
      <w:pPr>
        <w:tabs>
          <w:tab w:val="left" w:pos="1350"/>
        </w:tabs>
        <w:jc w:val="both"/>
        <w:rPr>
          <w:kern w:val="24"/>
          <w:lang w:val="af-ZA" w:eastAsia="pl-PL"/>
        </w:rPr>
      </w:pPr>
      <w:r w:rsidRPr="009010C0">
        <w:rPr>
          <w:kern w:val="24"/>
          <w:lang w:val="af-ZA" w:eastAsia="pl-PL"/>
        </w:rPr>
        <w:t>-</w:t>
      </w:r>
      <w:r>
        <w:rPr>
          <w:kern w:val="24"/>
          <w:lang w:val="af-ZA" w:eastAsia="pl-PL"/>
        </w:rPr>
        <w:t xml:space="preserve"> </w:t>
      </w:r>
      <w:r w:rsidRPr="009010C0">
        <w:rPr>
          <w:kern w:val="24"/>
          <w:lang w:val="af-ZA" w:eastAsia="pl-PL"/>
        </w:rPr>
        <w:t>în zilele de 04 și 05.08.2018 a fost organizat, în diferite locații din municipiul București, ,,Festivalul Internațional de Teatru de Stradă’’;</w:t>
      </w:r>
    </w:p>
    <w:p w:rsidR="00A77970" w:rsidRPr="009010C0" w:rsidRDefault="00A77970" w:rsidP="00CE08D7">
      <w:pPr>
        <w:tabs>
          <w:tab w:val="left" w:pos="1350"/>
        </w:tabs>
        <w:jc w:val="both"/>
        <w:rPr>
          <w:kern w:val="24"/>
          <w:lang w:val="af-ZA" w:eastAsia="pl-PL"/>
        </w:rPr>
      </w:pPr>
      <w:r w:rsidRPr="009010C0">
        <w:rPr>
          <w:kern w:val="24"/>
          <w:lang w:val="af-ZA" w:eastAsia="pl-PL"/>
        </w:rPr>
        <w:t>-</w:t>
      </w:r>
      <w:r>
        <w:rPr>
          <w:kern w:val="24"/>
          <w:lang w:val="af-ZA" w:eastAsia="pl-PL"/>
        </w:rPr>
        <w:t xml:space="preserve"> </w:t>
      </w:r>
      <w:r w:rsidRPr="009010C0">
        <w:rPr>
          <w:kern w:val="24"/>
          <w:lang w:val="af-ZA" w:eastAsia="pl-PL"/>
        </w:rPr>
        <w:t xml:space="preserve">în perioada de 21 - 23.09.2018 s-a desfășurat evenimentul cultural - artistic denumit ,,Zilele Bucureștiului” în Piața Constituției. În cele 3 zile activitățile organizate s-au bucurat de prezența unui număr de 135.000 de persoane; </w:t>
      </w:r>
    </w:p>
    <w:p w:rsidR="00A77970" w:rsidRPr="009010C0" w:rsidRDefault="00A77970" w:rsidP="00CE08D7">
      <w:pPr>
        <w:tabs>
          <w:tab w:val="left" w:pos="1350"/>
        </w:tabs>
        <w:jc w:val="both"/>
        <w:rPr>
          <w:kern w:val="24"/>
          <w:lang w:val="af-ZA" w:eastAsia="pl-PL"/>
        </w:rPr>
      </w:pPr>
      <w:r w:rsidRPr="009010C0">
        <w:rPr>
          <w:kern w:val="24"/>
          <w:lang w:val="af-ZA" w:eastAsia="pl-PL"/>
        </w:rPr>
        <w:t>-</w:t>
      </w:r>
      <w:r>
        <w:rPr>
          <w:kern w:val="24"/>
          <w:lang w:val="af-ZA" w:eastAsia="pl-PL"/>
        </w:rPr>
        <w:t xml:space="preserve"> </w:t>
      </w:r>
      <w:r w:rsidRPr="009010C0">
        <w:rPr>
          <w:kern w:val="24"/>
          <w:lang w:val="af-ZA" w:eastAsia="pl-PL"/>
        </w:rPr>
        <w:t>măsuri de asigurare a ordinii publice pe timpul desfășurării evenimentul cultural denumit „Simfonia Apei”, ce s-a desfășurat în Parcul Unirii – zona fântânilor, în perioada 28 – 30.09.2018.</w:t>
      </w:r>
    </w:p>
    <w:p w:rsidR="00A77970" w:rsidRPr="009010C0" w:rsidRDefault="00A77970" w:rsidP="00CE08D7">
      <w:pPr>
        <w:ind w:firstLine="720"/>
        <w:jc w:val="both"/>
        <w:rPr>
          <w:kern w:val="24"/>
          <w:lang w:val="af-ZA" w:eastAsia="pl-PL"/>
        </w:rPr>
      </w:pPr>
      <w:r w:rsidRPr="009010C0">
        <w:rPr>
          <w:b/>
          <w:i/>
          <w:kern w:val="24"/>
          <w:lang w:val="af-ZA" w:eastAsia="pl-PL"/>
        </w:rPr>
        <w:t>Asigurarea ordinii publice la manifestările religioase şi comemorative</w:t>
      </w:r>
      <w:r w:rsidRPr="009010C0">
        <w:rPr>
          <w:lang w:val="af-ZA"/>
        </w:rPr>
        <w:t xml:space="preserve"> </w:t>
      </w:r>
      <w:r w:rsidRPr="009010C0">
        <w:rPr>
          <w:kern w:val="24"/>
          <w:lang w:val="af-ZA" w:eastAsia="pl-PL"/>
        </w:rPr>
        <w:t xml:space="preserve">reprezintă aproximativ 10,17% din totalul misiunilor de asigurare a ordinii publice executate în anul 2018. În perioada analizată s-au executat un număr de 184 misiuni, cu un efectiv de 3.757 jandarmi, cele mai semnificative misiuni pe acest palier fiind: </w:t>
      </w:r>
    </w:p>
    <w:p w:rsidR="00A77970" w:rsidRPr="009010C0" w:rsidRDefault="00A77970" w:rsidP="00CE08D7">
      <w:pPr>
        <w:tabs>
          <w:tab w:val="left" w:pos="1080"/>
        </w:tabs>
        <w:jc w:val="both"/>
        <w:rPr>
          <w:kern w:val="24"/>
          <w:lang w:val="af-ZA" w:eastAsia="pl-PL"/>
        </w:rPr>
      </w:pPr>
      <w:r w:rsidRPr="009010C0">
        <w:rPr>
          <w:kern w:val="24"/>
          <w:lang w:val="af-ZA" w:eastAsia="pl-PL"/>
        </w:rPr>
        <w:t>-</w:t>
      </w:r>
      <w:r>
        <w:rPr>
          <w:kern w:val="24"/>
          <w:lang w:val="af-ZA" w:eastAsia="pl-PL"/>
        </w:rPr>
        <w:t xml:space="preserve"> </w:t>
      </w:r>
      <w:r w:rsidRPr="009010C0">
        <w:rPr>
          <w:kern w:val="24"/>
          <w:lang w:val="af-ZA" w:eastAsia="pl-PL"/>
        </w:rPr>
        <w:t xml:space="preserve">sărbătoarea prilejuită de Bobotează </w:t>
      </w:r>
      <w:smartTag w:uri="urn:schemas-microsoft-com:office:smarttags" w:element="PersonName">
        <w:smartTagPr>
          <w:attr w:name="ProductID" w:val="la Catedrala Patriarhală"/>
        </w:smartTagPr>
        <w:r w:rsidRPr="009010C0">
          <w:rPr>
            <w:kern w:val="24"/>
            <w:lang w:val="af-ZA" w:eastAsia="pl-PL"/>
          </w:rPr>
          <w:t>la Catedrala Patriarhală</w:t>
        </w:r>
      </w:smartTag>
      <w:r w:rsidRPr="009010C0">
        <w:rPr>
          <w:kern w:val="24"/>
          <w:lang w:val="af-ZA" w:eastAsia="pl-PL"/>
        </w:rPr>
        <w:t>, cât şi la alte biserici de pe raza Municipiului Bucureşti;</w:t>
      </w:r>
    </w:p>
    <w:p w:rsidR="00A77970" w:rsidRPr="009010C0" w:rsidRDefault="00A77970" w:rsidP="00CE08D7">
      <w:pPr>
        <w:tabs>
          <w:tab w:val="left" w:pos="1080"/>
        </w:tabs>
        <w:jc w:val="both"/>
        <w:rPr>
          <w:kern w:val="24"/>
          <w:lang w:val="af-ZA" w:eastAsia="pl-PL"/>
        </w:rPr>
      </w:pPr>
      <w:r w:rsidRPr="009010C0">
        <w:rPr>
          <w:kern w:val="24"/>
          <w:lang w:val="af-ZA" w:eastAsia="pl-PL"/>
        </w:rPr>
        <w:t>-</w:t>
      </w:r>
      <w:r>
        <w:rPr>
          <w:kern w:val="24"/>
          <w:lang w:val="af-ZA" w:eastAsia="pl-PL"/>
        </w:rPr>
        <w:t xml:space="preserve"> </w:t>
      </w:r>
      <w:r w:rsidRPr="009010C0">
        <w:rPr>
          <w:kern w:val="24"/>
          <w:lang w:val="af-ZA" w:eastAsia="pl-PL"/>
        </w:rPr>
        <w:t>sărbătorirea Sfântului Cuvios Dimitrie cel Nou, în perioada 25 – 29.10.2018 în zona Catedralei Patriarhale;</w:t>
      </w:r>
    </w:p>
    <w:p w:rsidR="00A77970" w:rsidRPr="009010C0" w:rsidRDefault="00A77970" w:rsidP="00CE08D7">
      <w:pPr>
        <w:tabs>
          <w:tab w:val="left" w:pos="1080"/>
        </w:tabs>
        <w:jc w:val="both"/>
        <w:rPr>
          <w:kern w:val="24"/>
          <w:lang w:val="af-ZA" w:eastAsia="pl-PL"/>
        </w:rPr>
      </w:pPr>
      <w:r w:rsidRPr="009010C0">
        <w:rPr>
          <w:kern w:val="24"/>
          <w:lang w:val="af-ZA" w:eastAsia="pl-PL"/>
        </w:rPr>
        <w:t>- organizarea de către Mitropolia Munteniei și Dobrogei şi Arhiepiscopia Bucureștilor, în zilele de 24 și 26.11.2018, în zona Catedralei Naționale Patriarhia Română, a unor evenimente religioase dedicate Zilelor Sfințirii altarului Catedralei Naționale.</w:t>
      </w:r>
    </w:p>
    <w:p w:rsidR="00A77970" w:rsidRPr="009010C0" w:rsidRDefault="00A77970" w:rsidP="00CE08D7">
      <w:pPr>
        <w:ind w:firstLine="720"/>
        <w:jc w:val="both"/>
        <w:rPr>
          <w:kern w:val="24"/>
          <w:lang w:val="af-ZA" w:eastAsia="pl-PL"/>
        </w:rPr>
      </w:pPr>
      <w:r w:rsidRPr="009010C0">
        <w:rPr>
          <w:b/>
          <w:i/>
          <w:kern w:val="24"/>
          <w:lang w:val="af-ZA" w:eastAsia="pl-PL"/>
        </w:rPr>
        <w:lastRenderedPageBreak/>
        <w:t xml:space="preserve">Asigurarea ordinii publice şi protecţiei participanţilor la manifestări sportive </w:t>
      </w:r>
      <w:r w:rsidRPr="009010C0">
        <w:rPr>
          <w:kern w:val="24"/>
          <w:lang w:val="af-ZA" w:eastAsia="pl-PL"/>
        </w:rPr>
        <w:t>a reprezentat aproximativ 18,91% din totalul misiunilor de asigurare a ordinii publice, în anul 2018 fiind asigurat cadrul dispozițional pentru organizarea a 346 misiuni cu un efectiv de 10.452 jandarmi cu ocazia desfăşurării manifestărilor sportive în competiţiile interne şi internaţionale.</w:t>
      </w:r>
    </w:p>
    <w:p w:rsidR="00A77970" w:rsidRPr="009010C0" w:rsidRDefault="00A77970" w:rsidP="00CE08D7">
      <w:pPr>
        <w:ind w:firstLine="720"/>
        <w:jc w:val="both"/>
        <w:rPr>
          <w:kern w:val="24"/>
          <w:lang w:val="af-ZA" w:eastAsia="pl-PL"/>
        </w:rPr>
      </w:pPr>
      <w:r w:rsidRPr="009010C0">
        <w:rPr>
          <w:kern w:val="24"/>
          <w:lang w:val="af-ZA" w:eastAsia="pl-PL"/>
        </w:rPr>
        <w:t xml:space="preserve"> În vederea asigurării unui climat de ordine şi siguranţă publică cu ocazia desfăşurării jocurilor şi competiţiilor sportive în condiţii de siguranţă, D.G.J.M.B. a desfăşurat activităţi specifice pentru:</w:t>
      </w:r>
    </w:p>
    <w:p w:rsidR="00A77970" w:rsidRPr="009010C0" w:rsidRDefault="00A77970" w:rsidP="00980D72">
      <w:pPr>
        <w:numPr>
          <w:ilvl w:val="0"/>
          <w:numId w:val="13"/>
        </w:numPr>
        <w:tabs>
          <w:tab w:val="left" w:pos="180"/>
        </w:tabs>
        <w:ind w:left="0" w:firstLine="0"/>
        <w:jc w:val="both"/>
        <w:rPr>
          <w:kern w:val="24"/>
          <w:lang w:val="af-ZA" w:eastAsia="pl-PL"/>
        </w:rPr>
      </w:pPr>
      <w:r w:rsidRPr="009010C0">
        <w:rPr>
          <w:kern w:val="24"/>
          <w:lang w:val="af-ZA" w:eastAsia="pl-PL"/>
        </w:rPr>
        <w:t>creşterea eficienţei activităţii desfăşurate de personalul societăţilor specializate de protecţie şi pază în asigurarea măsurilor de ordine publică la stadioane, în mod special în ceea ce priveşte controlul corporal al spectatorilor la intrarea în interiorul arenelor sportive;</w:t>
      </w:r>
    </w:p>
    <w:p w:rsidR="00A77970" w:rsidRPr="009010C0" w:rsidRDefault="00A77970" w:rsidP="00980D72">
      <w:pPr>
        <w:numPr>
          <w:ilvl w:val="0"/>
          <w:numId w:val="13"/>
        </w:numPr>
        <w:tabs>
          <w:tab w:val="left" w:pos="180"/>
        </w:tabs>
        <w:ind w:left="0" w:firstLine="0"/>
        <w:jc w:val="both"/>
        <w:rPr>
          <w:kern w:val="24"/>
          <w:lang w:val="af-ZA" w:eastAsia="pl-PL"/>
        </w:rPr>
      </w:pPr>
      <w:r w:rsidRPr="009010C0">
        <w:rPr>
          <w:kern w:val="24"/>
          <w:lang w:val="af-ZA" w:eastAsia="pl-PL"/>
        </w:rPr>
        <w:t>responsabilizarea conducerii cluburilor sportive cu privire la îndeplinirea obligaţiilor ce le revin conform legii pe linia asigurării securităţii publicului, jucătorilor şi a celorlalţi participanţi la evenimentele sportive;</w:t>
      </w:r>
    </w:p>
    <w:p w:rsidR="00A77970" w:rsidRPr="003C080A" w:rsidRDefault="00A77970" w:rsidP="00980D72">
      <w:pPr>
        <w:numPr>
          <w:ilvl w:val="0"/>
          <w:numId w:val="13"/>
        </w:numPr>
        <w:tabs>
          <w:tab w:val="left" w:pos="180"/>
        </w:tabs>
        <w:ind w:left="0" w:firstLine="0"/>
        <w:jc w:val="both"/>
        <w:rPr>
          <w:kern w:val="24"/>
          <w:lang w:val="af-ZA" w:eastAsia="pl-PL"/>
        </w:rPr>
      </w:pPr>
      <w:r w:rsidRPr="009010C0">
        <w:rPr>
          <w:kern w:val="24"/>
          <w:lang w:val="af-ZA" w:eastAsia="pl-PL"/>
        </w:rPr>
        <w:t>luarea măsurilor legale împotriva organizatorilor de competiţii şi jocuri sportive şi a reprezentanţilor societăţilor de securitate, pentru nerespectarea prevederilor legale în domeniu.</w:t>
      </w:r>
    </w:p>
    <w:p w:rsidR="00A77970" w:rsidRPr="009010C0" w:rsidRDefault="00A77970" w:rsidP="00CE08D7">
      <w:pPr>
        <w:widowControl w:val="0"/>
        <w:shd w:val="clear" w:color="auto" w:fill="FFFFFF"/>
        <w:tabs>
          <w:tab w:val="left" w:pos="1134"/>
        </w:tabs>
        <w:ind w:firstLine="720"/>
        <w:jc w:val="both"/>
        <w:rPr>
          <w:kern w:val="24"/>
          <w:lang w:val="af-ZA"/>
        </w:rPr>
      </w:pPr>
      <w:r w:rsidRPr="009010C0">
        <w:rPr>
          <w:kern w:val="24"/>
          <w:lang w:val="af-ZA"/>
        </w:rPr>
        <w:t xml:space="preserve">Dintre competiţiile sportive cu grad mediu şi ridicat de risc, desfăşurate în anul 2018 care au atras participarea unui public numeros, </w:t>
      </w:r>
      <w:r w:rsidRPr="009010C0">
        <w:rPr>
          <w:bCs/>
          <w:kern w:val="24"/>
          <w:lang w:val="af-ZA"/>
        </w:rPr>
        <w:t>amintim următoarele, astfel</w:t>
      </w:r>
      <w:r w:rsidRPr="009010C0">
        <w:rPr>
          <w:kern w:val="24"/>
          <w:lang w:val="af-ZA"/>
        </w:rPr>
        <w:t>:</w:t>
      </w:r>
    </w:p>
    <w:p w:rsidR="00A77970" w:rsidRPr="009010C0" w:rsidRDefault="00A77970" w:rsidP="00980D72">
      <w:pPr>
        <w:numPr>
          <w:ilvl w:val="0"/>
          <w:numId w:val="13"/>
        </w:numPr>
        <w:tabs>
          <w:tab w:val="left" w:pos="180"/>
          <w:tab w:val="left" w:pos="1080"/>
        </w:tabs>
        <w:ind w:left="0" w:firstLine="0"/>
        <w:jc w:val="both"/>
        <w:rPr>
          <w:kern w:val="24"/>
          <w:lang w:val="af-ZA" w:eastAsia="pl-PL"/>
        </w:rPr>
      </w:pPr>
      <w:r w:rsidRPr="009010C0">
        <w:rPr>
          <w:kern w:val="24"/>
          <w:lang w:val="af-ZA" w:eastAsia="pl-PL"/>
        </w:rPr>
        <w:t>în data de 18.02.2018 pe Arena Națională, meciul de fotbal F.C. Dinamo - F.C.S.B.,  cu 28.000 spectatori;</w:t>
      </w:r>
    </w:p>
    <w:p w:rsidR="00A77970" w:rsidRPr="009010C0" w:rsidRDefault="00A77970" w:rsidP="00980D72">
      <w:pPr>
        <w:numPr>
          <w:ilvl w:val="0"/>
          <w:numId w:val="13"/>
        </w:numPr>
        <w:tabs>
          <w:tab w:val="left" w:pos="180"/>
          <w:tab w:val="left" w:pos="1080"/>
        </w:tabs>
        <w:ind w:left="0" w:firstLine="0"/>
        <w:jc w:val="both"/>
        <w:rPr>
          <w:kern w:val="24"/>
          <w:lang w:val="af-ZA" w:eastAsia="pl-PL"/>
        </w:rPr>
      </w:pPr>
      <w:r w:rsidRPr="009010C0">
        <w:rPr>
          <w:kern w:val="24"/>
          <w:lang w:val="af-ZA" w:eastAsia="pl-PL"/>
        </w:rPr>
        <w:t>în zilele de 05 și 06.05.2018 în cadrul Complexului Sportiv Național Sala Polivalentă, Turneul Final ”Final –Four” al Ligii Campionilor la volei feminin, cu 5.300 spectatori;</w:t>
      </w:r>
    </w:p>
    <w:p w:rsidR="00A77970" w:rsidRPr="009010C0" w:rsidRDefault="00A77970" w:rsidP="00980D72">
      <w:pPr>
        <w:numPr>
          <w:ilvl w:val="0"/>
          <w:numId w:val="13"/>
        </w:numPr>
        <w:tabs>
          <w:tab w:val="left" w:pos="180"/>
          <w:tab w:val="left" w:pos="1080"/>
        </w:tabs>
        <w:ind w:left="0" w:firstLine="0"/>
        <w:jc w:val="both"/>
        <w:rPr>
          <w:kern w:val="24"/>
          <w:lang w:val="af-ZA" w:eastAsia="pl-PL"/>
        </w:rPr>
      </w:pPr>
      <w:r w:rsidRPr="009010C0">
        <w:rPr>
          <w:kern w:val="24"/>
          <w:lang w:val="af-ZA" w:eastAsia="pl-PL"/>
        </w:rPr>
        <w:t>în data de 27.05.2018 pe Arena Națională, meciul de fotbal F.C. Hermannstadt -C.S.U. Craiova, contând pentru finala Cupei României, cu 26.000 spectatori;</w:t>
      </w:r>
    </w:p>
    <w:p w:rsidR="00A77970" w:rsidRPr="009010C0" w:rsidRDefault="00A77970" w:rsidP="00980D72">
      <w:pPr>
        <w:numPr>
          <w:ilvl w:val="0"/>
          <w:numId w:val="13"/>
        </w:numPr>
        <w:tabs>
          <w:tab w:val="left" w:pos="180"/>
          <w:tab w:val="left" w:pos="1080"/>
        </w:tabs>
        <w:ind w:left="0" w:firstLine="0"/>
        <w:jc w:val="both"/>
        <w:rPr>
          <w:kern w:val="24"/>
          <w:lang w:val="af-ZA" w:eastAsia="pl-PL"/>
        </w:rPr>
      </w:pPr>
      <w:r w:rsidRPr="009010C0">
        <w:rPr>
          <w:kern w:val="24"/>
          <w:lang w:val="af-ZA" w:eastAsia="pl-PL"/>
        </w:rPr>
        <w:t>în data de 03.06.2018 pe Arena Națională, meciul de fotbal A.S. Academia Rapid - C.S.A. Steaua București, din cadrul ligii a IV-a, cu 10.000 spectatori;</w:t>
      </w:r>
    </w:p>
    <w:p w:rsidR="00A77970" w:rsidRPr="009010C0" w:rsidRDefault="00A77970" w:rsidP="00980D72">
      <w:pPr>
        <w:numPr>
          <w:ilvl w:val="0"/>
          <w:numId w:val="13"/>
        </w:numPr>
        <w:tabs>
          <w:tab w:val="left" w:pos="180"/>
          <w:tab w:val="left" w:pos="1080"/>
        </w:tabs>
        <w:ind w:left="0" w:firstLine="0"/>
        <w:jc w:val="both"/>
        <w:rPr>
          <w:kern w:val="24"/>
          <w:lang w:val="af-ZA" w:eastAsia="pl-PL"/>
        </w:rPr>
      </w:pPr>
      <w:r w:rsidRPr="009010C0">
        <w:rPr>
          <w:kern w:val="24"/>
          <w:lang w:val="af-ZA" w:eastAsia="pl-PL"/>
        </w:rPr>
        <w:t>în data de 29.07.2018 pe Arena Națională, meciul de fotbal F.C.S.B. - F.C. Dinamo, cu 24.000 spectatori;</w:t>
      </w:r>
    </w:p>
    <w:p w:rsidR="00A77970" w:rsidRPr="009010C0" w:rsidRDefault="00A77970" w:rsidP="00980D72">
      <w:pPr>
        <w:numPr>
          <w:ilvl w:val="0"/>
          <w:numId w:val="13"/>
        </w:numPr>
        <w:tabs>
          <w:tab w:val="left" w:pos="180"/>
          <w:tab w:val="left" w:pos="1080"/>
        </w:tabs>
        <w:ind w:left="0" w:firstLine="0"/>
        <w:jc w:val="both"/>
        <w:rPr>
          <w:kern w:val="24"/>
          <w:lang w:val="af-ZA" w:eastAsia="pl-PL"/>
        </w:rPr>
      </w:pPr>
      <w:r w:rsidRPr="009010C0">
        <w:rPr>
          <w:kern w:val="24"/>
          <w:lang w:val="af-ZA" w:eastAsia="pl-PL"/>
        </w:rPr>
        <w:t>în data de 16.08.2018 pe Arena Națională, meciul de fotbal F.C.S.B. - Hajduk Split, din cadrul Europa League, cu 26.000 spectatori;</w:t>
      </w:r>
    </w:p>
    <w:p w:rsidR="00A77970" w:rsidRPr="009010C0" w:rsidRDefault="00A77970" w:rsidP="00980D72">
      <w:pPr>
        <w:numPr>
          <w:ilvl w:val="0"/>
          <w:numId w:val="13"/>
        </w:numPr>
        <w:tabs>
          <w:tab w:val="left" w:pos="180"/>
          <w:tab w:val="left" w:pos="1080"/>
        </w:tabs>
        <w:ind w:left="0" w:firstLine="0"/>
        <w:jc w:val="both"/>
        <w:rPr>
          <w:kern w:val="24"/>
          <w:lang w:val="af-ZA" w:eastAsia="pl-PL"/>
        </w:rPr>
      </w:pPr>
      <w:r w:rsidRPr="009010C0">
        <w:rPr>
          <w:kern w:val="24"/>
          <w:lang w:val="af-ZA" w:eastAsia="pl-PL"/>
        </w:rPr>
        <w:t>în data de 30.08.2018 pe Arena Națională, meciul de fotbal F.C.S.B. - SK Rapid Viena, din cadrul Europa League, cu 31.000 spectatori;</w:t>
      </w:r>
    </w:p>
    <w:p w:rsidR="00A77970" w:rsidRPr="009010C0" w:rsidRDefault="00A77970" w:rsidP="00980D72">
      <w:pPr>
        <w:numPr>
          <w:ilvl w:val="0"/>
          <w:numId w:val="13"/>
        </w:numPr>
        <w:tabs>
          <w:tab w:val="left" w:pos="180"/>
          <w:tab w:val="left" w:pos="1080"/>
        </w:tabs>
        <w:ind w:left="0" w:firstLine="0"/>
        <w:jc w:val="both"/>
        <w:rPr>
          <w:kern w:val="24"/>
          <w:lang w:val="af-ZA" w:eastAsia="pl-PL"/>
        </w:rPr>
      </w:pPr>
      <w:r w:rsidRPr="009010C0">
        <w:rPr>
          <w:kern w:val="24"/>
          <w:lang w:val="af-ZA" w:eastAsia="pl-PL"/>
        </w:rPr>
        <w:t>în data de 14.10.2018 pe Arena Națională, meciul de fotbal România - Serbia, meci contând pentru calificări în cadrul campionatului mondial de fotbal, cu 40.000 spectatori;</w:t>
      </w:r>
    </w:p>
    <w:p w:rsidR="00A77970" w:rsidRPr="009010C0" w:rsidRDefault="00A77970" w:rsidP="00980D72">
      <w:pPr>
        <w:numPr>
          <w:ilvl w:val="0"/>
          <w:numId w:val="13"/>
        </w:numPr>
        <w:tabs>
          <w:tab w:val="left" w:pos="180"/>
          <w:tab w:val="left" w:pos="1080"/>
        </w:tabs>
        <w:ind w:left="0" w:firstLine="0"/>
        <w:jc w:val="both"/>
        <w:rPr>
          <w:kern w:val="24"/>
          <w:lang w:val="af-ZA" w:eastAsia="pl-PL"/>
        </w:rPr>
      </w:pPr>
      <w:r w:rsidRPr="009010C0">
        <w:rPr>
          <w:kern w:val="24"/>
          <w:lang w:val="af-ZA" w:eastAsia="pl-PL"/>
        </w:rPr>
        <w:t>în data de 11.11.2018 pe Arena Națională, meciul de fotbal F.C. Dinamo - F.C.S.B.,  cu 18.000 spectatori.</w:t>
      </w:r>
    </w:p>
    <w:p w:rsidR="00A77970" w:rsidRPr="009010C0" w:rsidRDefault="00A77970" w:rsidP="00CE08D7">
      <w:pPr>
        <w:tabs>
          <w:tab w:val="left" w:pos="1080"/>
        </w:tabs>
        <w:ind w:firstLine="720"/>
        <w:jc w:val="both"/>
        <w:rPr>
          <w:kern w:val="24"/>
          <w:lang w:val="af-ZA" w:eastAsia="pl-PL"/>
        </w:rPr>
      </w:pPr>
      <w:r w:rsidRPr="009010C0">
        <w:rPr>
          <w:b/>
          <w:i/>
          <w:kern w:val="24"/>
          <w:lang w:val="af-ZA" w:eastAsia="pl-PL"/>
        </w:rPr>
        <w:t>Asigurarea ordinii publice pe timpul vizitelor şi activităţilor oficiale</w:t>
      </w:r>
      <w:r w:rsidRPr="009010C0">
        <w:rPr>
          <w:kern w:val="24"/>
          <w:lang w:val="af-ZA" w:eastAsia="pl-PL"/>
        </w:rPr>
        <w:t xml:space="preserve"> reprezintă aproximativ 1,21% din totalul misiunilor de asigurare a ordinii publice executate în anul 2018, fiind</w:t>
      </w:r>
      <w:r>
        <w:rPr>
          <w:kern w:val="24"/>
          <w:lang w:val="af-ZA" w:eastAsia="pl-PL"/>
        </w:rPr>
        <w:t xml:space="preserve"> </w:t>
      </w:r>
      <w:r w:rsidRPr="009010C0">
        <w:rPr>
          <w:kern w:val="24"/>
          <w:lang w:val="af-ZA" w:eastAsia="pl-PL"/>
        </w:rPr>
        <w:t xml:space="preserve">asigurate măsuri de ordine publică cu ocazia desfăşurării unui număr de 22 misiuni prilejuite de vizite oficiale sau al alte activităţi la care au participat înalţi demnitari români sau străini, în zona obiectivelor şi a locurilor de desfăşurare a activităţilor, în care au fost angrenaţi 221 jandarmi. </w:t>
      </w:r>
    </w:p>
    <w:p w:rsidR="00A77970" w:rsidRPr="009010C0" w:rsidRDefault="00A77970" w:rsidP="00CE08D7">
      <w:pPr>
        <w:tabs>
          <w:tab w:val="left" w:pos="1080"/>
        </w:tabs>
        <w:ind w:firstLine="720"/>
        <w:jc w:val="both"/>
        <w:rPr>
          <w:kern w:val="24"/>
          <w:lang w:val="af-ZA" w:eastAsia="pl-PL"/>
        </w:rPr>
      </w:pPr>
      <w:r>
        <w:rPr>
          <w:kern w:val="24"/>
          <w:lang w:val="af-ZA" w:eastAsia="pl-PL"/>
        </w:rPr>
        <w:t xml:space="preserve"> </w:t>
      </w:r>
      <w:r w:rsidRPr="009010C0">
        <w:rPr>
          <w:kern w:val="24"/>
          <w:lang w:val="af-ZA" w:eastAsia="pl-PL"/>
        </w:rPr>
        <w:t xml:space="preserve">O atenţie deosebită s-a acordat activităţilor de planificare, organizare şi executare a misiunilor de acest gen datorită caracterului special care implică imaginea instituţiilor fundamentale ale statului român, nefiind înregistrate evenimente negative. </w:t>
      </w:r>
    </w:p>
    <w:p w:rsidR="00A77970" w:rsidRPr="009010C0" w:rsidRDefault="00A77970" w:rsidP="00CE08D7">
      <w:pPr>
        <w:tabs>
          <w:tab w:val="left" w:pos="1080"/>
        </w:tabs>
        <w:ind w:firstLine="720"/>
        <w:jc w:val="both"/>
        <w:rPr>
          <w:kern w:val="24"/>
          <w:lang w:val="af-ZA" w:eastAsia="pl-PL"/>
        </w:rPr>
      </w:pPr>
      <w:r>
        <w:rPr>
          <w:kern w:val="24"/>
          <w:lang w:val="af-ZA" w:eastAsia="pl-PL"/>
        </w:rPr>
        <w:t xml:space="preserve"> </w:t>
      </w:r>
      <w:r w:rsidRPr="009010C0">
        <w:rPr>
          <w:kern w:val="24"/>
          <w:lang w:val="af-ZA" w:eastAsia="pl-PL"/>
        </w:rPr>
        <w:t xml:space="preserve">Printre misiunile de asigurare a ordinii publice ocazionate de vizite oficiale, amintim pe cea din perioada 17 - 18.09.2018, prilejuită de  Summit-ul “Iniţiativa celor Trei Mări”,  în cadrul căruia demnitari români şi străini au desfăşurat diverse activităţi </w:t>
      </w:r>
      <w:smartTag w:uri="urn:schemas-microsoft-com:office:smarttags" w:element="PersonName">
        <w:smartTagPr>
          <w:attr w:name="ProductID" w:val="la Complexul Romexpo"/>
        </w:smartTagPr>
        <w:r w:rsidRPr="009010C0">
          <w:rPr>
            <w:kern w:val="24"/>
            <w:lang w:val="af-ZA" w:eastAsia="pl-PL"/>
          </w:rPr>
          <w:t>la Complexul Romexpo</w:t>
        </w:r>
      </w:smartTag>
      <w:r w:rsidRPr="009010C0">
        <w:rPr>
          <w:kern w:val="24"/>
          <w:lang w:val="af-ZA" w:eastAsia="pl-PL"/>
        </w:rPr>
        <w:t>, Palatul Cotroceni, Banca Europeană pentru Reconstrucţie şi Dezvoltare, Ambasada Republicii Austria, Ambasada Republicii Bulgaria, Reşedinţa Republicii Bulgaria, Reşedinţa ambasadorului Republicii Federale Germania și Banca Naţională a României.</w:t>
      </w:r>
    </w:p>
    <w:p w:rsidR="00A77970" w:rsidRPr="009010C0" w:rsidRDefault="00A77970" w:rsidP="00CE08D7">
      <w:pPr>
        <w:tabs>
          <w:tab w:val="left" w:pos="1080"/>
        </w:tabs>
        <w:ind w:firstLine="720"/>
        <w:jc w:val="both"/>
        <w:rPr>
          <w:kern w:val="24"/>
          <w:lang w:val="af-ZA" w:eastAsia="pl-PL"/>
        </w:rPr>
      </w:pPr>
      <w:r w:rsidRPr="009010C0">
        <w:rPr>
          <w:b/>
          <w:i/>
          <w:kern w:val="24"/>
          <w:lang w:val="af-ZA" w:eastAsia="pl-PL"/>
        </w:rPr>
        <w:t>Asigurarea ordinii publice pe timpul altor tipuri de activităţi</w:t>
      </w:r>
      <w:r w:rsidRPr="009010C0">
        <w:rPr>
          <w:kern w:val="24"/>
          <w:lang w:val="af-ZA" w:eastAsia="pl-PL"/>
        </w:rPr>
        <w:t xml:space="preserve"> reprezintă aproximativ 17,36% din totalul misiunilor de asigurare a ordinii publice executate în anul 2018, efectivele de jandarmi ale </w:t>
      </w:r>
      <w:r w:rsidRPr="009010C0">
        <w:rPr>
          <w:kern w:val="24"/>
          <w:lang w:val="af-ZA" w:eastAsia="pl-PL"/>
        </w:rPr>
        <w:lastRenderedPageBreak/>
        <w:t>D.G.J.M.B. participând la 314 misiuni pe timpul manifestaţiilor promoţionale sau comerciale, la care au fost angrenaţi 3955 jandarmi.</w:t>
      </w:r>
    </w:p>
    <w:p w:rsidR="00A77970" w:rsidRPr="00CE08D7" w:rsidRDefault="00A77970" w:rsidP="00CE08D7">
      <w:pPr>
        <w:tabs>
          <w:tab w:val="left" w:pos="1080"/>
        </w:tabs>
        <w:ind w:firstLine="720"/>
        <w:jc w:val="both"/>
        <w:rPr>
          <w:kern w:val="24"/>
          <w:lang w:val="af-ZA" w:eastAsia="pl-PL"/>
        </w:rPr>
      </w:pPr>
      <w:r>
        <w:rPr>
          <w:kern w:val="24"/>
          <w:lang w:val="af-ZA" w:eastAsia="pl-PL"/>
        </w:rPr>
        <w:t xml:space="preserve"> </w:t>
      </w:r>
      <w:r w:rsidRPr="009010C0">
        <w:rPr>
          <w:kern w:val="24"/>
          <w:lang w:val="af-ZA" w:eastAsia="pl-PL"/>
        </w:rPr>
        <w:t>În zilele de 06 și 07.10.2018</w:t>
      </w:r>
      <w:r>
        <w:rPr>
          <w:kern w:val="24"/>
          <w:lang w:val="af-ZA" w:eastAsia="pl-PL"/>
        </w:rPr>
        <w:t>,</w:t>
      </w:r>
      <w:r w:rsidRPr="009010C0">
        <w:rPr>
          <w:kern w:val="24"/>
          <w:lang w:val="af-ZA" w:eastAsia="pl-PL"/>
        </w:rPr>
        <w:t xml:space="preserve"> D.G.J.M.B. a asigurat măsurile de ordine publică premergător, pe timpul și ulterior Referendumului Național pentru revizuirea Constituției. Referendumul național precum și evenimentele care se desfăşoară pentru sărbătorirea zilei Naţionale sau altor activităţi anuale au determinat necesitatea asigurării unui climat de ordine pentru desfășurarea în bune condiții a exercitării drepturilor constituționale a participațil</w:t>
      </w:r>
      <w:r w:rsidR="00CE08D7">
        <w:rPr>
          <w:kern w:val="24"/>
          <w:lang w:val="af-ZA" w:eastAsia="pl-PL"/>
        </w:rPr>
        <w:t>or.</w:t>
      </w:r>
      <w:r>
        <w:rPr>
          <w:color w:val="FF0000"/>
          <w:kern w:val="24"/>
          <w:lang w:val="af-ZA" w:eastAsia="pl-PL"/>
        </w:rPr>
        <w:t xml:space="preserve"> </w:t>
      </w:r>
    </w:p>
    <w:p w:rsidR="00A77970" w:rsidRPr="009010C0" w:rsidRDefault="00A77970" w:rsidP="00CE08D7">
      <w:pPr>
        <w:tabs>
          <w:tab w:val="left" w:pos="1080"/>
        </w:tabs>
        <w:ind w:firstLine="720"/>
        <w:jc w:val="both"/>
        <w:rPr>
          <w:b/>
          <w:i/>
          <w:kern w:val="24"/>
          <w:lang w:val="af-ZA" w:eastAsia="pl-PL"/>
        </w:rPr>
      </w:pPr>
      <w:r w:rsidRPr="009010C0">
        <w:rPr>
          <w:b/>
          <w:i/>
          <w:kern w:val="24"/>
          <w:lang w:val="af-ZA" w:eastAsia="pl-PL"/>
        </w:rPr>
        <w:t>Restabilirea ordinii publice şi intervenţia în alte situaţii deosebite</w:t>
      </w:r>
    </w:p>
    <w:p w:rsidR="00A77970" w:rsidRPr="009010C0" w:rsidRDefault="00A77970" w:rsidP="00CE08D7">
      <w:pPr>
        <w:tabs>
          <w:tab w:val="left" w:pos="1080"/>
        </w:tabs>
        <w:ind w:firstLine="720"/>
        <w:jc w:val="both"/>
        <w:rPr>
          <w:kern w:val="24"/>
          <w:lang w:val="af-ZA" w:eastAsia="pl-PL"/>
        </w:rPr>
      </w:pPr>
      <w:r>
        <w:rPr>
          <w:kern w:val="24"/>
          <w:lang w:val="af-ZA" w:eastAsia="pl-PL"/>
        </w:rPr>
        <w:t xml:space="preserve"> </w:t>
      </w:r>
      <w:r w:rsidRPr="009010C0">
        <w:rPr>
          <w:kern w:val="24"/>
          <w:lang w:val="af-ZA" w:eastAsia="pl-PL"/>
        </w:rPr>
        <w:t>Direcţia Generală a executat o misiune de restabilire a ordinii publice pe timpul manifestaţiei de protest desfăşurate în Piaţa Victoriei în data de 10.08.2018 la care au participat un număr de 641 de jandarmi din cadrul Batalioanelor 1 – 4 Jandarmi Ordine Publică având în sprijin efective din cadrul B.S.I.J, respectiv Grupărilor de Jandarmi Mobile Craiova, Ploiești, Bacău și Constanța.</w:t>
      </w:r>
    </w:p>
    <w:p w:rsidR="00A77970" w:rsidRPr="009010C0" w:rsidRDefault="00A77970" w:rsidP="00CE08D7">
      <w:pPr>
        <w:tabs>
          <w:tab w:val="left" w:pos="1080"/>
        </w:tabs>
        <w:ind w:firstLine="720"/>
        <w:jc w:val="both"/>
        <w:rPr>
          <w:kern w:val="24"/>
          <w:lang w:val="af-ZA" w:eastAsia="pl-PL"/>
        </w:rPr>
      </w:pPr>
      <w:r>
        <w:rPr>
          <w:kern w:val="24"/>
          <w:lang w:val="af-ZA" w:eastAsia="pl-PL"/>
        </w:rPr>
        <w:t xml:space="preserve"> </w:t>
      </w:r>
      <w:r w:rsidRPr="009010C0">
        <w:rPr>
          <w:kern w:val="24"/>
          <w:lang w:val="af-ZA" w:eastAsia="pl-PL"/>
        </w:rPr>
        <w:t>Urmare a evoluției situației operative, pe timpul manifestaţiilor de protest existând deseori incidente izolate de o gravitate moderată, comandanţii acţiunilor au luat permanent măsuri pentru adaptarea modului de acțiune a elementelor de dispozitiv în scopul asigurării protecției participanților la toate adunările publice.</w:t>
      </w:r>
    </w:p>
    <w:p w:rsidR="00A77970" w:rsidRPr="009010C0" w:rsidRDefault="00A77970" w:rsidP="00CE08D7">
      <w:pPr>
        <w:tabs>
          <w:tab w:val="left" w:pos="1080"/>
        </w:tabs>
        <w:ind w:firstLine="720"/>
        <w:jc w:val="both"/>
        <w:rPr>
          <w:kern w:val="24"/>
          <w:lang w:val="af-ZA" w:eastAsia="pl-PL"/>
        </w:rPr>
      </w:pPr>
      <w:r w:rsidRPr="009010C0">
        <w:rPr>
          <w:b/>
          <w:i/>
          <w:kern w:val="24"/>
          <w:lang w:val="af-ZA" w:eastAsia="pl-PL"/>
        </w:rPr>
        <w:t>Misiunile de menţinere a ordinii publice</w:t>
      </w:r>
      <w:r w:rsidRPr="009010C0">
        <w:rPr>
          <w:kern w:val="24"/>
          <w:lang w:val="af-ZA" w:eastAsia="pl-PL"/>
        </w:rPr>
        <w:t xml:space="preserve"> au fost în număr de 11.105 cu un efectiv de 83.747 jandarmi (comparativ cu anul 2017, când au fost executate 5.230 misiuni cu 70.455 jandarmi), constând în principal în executarea de patrule mixte cu efective din cadrul D.G.P.M.B., acţiuni executate independent în zone sau medii cu potenţial mărit pentru săvârşirea de fapte antisociale precum şi în zona instituţiilor de învăţământ.</w:t>
      </w:r>
    </w:p>
    <w:p w:rsidR="00A77970" w:rsidRPr="009010C0" w:rsidRDefault="00A77970" w:rsidP="00CE08D7">
      <w:pPr>
        <w:tabs>
          <w:tab w:val="left" w:pos="1080"/>
        </w:tabs>
        <w:ind w:firstLine="720"/>
        <w:jc w:val="both"/>
        <w:rPr>
          <w:kern w:val="24"/>
          <w:lang w:val="af-ZA" w:eastAsia="pl-PL"/>
        </w:rPr>
      </w:pPr>
      <w:r w:rsidRPr="009010C0">
        <w:rPr>
          <w:b/>
          <w:i/>
          <w:kern w:val="24"/>
          <w:lang w:val="af-ZA" w:eastAsia="pl-PL"/>
        </w:rPr>
        <w:t>Misiuni în cooperare cu alte instituţii</w:t>
      </w:r>
    </w:p>
    <w:p w:rsidR="00A77970" w:rsidRPr="009010C0" w:rsidRDefault="00A77970" w:rsidP="00CE08D7">
      <w:pPr>
        <w:tabs>
          <w:tab w:val="left" w:pos="1080"/>
        </w:tabs>
        <w:ind w:firstLine="720"/>
        <w:jc w:val="both"/>
        <w:rPr>
          <w:kern w:val="24"/>
          <w:lang w:val="af-ZA" w:eastAsia="pl-PL"/>
        </w:rPr>
      </w:pPr>
      <w:r>
        <w:rPr>
          <w:kern w:val="24"/>
          <w:lang w:val="af-ZA" w:eastAsia="pl-PL"/>
        </w:rPr>
        <w:t xml:space="preserve"> </w:t>
      </w:r>
      <w:r w:rsidRPr="009010C0">
        <w:rPr>
          <w:kern w:val="24"/>
          <w:lang w:val="af-ZA" w:eastAsia="pl-PL"/>
        </w:rPr>
        <w:t>În baza protocoalelor sau a planurilor de cooperare încheiate cu alte structuri/instituţii, în anul 2018 s-au organizat şi executat în sistem integrat, un număr de 1.740 misiuni, la care au participat un număr de 6.416 jandarmi.</w:t>
      </w:r>
    </w:p>
    <w:p w:rsidR="00A77970" w:rsidRPr="009010C0" w:rsidRDefault="00A77970" w:rsidP="00CE08D7">
      <w:pPr>
        <w:tabs>
          <w:tab w:val="left" w:pos="1080"/>
        </w:tabs>
        <w:ind w:firstLine="720"/>
        <w:jc w:val="both"/>
        <w:rPr>
          <w:kern w:val="24"/>
          <w:lang w:val="af-ZA" w:eastAsia="pl-PL"/>
        </w:rPr>
      </w:pPr>
      <w:r>
        <w:rPr>
          <w:kern w:val="24"/>
          <w:lang w:val="af-ZA" w:eastAsia="pl-PL"/>
        </w:rPr>
        <w:t xml:space="preserve"> </w:t>
      </w:r>
      <w:r w:rsidRPr="009010C0">
        <w:rPr>
          <w:kern w:val="24"/>
          <w:lang w:val="af-ZA" w:eastAsia="pl-PL"/>
        </w:rPr>
        <w:t>Misiunile s-au organizat şi executat, în prin</w:t>
      </w:r>
      <w:r w:rsidR="00CE08D7">
        <w:rPr>
          <w:kern w:val="24"/>
          <w:lang w:val="af-ZA" w:eastAsia="pl-PL"/>
        </w:rPr>
        <w:t xml:space="preserve">cipal în cooperare cu: </w:t>
      </w:r>
      <w:r w:rsidRPr="009010C0">
        <w:rPr>
          <w:kern w:val="24"/>
          <w:lang w:val="af-ZA" w:eastAsia="pl-PL"/>
        </w:rPr>
        <w:t>Direcţia Generală de Po</w:t>
      </w:r>
      <w:r w:rsidR="00CE08D7">
        <w:rPr>
          <w:kern w:val="24"/>
          <w:lang w:val="af-ZA" w:eastAsia="pl-PL"/>
        </w:rPr>
        <w:t xml:space="preserve">liţie a Municipiului Bucureşti; </w:t>
      </w:r>
      <w:r w:rsidRPr="009010C0">
        <w:rPr>
          <w:kern w:val="24"/>
          <w:lang w:val="af-ZA" w:eastAsia="pl-PL"/>
        </w:rPr>
        <w:t>Serviciul pentru Combaterea Şederii şi Muncii Ilegale a Străinilor Municipiul Bucureşti;</w:t>
      </w:r>
      <w:r w:rsidR="00CE08D7">
        <w:rPr>
          <w:kern w:val="24"/>
          <w:lang w:val="af-ZA" w:eastAsia="pl-PL"/>
        </w:rPr>
        <w:t xml:space="preserve"> </w:t>
      </w:r>
      <w:r w:rsidRPr="009010C0">
        <w:rPr>
          <w:kern w:val="24"/>
          <w:lang w:val="af-ZA" w:eastAsia="pl-PL"/>
        </w:rPr>
        <w:t>Inspectoratul pentru Situaţii de Urgenţă „Dealu Spirii” Bucureşti – Ilfov;</w:t>
      </w:r>
      <w:r w:rsidR="00CE08D7">
        <w:rPr>
          <w:kern w:val="24"/>
          <w:lang w:val="af-ZA" w:eastAsia="pl-PL"/>
        </w:rPr>
        <w:t xml:space="preserve"> </w:t>
      </w:r>
      <w:r w:rsidRPr="009010C0">
        <w:rPr>
          <w:kern w:val="24"/>
          <w:lang w:val="af-ZA" w:eastAsia="pl-PL"/>
        </w:rPr>
        <w:t>Servi</w:t>
      </w:r>
      <w:r w:rsidR="00CE08D7">
        <w:rPr>
          <w:kern w:val="24"/>
          <w:lang w:val="af-ZA" w:eastAsia="pl-PL"/>
        </w:rPr>
        <w:t xml:space="preserve">ciul de Protecţie şi Pază; </w:t>
      </w:r>
      <w:r w:rsidRPr="009010C0">
        <w:rPr>
          <w:kern w:val="24"/>
          <w:lang w:val="af-ZA" w:eastAsia="pl-PL"/>
        </w:rPr>
        <w:t>Parchete (mandate de aduce</w:t>
      </w:r>
      <w:r w:rsidR="00CE08D7">
        <w:rPr>
          <w:kern w:val="24"/>
          <w:lang w:val="af-ZA" w:eastAsia="pl-PL"/>
        </w:rPr>
        <w:t xml:space="preserve">re) şi Executori Judecătoreşti; </w:t>
      </w:r>
      <w:r w:rsidRPr="009010C0">
        <w:rPr>
          <w:kern w:val="24"/>
          <w:lang w:val="af-ZA" w:eastAsia="pl-PL"/>
        </w:rPr>
        <w:t>Organele</w:t>
      </w:r>
      <w:r w:rsidR="00CE08D7">
        <w:rPr>
          <w:kern w:val="24"/>
          <w:lang w:val="af-ZA" w:eastAsia="pl-PL"/>
        </w:rPr>
        <w:t xml:space="preserve"> Administraţiei Publice Locale; </w:t>
      </w:r>
      <w:r w:rsidRPr="009010C0">
        <w:rPr>
          <w:kern w:val="24"/>
          <w:lang w:val="af-ZA" w:eastAsia="pl-PL"/>
        </w:rPr>
        <w:t>Inspectoratul Şc</w:t>
      </w:r>
      <w:r w:rsidR="00CE08D7">
        <w:rPr>
          <w:kern w:val="24"/>
          <w:lang w:val="af-ZA" w:eastAsia="pl-PL"/>
        </w:rPr>
        <w:t xml:space="preserve">olar al Municipiului Bucureşti; </w:t>
      </w:r>
      <w:r w:rsidRPr="009010C0">
        <w:rPr>
          <w:kern w:val="24"/>
          <w:lang w:val="af-ZA" w:eastAsia="pl-PL"/>
        </w:rPr>
        <w:t>Regia A</w:t>
      </w:r>
      <w:r w:rsidR="00CE08D7">
        <w:rPr>
          <w:kern w:val="24"/>
          <w:lang w:val="af-ZA" w:eastAsia="pl-PL"/>
        </w:rPr>
        <w:t xml:space="preserve">utonomă de Transport Bucureşti; </w:t>
      </w:r>
      <w:r w:rsidRPr="009010C0">
        <w:rPr>
          <w:kern w:val="24"/>
          <w:lang w:val="af-ZA" w:eastAsia="pl-PL"/>
        </w:rPr>
        <w:t>Comisariatul General al Gărzii de Mediu.</w:t>
      </w:r>
    </w:p>
    <w:p w:rsidR="00A77970" w:rsidRPr="009010C0" w:rsidRDefault="00A77970" w:rsidP="00CE08D7">
      <w:pPr>
        <w:tabs>
          <w:tab w:val="left" w:pos="720"/>
          <w:tab w:val="left" w:pos="900"/>
          <w:tab w:val="left" w:pos="1120"/>
          <w:tab w:val="left" w:pos="1680"/>
          <w:tab w:val="left" w:pos="2400"/>
          <w:tab w:val="left" w:pos="2520"/>
        </w:tabs>
        <w:ind w:firstLine="720"/>
        <w:jc w:val="both"/>
        <w:rPr>
          <w:b/>
          <w:i/>
          <w:lang w:val="af-ZA"/>
        </w:rPr>
      </w:pPr>
      <w:r w:rsidRPr="009010C0">
        <w:rPr>
          <w:b/>
          <w:i/>
          <w:lang w:val="af-ZA"/>
        </w:rPr>
        <w:t>Paza şi protecţia obiectivelor din responsabilitate</w:t>
      </w:r>
    </w:p>
    <w:p w:rsidR="00A77970" w:rsidRPr="009010C0" w:rsidRDefault="00A77970" w:rsidP="00CE08D7">
      <w:pPr>
        <w:ind w:firstLine="720"/>
        <w:jc w:val="both"/>
        <w:rPr>
          <w:lang w:val="af-ZA"/>
        </w:rPr>
      </w:pPr>
      <w:r w:rsidRPr="009010C0">
        <w:rPr>
          <w:lang w:val="af-ZA"/>
        </w:rPr>
        <w:t>Asigurarea climatului de normalitate civică pentru desfăşurarea în siguranţă atât a activităţilor instituţiilor fundamentale ale statului, cât şi pentru asigurarea siguranţei obiectivelor şi a cetăţenilor, în general, a reprezentat un deziderat prioritar pentru Direcția Generală care prin structurile sale specializate, a căutat să identifice cele mai eficiente forme şi modalităţi de realizare.</w:t>
      </w:r>
    </w:p>
    <w:p w:rsidR="00A77970" w:rsidRPr="009010C0" w:rsidRDefault="00A77970" w:rsidP="00CE08D7">
      <w:pPr>
        <w:ind w:firstLine="720"/>
        <w:jc w:val="both"/>
        <w:rPr>
          <w:lang w:val="af-ZA"/>
        </w:rPr>
      </w:pPr>
      <w:r w:rsidRPr="009010C0">
        <w:rPr>
          <w:lang w:val="af-ZA"/>
        </w:rPr>
        <w:t>Pentru prevenirea eventualelor situaţii de risc şi asigurarea climatului de ordine şi siguranţă publică la obiectivele din competenţă şi în zonele de dispunere ale acestora s-au avut în atenţie următoarele direcţii de acţiune prioritare:</w:t>
      </w:r>
    </w:p>
    <w:p w:rsidR="00A77970" w:rsidRPr="009010C0" w:rsidRDefault="00A77970" w:rsidP="00CE08D7">
      <w:pPr>
        <w:tabs>
          <w:tab w:val="left" w:pos="1080"/>
        </w:tabs>
        <w:jc w:val="both"/>
        <w:rPr>
          <w:lang w:val="af-ZA"/>
        </w:rPr>
      </w:pPr>
      <w:r w:rsidRPr="009010C0">
        <w:rPr>
          <w:lang w:val="af-ZA"/>
        </w:rPr>
        <w:t xml:space="preserve">- </w:t>
      </w:r>
      <w:r>
        <w:rPr>
          <w:lang w:val="af-ZA"/>
        </w:rPr>
        <w:t xml:space="preserve"> </w:t>
      </w:r>
      <w:r w:rsidRPr="009010C0">
        <w:rPr>
          <w:lang w:val="af-ZA"/>
        </w:rPr>
        <w:t>creşterea calităţii şi îmbunătăţirea performanţelor pe linia misiunilor de asigurare a pazei obiectivelor din competenţă.</w:t>
      </w:r>
    </w:p>
    <w:p w:rsidR="00A77970" w:rsidRPr="009010C0" w:rsidRDefault="00A77970" w:rsidP="00CE08D7">
      <w:pPr>
        <w:tabs>
          <w:tab w:val="left" w:pos="1080"/>
        </w:tabs>
        <w:jc w:val="both"/>
        <w:rPr>
          <w:lang w:val="af-ZA"/>
        </w:rPr>
      </w:pPr>
      <w:r w:rsidRPr="009010C0">
        <w:rPr>
          <w:lang w:val="af-ZA"/>
        </w:rPr>
        <w:t xml:space="preserve">- </w:t>
      </w:r>
      <w:r>
        <w:rPr>
          <w:lang w:val="af-ZA"/>
        </w:rPr>
        <w:t xml:space="preserve"> </w:t>
      </w:r>
      <w:r w:rsidRPr="009010C0">
        <w:rPr>
          <w:lang w:val="af-ZA"/>
        </w:rPr>
        <w:t>identificarea ameninţărilor, riscurilor şi vulnerabilităţilor la nivelul obiectivelor din competenţă şi implementarea unor sisteme tehnice de pază şi alarmare performante.</w:t>
      </w:r>
    </w:p>
    <w:p w:rsidR="00A77970" w:rsidRPr="009010C0" w:rsidRDefault="00A77970" w:rsidP="00CE08D7">
      <w:pPr>
        <w:tabs>
          <w:tab w:val="left" w:pos="1080"/>
        </w:tabs>
        <w:jc w:val="both"/>
        <w:rPr>
          <w:lang w:val="af-ZA"/>
        </w:rPr>
      </w:pPr>
      <w:r w:rsidRPr="009010C0">
        <w:rPr>
          <w:lang w:val="af-ZA"/>
        </w:rPr>
        <w:t xml:space="preserve">- </w:t>
      </w:r>
      <w:r>
        <w:rPr>
          <w:lang w:val="af-ZA"/>
        </w:rPr>
        <w:t xml:space="preserve"> </w:t>
      </w:r>
      <w:r w:rsidRPr="009010C0">
        <w:rPr>
          <w:lang w:val="af-ZA"/>
        </w:rPr>
        <w:t>perfecţionarea capacităţii operaţionale şi îmbunătăţirea capabilităţilor de reacţie în executarea misiunilor de intervenţie în situaţii deosebite.</w:t>
      </w:r>
    </w:p>
    <w:p w:rsidR="00A77970" w:rsidRPr="009010C0" w:rsidRDefault="00A77970" w:rsidP="00CE08D7">
      <w:pPr>
        <w:tabs>
          <w:tab w:val="left" w:pos="1080"/>
        </w:tabs>
        <w:jc w:val="both"/>
        <w:rPr>
          <w:lang w:val="af-ZA"/>
        </w:rPr>
      </w:pPr>
      <w:r w:rsidRPr="009010C0">
        <w:rPr>
          <w:lang w:val="af-ZA"/>
        </w:rPr>
        <w:t xml:space="preserve">- consolidarea cooperării/colaborării intra şi interinstituţională cu instituţiile cu atribuţii pe linia asigurării securităţii obiectivelor. </w:t>
      </w:r>
    </w:p>
    <w:p w:rsidR="00A77970" w:rsidRPr="009010C0" w:rsidRDefault="00A77970" w:rsidP="00CE08D7">
      <w:pPr>
        <w:ind w:firstLine="720"/>
        <w:jc w:val="both"/>
        <w:rPr>
          <w:lang w:val="af-ZA"/>
        </w:rPr>
      </w:pPr>
      <w:r w:rsidRPr="009010C0">
        <w:rPr>
          <w:lang w:val="af-ZA"/>
        </w:rPr>
        <w:t xml:space="preserve">Având în vedere situaţia operativă internă şi internaţională în continuă schimbare, un aspect prioritar l-a reprezentat cunoaşterea situaţiei operative din zona de dispunere a obiectivelor şi din imediata apropiere a acestora, asigurarea siguranţei obiectivelor, precum şi asigurarea unui flux </w:t>
      </w:r>
      <w:r w:rsidRPr="009010C0">
        <w:rPr>
          <w:lang w:val="af-ZA"/>
        </w:rPr>
        <w:lastRenderedPageBreak/>
        <w:t>informaţional constant şi eficient cu celelalte structuri participante la executarea misiunii, care să permită intervenţia operativă în situaţii deosebite.</w:t>
      </w:r>
    </w:p>
    <w:p w:rsidR="00A77970" w:rsidRPr="009010C0" w:rsidRDefault="00A77970" w:rsidP="00CE08D7">
      <w:pPr>
        <w:ind w:firstLine="720"/>
        <w:jc w:val="both"/>
        <w:rPr>
          <w:lang w:val="af-ZA"/>
        </w:rPr>
      </w:pPr>
      <w:r w:rsidRPr="009010C0">
        <w:rPr>
          <w:lang w:val="af-ZA"/>
        </w:rPr>
        <w:t xml:space="preserve">La  data de 31.12.2018, Direcţia Generală asigură paza la un număr de </w:t>
      </w:r>
      <w:r w:rsidRPr="009010C0">
        <w:rPr>
          <w:b/>
          <w:lang w:val="af-ZA"/>
        </w:rPr>
        <w:t>245 de obiective</w:t>
      </w:r>
      <w:r w:rsidRPr="009010C0">
        <w:rPr>
          <w:lang w:val="af-ZA"/>
        </w:rPr>
        <w:t xml:space="preserve">, cu </w:t>
      </w:r>
      <w:r w:rsidRPr="009010C0">
        <w:rPr>
          <w:b/>
          <w:lang w:val="af-ZA"/>
        </w:rPr>
        <w:t>7</w:t>
      </w:r>
      <w:r w:rsidRPr="009010C0">
        <w:rPr>
          <w:lang w:val="af-ZA"/>
        </w:rPr>
        <w:t xml:space="preserve"> mai multe, comparativ cu anul 2017. </w:t>
      </w:r>
    </w:p>
    <w:p w:rsidR="00A77970" w:rsidRPr="009010C0" w:rsidRDefault="00A77970" w:rsidP="00CE08D7">
      <w:pPr>
        <w:suppressLineNumbers/>
        <w:suppressAutoHyphens/>
        <w:ind w:firstLine="720"/>
        <w:jc w:val="both"/>
        <w:rPr>
          <w:b/>
          <w:spacing w:val="-4"/>
          <w:lang w:val="af-ZA"/>
        </w:rPr>
      </w:pPr>
      <w:r w:rsidRPr="009010C0">
        <w:rPr>
          <w:b/>
          <w:i/>
          <w:spacing w:val="-4"/>
          <w:lang w:val="af-ZA"/>
        </w:rPr>
        <w:t>Pe linia asigurării pazei transporturilor speciale</w:t>
      </w:r>
    </w:p>
    <w:p w:rsidR="00A77970" w:rsidRPr="009010C0" w:rsidRDefault="00A77970" w:rsidP="00CE08D7">
      <w:pPr>
        <w:ind w:firstLine="720"/>
        <w:jc w:val="both"/>
        <w:rPr>
          <w:spacing w:val="-4"/>
          <w:lang w:val="af-ZA"/>
        </w:rPr>
      </w:pPr>
      <w:r w:rsidRPr="009010C0">
        <w:rPr>
          <w:lang w:val="af-ZA"/>
        </w:rPr>
        <w:t>În perioada analizată, s-a</w:t>
      </w:r>
      <w:r w:rsidRPr="009010C0">
        <w:rPr>
          <w:b/>
          <w:lang w:val="af-ZA"/>
        </w:rPr>
        <w:t xml:space="preserve"> </w:t>
      </w:r>
      <w:r w:rsidRPr="009010C0">
        <w:rPr>
          <w:lang w:val="af-ZA"/>
        </w:rPr>
        <w:t>asigurat paza transporturilor de bunuri, valori şi produse cu caracter special pentru</w:t>
      </w:r>
      <w:r w:rsidRPr="009010C0">
        <w:rPr>
          <w:b/>
          <w:lang w:val="af-ZA"/>
        </w:rPr>
        <w:t xml:space="preserve"> 41 de beneficiari, s</w:t>
      </w:r>
      <w:r w:rsidRPr="009010C0">
        <w:rPr>
          <w:spacing w:val="-4"/>
          <w:lang w:val="af-ZA"/>
        </w:rPr>
        <w:t>tructurile implicate având în atenţie următoarele direcţii de acţiune principale:</w:t>
      </w:r>
    </w:p>
    <w:p w:rsidR="00A77970" w:rsidRPr="009010C0" w:rsidRDefault="00A77970" w:rsidP="00980D72">
      <w:pPr>
        <w:numPr>
          <w:ilvl w:val="0"/>
          <w:numId w:val="16"/>
        </w:numPr>
        <w:suppressLineNumbers/>
        <w:tabs>
          <w:tab w:val="left" w:pos="180"/>
          <w:tab w:val="left" w:pos="993"/>
        </w:tabs>
        <w:suppressAutoHyphens/>
        <w:ind w:left="0" w:firstLine="0"/>
        <w:jc w:val="both"/>
        <w:rPr>
          <w:lang w:val="af-ZA"/>
        </w:rPr>
      </w:pPr>
      <w:r w:rsidRPr="009010C0">
        <w:rPr>
          <w:lang w:val="af-ZA"/>
        </w:rPr>
        <w:t>perfecţionarea modului de planificare, organizare şi executare a misiunii de pază a transporturilor, din competenţa Direcţiei Generale;</w:t>
      </w:r>
    </w:p>
    <w:p w:rsidR="00A77970" w:rsidRPr="009010C0" w:rsidRDefault="00A77970" w:rsidP="00980D72">
      <w:pPr>
        <w:numPr>
          <w:ilvl w:val="0"/>
          <w:numId w:val="16"/>
        </w:numPr>
        <w:suppressLineNumbers/>
        <w:tabs>
          <w:tab w:val="left" w:pos="180"/>
          <w:tab w:val="left" w:pos="993"/>
        </w:tabs>
        <w:suppressAutoHyphens/>
        <w:ind w:left="0" w:firstLine="0"/>
        <w:jc w:val="both"/>
        <w:rPr>
          <w:spacing w:val="-4"/>
          <w:lang w:val="af-ZA"/>
        </w:rPr>
      </w:pPr>
      <w:r w:rsidRPr="009010C0">
        <w:rPr>
          <w:spacing w:val="-4"/>
          <w:lang w:val="af-ZA"/>
        </w:rPr>
        <w:t>asigurarea unui flux informaţional optim cu instituţiile şi societăţile beneficiare de pază a transporturilor, respectiv cu forţele cu care se cooperează pentru îndeplinirea misiunii;</w:t>
      </w:r>
    </w:p>
    <w:p w:rsidR="00A77970" w:rsidRPr="009010C0" w:rsidRDefault="00A77970" w:rsidP="00980D72">
      <w:pPr>
        <w:numPr>
          <w:ilvl w:val="0"/>
          <w:numId w:val="16"/>
        </w:numPr>
        <w:suppressLineNumbers/>
        <w:tabs>
          <w:tab w:val="left" w:pos="180"/>
          <w:tab w:val="left" w:pos="993"/>
        </w:tabs>
        <w:suppressAutoHyphens/>
        <w:ind w:left="0" w:firstLine="0"/>
        <w:jc w:val="both"/>
        <w:rPr>
          <w:lang w:val="af-ZA"/>
        </w:rPr>
      </w:pPr>
      <w:r w:rsidRPr="009010C0">
        <w:rPr>
          <w:lang w:val="af-ZA"/>
        </w:rPr>
        <w:t>creşterea nivelului de pregătire al personalului cu atribuţii pe linia misiunii de pază a transporturilor în vederea aplicării prevederilor ordinelor, dispoziţiilor şi a procedurilor specifice ce reglementează această misiune;</w:t>
      </w:r>
    </w:p>
    <w:p w:rsidR="00A77970" w:rsidRPr="009010C0" w:rsidRDefault="00A77970" w:rsidP="00980D72">
      <w:pPr>
        <w:numPr>
          <w:ilvl w:val="0"/>
          <w:numId w:val="16"/>
        </w:numPr>
        <w:suppressLineNumbers/>
        <w:tabs>
          <w:tab w:val="left" w:pos="180"/>
          <w:tab w:val="left" w:pos="993"/>
        </w:tabs>
        <w:suppressAutoHyphens/>
        <w:ind w:left="0" w:firstLine="0"/>
        <w:jc w:val="both"/>
        <w:rPr>
          <w:lang w:val="af-ZA"/>
        </w:rPr>
      </w:pPr>
      <w:r w:rsidRPr="009010C0">
        <w:rPr>
          <w:lang w:val="af-ZA"/>
        </w:rPr>
        <w:t>creşterea calităţii documentelor elaborate pentru planificarea, organizarea şi executarea misiunii de pază a transporturilor.</w:t>
      </w:r>
    </w:p>
    <w:p w:rsidR="00A77970" w:rsidRPr="009010C0" w:rsidRDefault="00A77970" w:rsidP="00CE08D7">
      <w:pPr>
        <w:ind w:firstLine="720"/>
        <w:jc w:val="both"/>
        <w:rPr>
          <w:spacing w:val="-4"/>
          <w:lang w:val="af-ZA"/>
        </w:rPr>
      </w:pPr>
      <w:r w:rsidRPr="009010C0">
        <w:rPr>
          <w:spacing w:val="-4"/>
          <w:lang w:val="af-ZA"/>
        </w:rPr>
        <w:t xml:space="preserve">Pe parcursul anului 2018 pe linia misiunii de pază a transporturilor de bunuri, valori și produse cu caracter special din competenţa </w:t>
      </w:r>
      <w:r w:rsidRPr="009010C0">
        <w:rPr>
          <w:lang w:val="af-ZA"/>
        </w:rPr>
        <w:t xml:space="preserve">unităţii </w:t>
      </w:r>
      <w:r w:rsidRPr="009010C0">
        <w:rPr>
          <w:spacing w:val="-4"/>
          <w:lang w:val="af-ZA"/>
        </w:rPr>
        <w:t>nu s-au înregistrat evenimente negative.</w:t>
      </w:r>
    </w:p>
    <w:p w:rsidR="00A77970" w:rsidRPr="009010C0" w:rsidRDefault="00A77970" w:rsidP="00CE08D7">
      <w:pPr>
        <w:widowControl w:val="0"/>
        <w:tabs>
          <w:tab w:val="left" w:pos="700"/>
          <w:tab w:val="left" w:pos="1106"/>
        </w:tabs>
        <w:ind w:firstLine="720"/>
        <w:jc w:val="both"/>
        <w:rPr>
          <w:b/>
          <w:i/>
          <w:kern w:val="24"/>
          <w:lang w:val="af-ZA" w:eastAsia="pl-PL"/>
        </w:rPr>
      </w:pPr>
      <w:r w:rsidRPr="009010C0">
        <w:rPr>
          <w:b/>
          <w:i/>
          <w:kern w:val="24"/>
          <w:lang w:val="af-ZA" w:eastAsia="pl-PL"/>
        </w:rPr>
        <w:t>Pe linia prevenirii faptelor antisociale</w:t>
      </w:r>
    </w:p>
    <w:p w:rsidR="00A77970" w:rsidRPr="009010C0" w:rsidRDefault="00A77970" w:rsidP="00CE08D7">
      <w:pPr>
        <w:widowControl w:val="0"/>
        <w:tabs>
          <w:tab w:val="left" w:pos="700"/>
          <w:tab w:val="left" w:pos="1106"/>
        </w:tabs>
        <w:ind w:firstLine="720"/>
        <w:jc w:val="both"/>
        <w:rPr>
          <w:kern w:val="24"/>
          <w:lang w:val="af-ZA" w:eastAsia="pl-PL"/>
        </w:rPr>
      </w:pPr>
      <w:r w:rsidRPr="009010C0">
        <w:rPr>
          <w:kern w:val="24"/>
          <w:lang w:val="af-ZA" w:eastAsia="pl-PL"/>
        </w:rPr>
        <w:t>În scopul prevenirii faptelor antisociale au fost continuate eforturile depuse în anii anteriori, activităţile conturându-se, în principal, pe trei direcţii şi anume: informare, conştientizare şi sensibilizare.</w:t>
      </w:r>
    </w:p>
    <w:p w:rsidR="00A77970" w:rsidRPr="009010C0" w:rsidRDefault="00A77970" w:rsidP="00CE08D7">
      <w:pPr>
        <w:widowControl w:val="0"/>
        <w:tabs>
          <w:tab w:val="left" w:pos="700"/>
          <w:tab w:val="left" w:pos="1106"/>
        </w:tabs>
        <w:ind w:firstLine="720"/>
        <w:jc w:val="both"/>
        <w:rPr>
          <w:kern w:val="24"/>
          <w:lang w:val="af-ZA" w:eastAsia="pl-PL"/>
        </w:rPr>
      </w:pPr>
      <w:r w:rsidRPr="009010C0">
        <w:rPr>
          <w:kern w:val="24"/>
          <w:lang w:val="af-ZA" w:eastAsia="pl-PL"/>
        </w:rPr>
        <w:t xml:space="preserve">Totodată, Direcţia Generală de Jandarmi a Municipiului Bucureşti şi-a concentrat efortul pentru a consolida legătura dintre cetăţeni şi instituţiile statului, în acest sens intensificând gradul de implicare în mediul social prin dezvoltarea parteneriatului cu principalii actori sociali precum şcoala, instituţiile de interes public sau privat ori cluburile sportive. </w:t>
      </w:r>
    </w:p>
    <w:p w:rsidR="00A77970" w:rsidRPr="009010C0" w:rsidRDefault="00A77970" w:rsidP="00CE08D7">
      <w:pPr>
        <w:widowControl w:val="0"/>
        <w:tabs>
          <w:tab w:val="left" w:pos="700"/>
          <w:tab w:val="left" w:pos="1106"/>
        </w:tabs>
        <w:ind w:firstLine="720"/>
        <w:jc w:val="both"/>
        <w:rPr>
          <w:kern w:val="24"/>
          <w:lang w:val="af-ZA" w:eastAsia="pl-PL"/>
        </w:rPr>
      </w:pPr>
      <w:r w:rsidRPr="009010C0">
        <w:rPr>
          <w:kern w:val="24"/>
          <w:lang w:val="af-ZA" w:eastAsia="pl-PL"/>
        </w:rPr>
        <w:t>În acest sens au fost încheiate colaborări cu Instituţia Prefectului Municipiului Bucureşti, Inspectoratul Şcolar al Municipiului Bucureşti, Serviciul de Transport Bucureşti, Federaţia Română de Fotbal, Liga Profesionistă de Fotbal, Direcţia pentru Sport şi Tineret a Municipiului Bucureşti, F.C. FCSB, F.C. Dinamo 1948 Bucureşti, Academia de Poliţie „A. I. Cuza” şi Carrefour România. Începând cu semestrul II al anului 2018, Carrefour România nu şi-a exprimat acordul pentru a continua colaborarea.</w:t>
      </w:r>
    </w:p>
    <w:p w:rsidR="00A77970" w:rsidRDefault="00A77970" w:rsidP="00CE08D7">
      <w:pPr>
        <w:widowControl w:val="0"/>
        <w:tabs>
          <w:tab w:val="left" w:pos="700"/>
          <w:tab w:val="left" w:pos="1106"/>
        </w:tabs>
        <w:ind w:firstLine="720"/>
        <w:jc w:val="both"/>
        <w:rPr>
          <w:kern w:val="24"/>
          <w:lang w:val="af-ZA" w:eastAsia="pl-PL"/>
        </w:rPr>
      </w:pPr>
      <w:r w:rsidRPr="009010C0">
        <w:rPr>
          <w:kern w:val="24"/>
          <w:lang w:val="af-ZA" w:eastAsia="pl-PL"/>
        </w:rPr>
        <w:t xml:space="preserve">În anul 2018 am desfăşurat </w:t>
      </w:r>
      <w:r w:rsidRPr="009010C0">
        <w:rPr>
          <w:b/>
          <w:kern w:val="24"/>
          <w:lang w:val="af-ZA" w:eastAsia="pl-PL"/>
        </w:rPr>
        <w:t>94 acţiuni</w:t>
      </w:r>
      <w:r w:rsidRPr="009010C0">
        <w:rPr>
          <w:kern w:val="24"/>
          <w:lang w:val="af-ZA" w:eastAsia="pl-PL"/>
        </w:rPr>
        <w:t xml:space="preserve"> cu caracter educativ - preventiv în diferite medii de interes, precum unităţi de învăţământ preuniversitar, arene sportive şi alte locuri în care se desfăşoară adunări publice. </w:t>
      </w:r>
    </w:p>
    <w:p w:rsidR="00A77970" w:rsidRPr="009010C0" w:rsidRDefault="00A77970" w:rsidP="00CE08D7">
      <w:pPr>
        <w:widowControl w:val="0"/>
        <w:tabs>
          <w:tab w:val="left" w:pos="700"/>
          <w:tab w:val="left" w:pos="1106"/>
        </w:tabs>
        <w:ind w:firstLine="720"/>
        <w:jc w:val="both"/>
        <w:rPr>
          <w:kern w:val="24"/>
          <w:lang w:val="af-ZA" w:eastAsia="pl-PL"/>
        </w:rPr>
      </w:pPr>
      <w:r w:rsidRPr="009010C0">
        <w:rPr>
          <w:kern w:val="24"/>
          <w:lang w:val="af-ZA" w:eastAsia="pl-PL"/>
        </w:rPr>
        <w:t>Personalul unităţii a desfăşurat activităţi educativ-preventive în cadrul următoarelor programe:</w:t>
      </w:r>
    </w:p>
    <w:p w:rsidR="00A77970" w:rsidRPr="009010C0" w:rsidRDefault="00A77970" w:rsidP="00CE08D7">
      <w:pPr>
        <w:widowControl w:val="0"/>
        <w:tabs>
          <w:tab w:val="left" w:pos="700"/>
          <w:tab w:val="left" w:pos="1106"/>
        </w:tabs>
        <w:jc w:val="both"/>
        <w:rPr>
          <w:kern w:val="24"/>
          <w:lang w:val="af-ZA" w:eastAsia="pl-PL"/>
        </w:rPr>
      </w:pPr>
      <w:r w:rsidRPr="009010C0">
        <w:rPr>
          <w:kern w:val="24"/>
          <w:lang w:val="af-ZA" w:eastAsia="pl-PL"/>
        </w:rPr>
        <w:t>- „</w:t>
      </w:r>
      <w:r w:rsidRPr="009010C0">
        <w:rPr>
          <w:b/>
          <w:kern w:val="24"/>
          <w:lang w:val="af-ZA" w:eastAsia="pl-PL"/>
        </w:rPr>
        <w:t xml:space="preserve">Invitaţie </w:t>
      </w:r>
      <w:smartTag w:uri="urn:schemas-microsoft-com:office:smarttags" w:element="PersonName">
        <w:smartTagPr>
          <w:attr w:name="ProductID" w:val="la Fair"/>
        </w:smartTagPr>
        <w:r w:rsidRPr="009010C0">
          <w:rPr>
            <w:b/>
            <w:kern w:val="24"/>
            <w:lang w:val="af-ZA" w:eastAsia="pl-PL"/>
          </w:rPr>
          <w:t>la Fair</w:t>
        </w:r>
      </w:smartTag>
      <w:r w:rsidRPr="009010C0">
        <w:rPr>
          <w:b/>
          <w:kern w:val="24"/>
          <w:lang w:val="af-ZA" w:eastAsia="pl-PL"/>
        </w:rPr>
        <w:t xml:space="preserve"> - Play”</w:t>
      </w:r>
      <w:r w:rsidRPr="009010C0">
        <w:rPr>
          <w:kern w:val="24"/>
          <w:lang w:val="af-ZA" w:eastAsia="pl-PL"/>
        </w:rPr>
        <w:t>, în parteneriat cu Instituţia Prefectului Municipiului Bucureşti, Inspectoratul Şcolar al Municipiului Bucureşti, Serviciul de Transport Bucureşti, Federaţia Română de Fotbal, Liga Profesionistă de Fotbal, Direcţia pentru Sport şi Tineret a Municipiului Bucureşti, F.C. FCSB şi F.C. Dinamo 1948 Bucureşti;</w:t>
      </w:r>
    </w:p>
    <w:p w:rsidR="00A77970" w:rsidRPr="009010C0" w:rsidRDefault="00A77970" w:rsidP="00CE08D7">
      <w:pPr>
        <w:widowControl w:val="0"/>
        <w:tabs>
          <w:tab w:val="left" w:pos="700"/>
          <w:tab w:val="left" w:pos="1106"/>
        </w:tabs>
        <w:jc w:val="both"/>
        <w:rPr>
          <w:kern w:val="24"/>
          <w:lang w:val="af-ZA" w:eastAsia="pl-PL"/>
        </w:rPr>
      </w:pPr>
      <w:r w:rsidRPr="009010C0">
        <w:rPr>
          <w:kern w:val="24"/>
          <w:lang w:val="af-ZA" w:eastAsia="pl-PL"/>
        </w:rPr>
        <w:t>- „</w:t>
      </w:r>
      <w:r w:rsidRPr="009010C0">
        <w:rPr>
          <w:b/>
          <w:kern w:val="24"/>
          <w:lang w:val="af-ZA" w:eastAsia="pl-PL"/>
        </w:rPr>
        <w:t>Siguranţa ta are prioritate</w:t>
      </w:r>
      <w:r w:rsidRPr="009010C0">
        <w:rPr>
          <w:kern w:val="24"/>
          <w:lang w:val="af-ZA" w:eastAsia="pl-PL"/>
        </w:rPr>
        <w:t>”, în parteneriat cu Instituţia Prefectului Municipiului Bucureşti, Inspectoratul Şcolar al Municipiului Bucureşti şi Carrefour România, în cadrul căruia s-a desfăşurat:</w:t>
      </w:r>
    </w:p>
    <w:p w:rsidR="00A77970" w:rsidRPr="009010C0" w:rsidRDefault="00A77970" w:rsidP="00CE08D7">
      <w:pPr>
        <w:widowControl w:val="0"/>
        <w:tabs>
          <w:tab w:val="left" w:pos="700"/>
          <w:tab w:val="left" w:pos="1106"/>
        </w:tabs>
        <w:jc w:val="both"/>
        <w:rPr>
          <w:kern w:val="24"/>
          <w:lang w:val="af-ZA" w:eastAsia="pl-PL"/>
        </w:rPr>
      </w:pPr>
      <w:r w:rsidRPr="009010C0">
        <w:rPr>
          <w:kern w:val="24"/>
          <w:lang w:val="af-ZA" w:eastAsia="pl-PL"/>
        </w:rPr>
        <w:t xml:space="preserve">- </w:t>
      </w:r>
      <w:r w:rsidRPr="009010C0">
        <w:rPr>
          <w:b/>
          <w:kern w:val="24"/>
          <w:lang w:val="af-ZA" w:eastAsia="pl-PL"/>
        </w:rPr>
        <w:t>campania</w:t>
      </w:r>
      <w:r w:rsidRPr="009010C0">
        <w:rPr>
          <w:kern w:val="24"/>
          <w:lang w:val="af-ZA" w:eastAsia="pl-PL"/>
        </w:rPr>
        <w:t xml:space="preserve"> ,,</w:t>
      </w:r>
      <w:r w:rsidRPr="009010C0">
        <w:rPr>
          <w:b/>
          <w:kern w:val="24"/>
          <w:lang w:val="af-ZA" w:eastAsia="pl-PL"/>
        </w:rPr>
        <w:t>Şi în vacanţă tot în siguranţă!</w:t>
      </w:r>
      <w:r w:rsidRPr="009010C0">
        <w:rPr>
          <w:kern w:val="24"/>
          <w:lang w:val="af-ZA" w:eastAsia="pl-PL"/>
        </w:rPr>
        <w:t xml:space="preserve"> ”, campanie care a fost demarată în luna decembrie şi a avut ca scop principal prevenirea faptelor sociale pe timpul vacanţei şcolare, săvârşite de către elevi sau împotriva elevilor;</w:t>
      </w:r>
    </w:p>
    <w:p w:rsidR="00A77970" w:rsidRPr="009010C0" w:rsidRDefault="00A77970" w:rsidP="00CE08D7">
      <w:pPr>
        <w:widowControl w:val="0"/>
        <w:tabs>
          <w:tab w:val="left" w:pos="700"/>
          <w:tab w:val="left" w:pos="1106"/>
        </w:tabs>
        <w:jc w:val="both"/>
        <w:rPr>
          <w:kern w:val="24"/>
          <w:lang w:val="af-ZA" w:eastAsia="pl-PL"/>
        </w:rPr>
      </w:pPr>
      <w:r w:rsidRPr="009010C0">
        <w:rPr>
          <w:kern w:val="24"/>
          <w:lang w:val="af-ZA" w:eastAsia="pl-PL"/>
        </w:rPr>
        <w:t xml:space="preserve">- </w:t>
      </w:r>
      <w:r w:rsidRPr="009010C0">
        <w:rPr>
          <w:b/>
          <w:kern w:val="24"/>
          <w:lang w:val="af-ZA" w:eastAsia="pl-PL"/>
        </w:rPr>
        <w:t>activitatea</w:t>
      </w:r>
      <w:r w:rsidRPr="009010C0">
        <w:rPr>
          <w:kern w:val="24"/>
          <w:lang w:val="af-ZA" w:eastAsia="pl-PL"/>
        </w:rPr>
        <w:t xml:space="preserve"> ,,</w:t>
      </w:r>
      <w:r w:rsidRPr="009010C0">
        <w:rPr>
          <w:b/>
          <w:kern w:val="24"/>
          <w:lang w:val="af-ZA" w:eastAsia="pl-PL"/>
        </w:rPr>
        <w:t xml:space="preserve">Cea mai tare meserie este </w:t>
      </w:r>
      <w:smartTag w:uri="urn:schemas-microsoft-com:office:smarttags" w:element="PersonName">
        <w:smartTagPr>
          <w:attr w:name="ProductID" w:val="la Jandarmerie"/>
        </w:smartTagPr>
        <w:r w:rsidRPr="009010C0">
          <w:rPr>
            <w:b/>
            <w:kern w:val="24"/>
            <w:lang w:val="af-ZA" w:eastAsia="pl-PL"/>
          </w:rPr>
          <w:t>la Jandarmerie</w:t>
        </w:r>
      </w:smartTag>
      <w:r w:rsidRPr="009010C0">
        <w:rPr>
          <w:kern w:val="24"/>
          <w:lang w:val="af-ZA" w:eastAsia="pl-PL"/>
        </w:rPr>
        <w:t>” – a fost derulată la sediul Batalionului 5 Jandarmi Ordine Publică unde au participat aproximativ 1500 persoane şi a constat în prezentarea unor exerciţii demonstrative desprinse din activitatea practică a Jandarmeriei, exerciţii de mânuire a armamentului precum şi ateliere de armament, mijloace tehnice din dotare şi ţinută militară;</w:t>
      </w:r>
    </w:p>
    <w:p w:rsidR="00A77970" w:rsidRPr="009010C0" w:rsidRDefault="00A77970" w:rsidP="00CE08D7">
      <w:pPr>
        <w:widowControl w:val="0"/>
        <w:tabs>
          <w:tab w:val="left" w:pos="700"/>
          <w:tab w:val="left" w:pos="1106"/>
        </w:tabs>
        <w:jc w:val="both"/>
        <w:rPr>
          <w:kern w:val="24"/>
          <w:lang w:val="af-ZA" w:eastAsia="pl-PL"/>
        </w:rPr>
      </w:pPr>
      <w:r w:rsidRPr="009010C0">
        <w:rPr>
          <w:kern w:val="24"/>
          <w:lang w:val="af-ZA" w:eastAsia="pl-PL"/>
        </w:rPr>
        <w:t>- „</w:t>
      </w:r>
      <w:r w:rsidRPr="009010C0">
        <w:rPr>
          <w:b/>
          <w:kern w:val="24"/>
          <w:lang w:val="af-ZA" w:eastAsia="pl-PL"/>
        </w:rPr>
        <w:t>Spaţiul public este al tuturor, schimbarea începe cu tine!</w:t>
      </w:r>
      <w:r w:rsidRPr="009010C0">
        <w:rPr>
          <w:kern w:val="24"/>
          <w:lang w:val="af-ZA" w:eastAsia="pl-PL"/>
        </w:rPr>
        <w:t xml:space="preserve">”, în parteneriat cu Instituţia Prefectului </w:t>
      </w:r>
      <w:r w:rsidRPr="009010C0">
        <w:rPr>
          <w:kern w:val="24"/>
          <w:lang w:val="af-ZA" w:eastAsia="pl-PL"/>
        </w:rPr>
        <w:lastRenderedPageBreak/>
        <w:t>Municipiului Bucureşti, Inspectoratul Şcolar al Municipiului Bucureşti, Serviciul de Transport Bucureşti şi Academia de Poliţie „A. I. Cuza”, în cadrul căruia a fost demarată</w:t>
      </w:r>
      <w:r w:rsidRPr="009010C0">
        <w:rPr>
          <w:b/>
          <w:kern w:val="24"/>
          <w:lang w:val="af-ZA" w:eastAsia="pl-PL"/>
        </w:rPr>
        <w:t xml:space="preserve"> campania ,,Săptămâna albastră”</w:t>
      </w:r>
      <w:r w:rsidRPr="009010C0">
        <w:rPr>
          <w:kern w:val="24"/>
          <w:lang w:val="af-ZA" w:eastAsia="pl-PL"/>
        </w:rPr>
        <w:t xml:space="preserve">, care a avut loc </w:t>
      </w:r>
      <w:smartTag w:uri="urn:schemas-microsoft-com:office:smarttags" w:element="PersonName">
        <w:smartTagPr>
          <w:attr w:name="ProductID" w:val="la Colegiul"/>
        </w:smartTagPr>
        <w:r w:rsidRPr="009010C0">
          <w:rPr>
            <w:kern w:val="24"/>
            <w:lang w:val="af-ZA" w:eastAsia="pl-PL"/>
          </w:rPr>
          <w:t>la Colegiul</w:t>
        </w:r>
      </w:smartTag>
      <w:r w:rsidRPr="009010C0">
        <w:rPr>
          <w:kern w:val="24"/>
          <w:lang w:val="af-ZA" w:eastAsia="pl-PL"/>
        </w:rPr>
        <w:t xml:space="preserve"> de Industrie Alimentară ,,Dumitru Moţoc” timp de o săptămână, fiecare zi reprezentând o temă diferită pentru participanţi, prezentările fiind susţinute de specialişti în domeniile de activitate (anticorupţie, antidrog, violenţă şcolară, violenţă în sport). Pe parcursul acestei săptămâni au fost organizate exerciţii demonstrative desprinse din activitatea practică a Jandarmeriei şi prezentarea misiunilor unităţii;</w:t>
      </w:r>
    </w:p>
    <w:p w:rsidR="00A77970" w:rsidRPr="009010C0" w:rsidRDefault="00A77970" w:rsidP="00CE08D7">
      <w:pPr>
        <w:widowControl w:val="0"/>
        <w:tabs>
          <w:tab w:val="left" w:pos="700"/>
          <w:tab w:val="left" w:pos="1106"/>
        </w:tabs>
        <w:jc w:val="both"/>
        <w:rPr>
          <w:kern w:val="24"/>
          <w:lang w:val="af-ZA" w:eastAsia="pl-PL"/>
        </w:rPr>
      </w:pPr>
      <w:r w:rsidRPr="009010C0">
        <w:rPr>
          <w:kern w:val="24"/>
          <w:lang w:val="af-ZA" w:eastAsia="pl-PL"/>
        </w:rPr>
        <w:t>- Programul naţional „</w:t>
      </w:r>
      <w:r w:rsidRPr="009010C0">
        <w:rPr>
          <w:b/>
          <w:kern w:val="24"/>
          <w:lang w:val="af-ZA" w:eastAsia="pl-PL"/>
        </w:rPr>
        <w:t>Şcoala altfel – Să ştii mai multe, să fii mai bun</w:t>
      </w:r>
      <w:r w:rsidRPr="009010C0">
        <w:rPr>
          <w:kern w:val="24"/>
          <w:lang w:val="af-ZA" w:eastAsia="pl-PL"/>
        </w:rPr>
        <w:t>”, la solicitarea instituţiilor de învăţământ.</w:t>
      </w:r>
    </w:p>
    <w:p w:rsidR="00A77970" w:rsidRPr="009010C0" w:rsidRDefault="00A77970" w:rsidP="00CE08D7">
      <w:pPr>
        <w:widowControl w:val="0"/>
        <w:tabs>
          <w:tab w:val="left" w:pos="700"/>
          <w:tab w:val="left" w:pos="1106"/>
        </w:tabs>
        <w:ind w:firstLine="720"/>
        <w:jc w:val="both"/>
        <w:rPr>
          <w:kern w:val="24"/>
          <w:lang w:val="af-ZA" w:eastAsia="pl-PL"/>
        </w:rPr>
      </w:pPr>
      <w:r w:rsidRPr="009010C0">
        <w:rPr>
          <w:kern w:val="24"/>
          <w:lang w:val="af-ZA" w:eastAsia="pl-PL"/>
        </w:rPr>
        <w:t xml:space="preserve">Activităţile au vizat apropierea de cetăţeni, pe diferite categorii de grup ţintă, informarea acestora cu privire la atribuţiile Jandarmeriei Române şi prevederile legale în vigoare, dar şi luarea celor mai oportune măsuri pentru </w:t>
      </w:r>
      <w:r w:rsidRPr="009010C0">
        <w:rPr>
          <w:b/>
          <w:kern w:val="24"/>
          <w:lang w:val="af-ZA" w:eastAsia="pl-PL"/>
        </w:rPr>
        <w:t>prevenirea violenţei în mediul stradal, şcolar, al arenelor sportive</w:t>
      </w:r>
      <w:r w:rsidRPr="009010C0">
        <w:rPr>
          <w:kern w:val="24"/>
          <w:lang w:val="af-ZA" w:eastAsia="pl-PL"/>
        </w:rPr>
        <w:t xml:space="preserve"> precum şi în zonele de desfăşurare a manifestărilor publice.</w:t>
      </w:r>
    </w:p>
    <w:p w:rsidR="00A77970" w:rsidRPr="009010C0" w:rsidRDefault="00A77970" w:rsidP="00CE08D7">
      <w:pPr>
        <w:widowControl w:val="0"/>
        <w:tabs>
          <w:tab w:val="left" w:pos="700"/>
          <w:tab w:val="left" w:pos="1106"/>
        </w:tabs>
        <w:ind w:firstLine="720"/>
        <w:jc w:val="both"/>
        <w:rPr>
          <w:bCs/>
          <w:i/>
          <w:kern w:val="24"/>
          <w:lang w:val="af-ZA"/>
        </w:rPr>
      </w:pPr>
      <w:r w:rsidRPr="009010C0">
        <w:rPr>
          <w:b/>
          <w:i/>
          <w:kern w:val="24"/>
          <w:lang w:val="af-ZA" w:eastAsia="pl-PL"/>
        </w:rPr>
        <w:t>Imaginea publică</w:t>
      </w:r>
    </w:p>
    <w:p w:rsidR="00A77970" w:rsidRPr="009010C0" w:rsidRDefault="00A77970" w:rsidP="00CE08D7">
      <w:pPr>
        <w:ind w:firstLine="720"/>
        <w:jc w:val="both"/>
        <w:rPr>
          <w:lang w:val="af-ZA"/>
        </w:rPr>
      </w:pPr>
      <w:r w:rsidRPr="009010C0">
        <w:rPr>
          <w:lang w:val="af-ZA"/>
        </w:rPr>
        <w:t>În anul 2018 evenimentele socia</w:t>
      </w:r>
      <w:r>
        <w:rPr>
          <w:lang w:val="af-ZA"/>
        </w:rPr>
        <w:t>le şi sportive de mare amploare</w:t>
      </w:r>
      <w:r w:rsidRPr="009010C0">
        <w:rPr>
          <w:lang w:val="af-ZA"/>
        </w:rPr>
        <w:t xml:space="preserve"> care au implicat organizarea şi executarea unor misiuni deosebite ale Direcţiei Generale au atras interesul mass-media centrale şi locale şi au solicitat gestionarea, din punct de vedere comunicaţional, a tuturor situaţiilor.</w:t>
      </w:r>
    </w:p>
    <w:p w:rsidR="00A77970" w:rsidRPr="009010C0" w:rsidRDefault="00A77970" w:rsidP="00CE08D7">
      <w:pPr>
        <w:ind w:firstLine="720"/>
        <w:jc w:val="both"/>
        <w:rPr>
          <w:lang w:val="af-ZA"/>
        </w:rPr>
      </w:pPr>
      <w:r w:rsidRPr="009010C0">
        <w:rPr>
          <w:lang w:val="af-ZA"/>
        </w:rPr>
        <w:t>Obiectivul principal al activităţilor de comunicare publică a fost prezentarea corectă şi echidistantă a tuturor activităţilor.</w:t>
      </w:r>
    </w:p>
    <w:p w:rsidR="00A77970" w:rsidRPr="009010C0" w:rsidRDefault="00A77970" w:rsidP="00CE08D7">
      <w:pPr>
        <w:ind w:firstLine="720"/>
        <w:jc w:val="both"/>
        <w:rPr>
          <w:lang w:val="af-ZA"/>
        </w:rPr>
      </w:pPr>
      <w:r w:rsidRPr="009010C0">
        <w:rPr>
          <w:i/>
          <w:lang w:val="af-ZA"/>
        </w:rPr>
        <w:t>Principalele obiective şi direcţii de acţiune</w:t>
      </w:r>
      <w:r w:rsidRPr="009010C0">
        <w:rPr>
          <w:lang w:val="af-ZA"/>
        </w:rPr>
        <w:t xml:space="preserve"> avute în vedere în anul 2018 au fost:</w:t>
      </w:r>
    </w:p>
    <w:p w:rsidR="00A77970" w:rsidRPr="009010C0" w:rsidRDefault="00A77970" w:rsidP="00980D72">
      <w:pPr>
        <w:numPr>
          <w:ilvl w:val="0"/>
          <w:numId w:val="15"/>
        </w:numPr>
        <w:suppressLineNumbers/>
        <w:tabs>
          <w:tab w:val="clear" w:pos="1899"/>
          <w:tab w:val="num" w:pos="180"/>
        </w:tabs>
        <w:suppressAutoHyphens/>
        <w:ind w:left="0" w:firstLine="0"/>
        <w:jc w:val="both"/>
        <w:rPr>
          <w:lang w:val="af-ZA"/>
        </w:rPr>
      </w:pPr>
      <w:r w:rsidRPr="009010C0">
        <w:rPr>
          <w:iCs/>
          <w:lang w:val="af-ZA"/>
        </w:rPr>
        <w:t>asigurarea transparenţei instituţionale.</w:t>
      </w:r>
    </w:p>
    <w:p w:rsidR="00A77970" w:rsidRPr="009010C0" w:rsidRDefault="00A77970" w:rsidP="00980D72">
      <w:pPr>
        <w:numPr>
          <w:ilvl w:val="0"/>
          <w:numId w:val="15"/>
        </w:numPr>
        <w:suppressLineNumbers/>
        <w:tabs>
          <w:tab w:val="clear" w:pos="1899"/>
          <w:tab w:val="num" w:pos="180"/>
        </w:tabs>
        <w:suppressAutoHyphens/>
        <w:ind w:left="0" w:firstLine="0"/>
        <w:jc w:val="both"/>
        <w:rPr>
          <w:lang w:val="af-ZA"/>
        </w:rPr>
      </w:pPr>
      <w:r w:rsidRPr="009010C0">
        <w:rPr>
          <w:lang w:val="af-ZA"/>
        </w:rPr>
        <w:t>dezvoltarea sistemelor de comunicare pro-activă cu cetăţeanul şi societatea civilă, în scopul promovării imaginii instituţiei şi informării corecte a opiniei publice;</w:t>
      </w:r>
    </w:p>
    <w:p w:rsidR="00A77970" w:rsidRPr="009010C0" w:rsidRDefault="00A77970" w:rsidP="00980D72">
      <w:pPr>
        <w:numPr>
          <w:ilvl w:val="0"/>
          <w:numId w:val="15"/>
        </w:numPr>
        <w:suppressLineNumbers/>
        <w:tabs>
          <w:tab w:val="clear" w:pos="1899"/>
          <w:tab w:val="num" w:pos="180"/>
        </w:tabs>
        <w:suppressAutoHyphens/>
        <w:ind w:left="0" w:firstLine="0"/>
        <w:jc w:val="both"/>
        <w:rPr>
          <w:bCs/>
          <w:lang w:val="af-ZA"/>
        </w:rPr>
      </w:pPr>
      <w:r w:rsidRPr="009010C0">
        <w:rPr>
          <w:bCs/>
          <w:lang w:val="af-ZA"/>
        </w:rPr>
        <w:t>gestionarea imaginii publice a unităţii şi asigurarea unei bune relaţionări cu comunitatea locală, societatea civilă şi alte structuri ale statului;</w:t>
      </w:r>
    </w:p>
    <w:p w:rsidR="00A77970" w:rsidRPr="009010C0" w:rsidRDefault="00A77970" w:rsidP="00980D72">
      <w:pPr>
        <w:numPr>
          <w:ilvl w:val="0"/>
          <w:numId w:val="15"/>
        </w:numPr>
        <w:suppressLineNumbers/>
        <w:tabs>
          <w:tab w:val="clear" w:pos="1899"/>
          <w:tab w:val="num" w:pos="180"/>
        </w:tabs>
        <w:suppressAutoHyphens/>
        <w:ind w:left="0" w:firstLine="0"/>
        <w:jc w:val="both"/>
        <w:rPr>
          <w:kern w:val="20"/>
          <w:lang w:val="af-ZA"/>
        </w:rPr>
      </w:pPr>
      <w:r w:rsidRPr="009010C0">
        <w:rPr>
          <w:kern w:val="20"/>
          <w:lang w:val="af-ZA"/>
        </w:rPr>
        <w:t>creşterea gradului de pozitivitate a apariţiilor instituţiei în mass-media şi implicit a încrederii ce</w:t>
      </w:r>
      <w:r w:rsidR="00CE08D7">
        <w:rPr>
          <w:kern w:val="20"/>
          <w:lang w:val="af-ZA"/>
        </w:rPr>
        <w:t>tăţenilor în Jandarmeria Română.</w:t>
      </w:r>
    </w:p>
    <w:p w:rsidR="00A77970" w:rsidRPr="009010C0" w:rsidRDefault="00A77970" w:rsidP="00CE08D7">
      <w:pPr>
        <w:tabs>
          <w:tab w:val="num" w:pos="990"/>
        </w:tabs>
        <w:ind w:firstLine="720"/>
        <w:jc w:val="both"/>
        <w:rPr>
          <w:lang w:val="af-ZA"/>
        </w:rPr>
      </w:pPr>
      <w:r w:rsidRPr="009010C0">
        <w:rPr>
          <w:i/>
          <w:lang w:val="af-ZA"/>
        </w:rPr>
        <w:t>Principalele activităţi desfăşurate</w:t>
      </w:r>
      <w:r w:rsidRPr="009010C0">
        <w:rPr>
          <w:lang w:val="af-ZA"/>
        </w:rPr>
        <w:t xml:space="preserve"> în scopul atingerii obiectivelor stabilite, pe care s-au concentrat eforturile structurii de specialitate în perioada de referinţă, au fost:</w:t>
      </w:r>
    </w:p>
    <w:p w:rsidR="00A77970" w:rsidRPr="009010C0" w:rsidRDefault="00A77970" w:rsidP="00980D72">
      <w:pPr>
        <w:numPr>
          <w:ilvl w:val="0"/>
          <w:numId w:val="14"/>
        </w:numPr>
        <w:suppressLineNumbers/>
        <w:tabs>
          <w:tab w:val="clear" w:pos="1899"/>
          <w:tab w:val="num" w:pos="0"/>
          <w:tab w:val="left" w:pos="180"/>
          <w:tab w:val="num" w:pos="990"/>
        </w:tabs>
        <w:suppressAutoHyphens/>
        <w:ind w:left="0" w:firstLine="0"/>
        <w:jc w:val="both"/>
        <w:rPr>
          <w:lang w:val="af-ZA"/>
        </w:rPr>
      </w:pPr>
      <w:r w:rsidRPr="009010C0">
        <w:rPr>
          <w:lang w:val="af-ZA"/>
        </w:rPr>
        <w:t>asigurarea accesului liber al cetăţenilor la informaţiile de interes public precum şi răspunsul prompt la solicitările acestora făcute în baza Legii nr. 544/2001 privind liberul acces al cetăţenilor la informaţii de interes public;</w:t>
      </w:r>
    </w:p>
    <w:p w:rsidR="00A77970" w:rsidRPr="009010C0" w:rsidRDefault="00A77970" w:rsidP="00980D72">
      <w:pPr>
        <w:numPr>
          <w:ilvl w:val="0"/>
          <w:numId w:val="14"/>
        </w:numPr>
        <w:suppressLineNumbers/>
        <w:tabs>
          <w:tab w:val="clear" w:pos="1899"/>
          <w:tab w:val="num" w:pos="0"/>
          <w:tab w:val="left" w:pos="180"/>
          <w:tab w:val="num" w:pos="990"/>
        </w:tabs>
        <w:suppressAutoHyphens/>
        <w:ind w:left="0" w:firstLine="0"/>
        <w:jc w:val="both"/>
        <w:rPr>
          <w:lang w:val="af-ZA"/>
        </w:rPr>
      </w:pPr>
      <w:r w:rsidRPr="009010C0">
        <w:rPr>
          <w:iCs/>
          <w:lang w:val="af-ZA"/>
        </w:rPr>
        <w:t xml:space="preserve">actualizarea rapidă şi permanentă a paginii de Web şi de Facebook a </w:t>
      </w:r>
      <w:r w:rsidRPr="009010C0">
        <w:rPr>
          <w:lang w:val="af-ZA"/>
        </w:rPr>
        <w:t>Direcției Generale</w:t>
      </w:r>
      <w:r w:rsidRPr="009010C0">
        <w:rPr>
          <w:iCs/>
          <w:lang w:val="af-ZA"/>
        </w:rPr>
        <w:t>;</w:t>
      </w:r>
    </w:p>
    <w:p w:rsidR="00A77970" w:rsidRPr="009010C0" w:rsidRDefault="00A77970" w:rsidP="00980D72">
      <w:pPr>
        <w:numPr>
          <w:ilvl w:val="0"/>
          <w:numId w:val="14"/>
        </w:numPr>
        <w:suppressLineNumbers/>
        <w:tabs>
          <w:tab w:val="clear" w:pos="1899"/>
          <w:tab w:val="num" w:pos="0"/>
          <w:tab w:val="left" w:pos="180"/>
          <w:tab w:val="num" w:pos="990"/>
        </w:tabs>
        <w:suppressAutoHyphens/>
        <w:ind w:left="0" w:firstLine="0"/>
        <w:jc w:val="both"/>
        <w:rPr>
          <w:lang w:val="af-ZA"/>
        </w:rPr>
      </w:pPr>
      <w:r w:rsidRPr="009010C0">
        <w:rPr>
          <w:bCs/>
          <w:lang w:val="af-ZA"/>
        </w:rPr>
        <w:t xml:space="preserve">acordarea de </w:t>
      </w:r>
      <w:r w:rsidRPr="009010C0">
        <w:rPr>
          <w:bCs/>
          <w:iCs/>
          <w:lang w:val="af-ZA"/>
        </w:rPr>
        <w:t>interviuri şi declaraţii de presă,</w:t>
      </w:r>
      <w:r w:rsidRPr="009010C0">
        <w:rPr>
          <w:bCs/>
          <w:lang w:val="af-ZA"/>
        </w:rPr>
        <w:t xml:space="preserve"> operativ şi oportun, în vederea prevenirii dezvoltării crizelor mediatice şi pentru întărirea informaţiei cu caracter pozitiv;</w:t>
      </w:r>
    </w:p>
    <w:p w:rsidR="00A77970" w:rsidRPr="009010C0" w:rsidRDefault="00A77970" w:rsidP="00980D72">
      <w:pPr>
        <w:numPr>
          <w:ilvl w:val="0"/>
          <w:numId w:val="14"/>
        </w:numPr>
        <w:suppressLineNumbers/>
        <w:tabs>
          <w:tab w:val="clear" w:pos="1899"/>
          <w:tab w:val="num" w:pos="0"/>
          <w:tab w:val="left" w:pos="180"/>
          <w:tab w:val="num" w:pos="990"/>
        </w:tabs>
        <w:suppressAutoHyphens/>
        <w:ind w:left="0" w:firstLine="0"/>
        <w:jc w:val="both"/>
        <w:rPr>
          <w:lang w:val="af-ZA"/>
        </w:rPr>
      </w:pPr>
      <w:r w:rsidRPr="009010C0">
        <w:rPr>
          <w:lang w:val="af-ZA"/>
        </w:rPr>
        <w:t>comunicarea către mass-media a tuturor activităţilor D.G.J.M.B. cu impact mediatic, în vederea consolidării încrederii cetăţenilor în ceea ce priveşte Jandarmeria Capitalei;</w:t>
      </w:r>
    </w:p>
    <w:p w:rsidR="00A77970" w:rsidRPr="009010C0" w:rsidRDefault="00A77970" w:rsidP="00980D72">
      <w:pPr>
        <w:numPr>
          <w:ilvl w:val="0"/>
          <w:numId w:val="14"/>
        </w:numPr>
        <w:suppressLineNumbers/>
        <w:tabs>
          <w:tab w:val="clear" w:pos="1899"/>
          <w:tab w:val="num" w:pos="0"/>
          <w:tab w:val="left" w:pos="180"/>
          <w:tab w:val="num" w:pos="990"/>
        </w:tabs>
        <w:suppressAutoHyphens/>
        <w:ind w:left="0" w:firstLine="0"/>
        <w:jc w:val="both"/>
        <w:rPr>
          <w:kern w:val="20"/>
          <w:lang w:val="af-ZA"/>
        </w:rPr>
      </w:pPr>
      <w:r w:rsidRPr="009010C0">
        <w:rPr>
          <w:kern w:val="20"/>
          <w:lang w:val="af-ZA"/>
        </w:rPr>
        <w:t>organizarea de proiecte de comunicare şi relaţii publice pentru mai o mai bună informare a opiniei publice;</w:t>
      </w:r>
    </w:p>
    <w:p w:rsidR="00A77970" w:rsidRPr="009010C0" w:rsidRDefault="00A77970" w:rsidP="00980D72">
      <w:pPr>
        <w:numPr>
          <w:ilvl w:val="0"/>
          <w:numId w:val="14"/>
        </w:numPr>
        <w:suppressLineNumbers/>
        <w:tabs>
          <w:tab w:val="clear" w:pos="1899"/>
          <w:tab w:val="num" w:pos="0"/>
          <w:tab w:val="left" w:pos="180"/>
          <w:tab w:val="num" w:pos="990"/>
        </w:tabs>
        <w:suppressAutoHyphens/>
        <w:ind w:left="0" w:firstLine="0"/>
        <w:jc w:val="both"/>
        <w:rPr>
          <w:kern w:val="20"/>
          <w:lang w:val="af-ZA"/>
        </w:rPr>
      </w:pPr>
      <w:r w:rsidRPr="009010C0">
        <w:rPr>
          <w:kern w:val="20"/>
          <w:lang w:val="af-ZA"/>
        </w:rPr>
        <w:t>gestionarea imaginii publice a Jandarmeriei Capitalei prin materiale de presă care să prezinte activitatea unităţii;</w:t>
      </w:r>
    </w:p>
    <w:p w:rsidR="00A77970" w:rsidRPr="009010C0" w:rsidRDefault="00A77970" w:rsidP="00980D72">
      <w:pPr>
        <w:numPr>
          <w:ilvl w:val="0"/>
          <w:numId w:val="14"/>
        </w:numPr>
        <w:suppressLineNumbers/>
        <w:tabs>
          <w:tab w:val="clear" w:pos="1899"/>
          <w:tab w:val="num" w:pos="0"/>
          <w:tab w:val="left" w:pos="180"/>
          <w:tab w:val="num" w:pos="990"/>
        </w:tabs>
        <w:suppressAutoHyphens/>
        <w:ind w:left="0" w:firstLine="0"/>
        <w:jc w:val="both"/>
        <w:rPr>
          <w:lang w:val="af-ZA"/>
        </w:rPr>
      </w:pPr>
      <w:r w:rsidRPr="009010C0">
        <w:rPr>
          <w:lang w:val="af-ZA"/>
        </w:rPr>
        <w:t>îmbunătăţirea comunicării interne prin informarea constantă a cadrelor, cu privire la evenimentele cu potenţial mediatic şi cu privire la prezenţele în mass-media a Jandarmeriei Capitalei;</w:t>
      </w:r>
    </w:p>
    <w:p w:rsidR="00A77970" w:rsidRPr="009010C0" w:rsidRDefault="00A77970" w:rsidP="00980D72">
      <w:pPr>
        <w:numPr>
          <w:ilvl w:val="0"/>
          <w:numId w:val="14"/>
        </w:numPr>
        <w:suppressLineNumbers/>
        <w:tabs>
          <w:tab w:val="clear" w:pos="1899"/>
          <w:tab w:val="num" w:pos="0"/>
          <w:tab w:val="left" w:pos="180"/>
          <w:tab w:val="num" w:pos="990"/>
        </w:tabs>
        <w:suppressAutoHyphens/>
        <w:ind w:left="0" w:firstLine="0"/>
        <w:jc w:val="both"/>
        <w:rPr>
          <w:lang w:val="af-ZA"/>
        </w:rPr>
      </w:pPr>
      <w:r w:rsidRPr="009010C0">
        <w:rPr>
          <w:lang w:val="af-ZA"/>
        </w:rPr>
        <w:t>asigurarea primirii cetăţenilor în audienţă la conducerea Direcției Generale;</w:t>
      </w:r>
    </w:p>
    <w:p w:rsidR="00A77970" w:rsidRPr="009010C0" w:rsidRDefault="00A77970" w:rsidP="00980D72">
      <w:pPr>
        <w:numPr>
          <w:ilvl w:val="0"/>
          <w:numId w:val="14"/>
        </w:numPr>
        <w:suppressLineNumbers/>
        <w:tabs>
          <w:tab w:val="clear" w:pos="1899"/>
          <w:tab w:val="num" w:pos="0"/>
          <w:tab w:val="left" w:pos="180"/>
          <w:tab w:val="num" w:pos="990"/>
        </w:tabs>
        <w:suppressAutoHyphens/>
        <w:ind w:left="0" w:firstLine="0"/>
        <w:jc w:val="both"/>
        <w:rPr>
          <w:spacing w:val="-4"/>
          <w:lang w:val="af-ZA"/>
        </w:rPr>
      </w:pPr>
      <w:r w:rsidRPr="009010C0">
        <w:rPr>
          <w:spacing w:val="-4"/>
          <w:lang w:val="af-ZA"/>
        </w:rPr>
        <w:t>informarea corectă a populaţiei şi a celorlalte componente ale societăţii civile asupra atribuţiilor legale, rezultatelor obţinute, a preocupărilor curente şi de perspectivă ale Jandarmeriei Capitalei;</w:t>
      </w:r>
    </w:p>
    <w:p w:rsidR="00A77970" w:rsidRPr="009010C0" w:rsidRDefault="00A77970" w:rsidP="00980D72">
      <w:pPr>
        <w:numPr>
          <w:ilvl w:val="0"/>
          <w:numId w:val="14"/>
        </w:numPr>
        <w:suppressLineNumbers/>
        <w:tabs>
          <w:tab w:val="clear" w:pos="1899"/>
          <w:tab w:val="num" w:pos="0"/>
          <w:tab w:val="left" w:pos="180"/>
          <w:tab w:val="num" w:pos="990"/>
        </w:tabs>
        <w:suppressAutoHyphens/>
        <w:ind w:left="0" w:firstLine="0"/>
        <w:jc w:val="both"/>
        <w:rPr>
          <w:lang w:val="af-ZA"/>
        </w:rPr>
      </w:pPr>
      <w:r w:rsidRPr="009010C0">
        <w:rPr>
          <w:iCs/>
          <w:lang w:val="af-ZA"/>
        </w:rPr>
        <w:t>participarea şi mediatizarea programelor educativ-formative, în colaborare cu instituţiile de învăţământ gimnaziale şi universitare.</w:t>
      </w:r>
    </w:p>
    <w:p w:rsidR="00A77970" w:rsidRDefault="00A77970" w:rsidP="00CE08D7">
      <w:pPr>
        <w:ind w:firstLine="720"/>
        <w:jc w:val="both"/>
        <w:rPr>
          <w:kern w:val="24"/>
          <w:lang w:val="af-ZA" w:eastAsia="pl-PL"/>
        </w:rPr>
      </w:pPr>
      <w:r w:rsidRPr="009010C0">
        <w:rPr>
          <w:kern w:val="24"/>
          <w:lang w:val="af-ZA"/>
        </w:rPr>
        <w:t xml:space="preserve">În anul 2018, Direcția Generală a cunoscut peste 1600 de prezenţe mediatice în mass-media centrală şi locală, din care, aproximativ 900 de apariţii în presa audio-video şi 700 de prezenţe on-line, </w:t>
      </w:r>
      <w:r w:rsidRPr="009010C0">
        <w:rPr>
          <w:kern w:val="24"/>
          <w:lang w:val="af-ZA"/>
        </w:rPr>
        <w:lastRenderedPageBreak/>
        <w:t>existând, în continuare, un interes crescut al media faţă de activitatea instituţiei, dar şi o deschidere a instituţiei faţă de cetăţenii bucureşteni şi totodată faţă de unele canale de comunicare, cum ar fi internetul, care a câştigat teren în faţa presei scrise, datorită actualizării în timp scurt a informaţiilor.</w:t>
      </w:r>
    </w:p>
    <w:p w:rsidR="00CE08D7" w:rsidRPr="009010C0" w:rsidRDefault="00CE08D7" w:rsidP="00CE08D7">
      <w:pPr>
        <w:ind w:firstLine="720"/>
        <w:jc w:val="both"/>
        <w:rPr>
          <w:lang w:val="af-ZA" w:eastAsia="pl-PL"/>
        </w:rPr>
      </w:pPr>
      <w:r w:rsidRPr="009010C0">
        <w:rPr>
          <w:b/>
          <w:i/>
          <w:lang w:val="af-ZA" w:eastAsia="pl-PL"/>
        </w:rPr>
        <w:t>Concluzii şi propuneri</w:t>
      </w:r>
    </w:p>
    <w:p w:rsidR="00CE08D7" w:rsidRPr="009010C0" w:rsidRDefault="00CE08D7" w:rsidP="00CE08D7">
      <w:pPr>
        <w:ind w:firstLine="720"/>
        <w:jc w:val="both"/>
        <w:rPr>
          <w:b/>
          <w:i/>
          <w:kern w:val="20"/>
          <w:lang w:val="af-ZA"/>
        </w:rPr>
      </w:pPr>
      <w:r w:rsidRPr="009010C0">
        <w:rPr>
          <w:iCs/>
          <w:lang w:val="af-ZA"/>
        </w:rPr>
        <w:t xml:space="preserve">În ceea ce priveşte obiectivul general </w:t>
      </w:r>
      <w:r w:rsidRPr="009010C0">
        <w:rPr>
          <w:lang w:val="af-ZA"/>
        </w:rPr>
        <w:t>inclus în Planul de acţiune al Direcţiei Generale de Jandarmi a Municipiului Bucureşti pe anul 2018 pentru realizarea obiectivelor Programului de guvernare 2017 – 2020</w:t>
      </w:r>
      <w:r w:rsidRPr="009010C0">
        <w:rPr>
          <w:iCs/>
          <w:kern w:val="24"/>
          <w:lang w:val="af-ZA"/>
        </w:rPr>
        <w:t xml:space="preserve">, </w:t>
      </w:r>
      <w:r w:rsidRPr="009010C0">
        <w:rPr>
          <w:i/>
          <w:lang w:val="af-ZA"/>
        </w:rPr>
        <w:t>Creşterea gradului de siguranţă al cetăţeanului</w:t>
      </w:r>
      <w:r w:rsidRPr="009010C0">
        <w:rPr>
          <w:b/>
          <w:i/>
          <w:kern w:val="20"/>
          <w:lang w:val="af-ZA"/>
        </w:rPr>
        <w:t xml:space="preserve"> </w:t>
      </w:r>
      <w:r w:rsidRPr="009010C0">
        <w:rPr>
          <w:kern w:val="20"/>
          <w:lang w:val="af-ZA"/>
        </w:rPr>
        <w:t>a fost realizat în procent de 100%.</w:t>
      </w:r>
    </w:p>
    <w:p w:rsidR="00CE08D7" w:rsidRPr="009010C0" w:rsidRDefault="00CE08D7" w:rsidP="00CE08D7">
      <w:pPr>
        <w:autoSpaceDE w:val="0"/>
        <w:autoSpaceDN w:val="0"/>
        <w:adjustRightInd w:val="0"/>
        <w:ind w:firstLine="720"/>
        <w:jc w:val="both"/>
        <w:rPr>
          <w:lang w:val="af-ZA"/>
        </w:rPr>
      </w:pPr>
      <w:r w:rsidRPr="009010C0">
        <w:rPr>
          <w:lang w:val="af-ZA"/>
        </w:rPr>
        <w:t>Activitatea desfășurată în anul 2018 evidenţiază faptul că Direcţia Generală de Jandarmi a Municipiului Bucureşti şi-a îndeplinit obiectivele stabilite şi a reuşit să contribuie la efortul comun al instituţiilor din sistemul de ordine publică şi siguranţă naţională pentru asigurarea unui nivel de securitate optim în spaţiul public.</w:t>
      </w:r>
    </w:p>
    <w:p w:rsidR="00A77970" w:rsidRDefault="00CE08D7" w:rsidP="00CE08D7">
      <w:pPr>
        <w:ind w:firstLine="720"/>
        <w:jc w:val="both"/>
        <w:rPr>
          <w:kern w:val="24"/>
          <w:lang w:val="af-ZA" w:eastAsia="pl-PL"/>
        </w:rPr>
      </w:pPr>
      <w:r w:rsidRPr="009010C0">
        <w:rPr>
          <w:lang w:val="af-ZA"/>
        </w:rPr>
        <w:t xml:space="preserve">Rezultatele sondajelor de opinie aplicate în scopul identificării necesităţii de siguranţă publică şi percepţiei cetăţenilor asupra nivelului acestuia, coroborate cu responsabilităţile derivate din documentele programatice, impun continuarea activităţilor circumscrise </w:t>
      </w:r>
      <w:r w:rsidRPr="009010C0">
        <w:rPr>
          <w:bCs/>
          <w:lang w:val="af-ZA"/>
        </w:rPr>
        <w:t>priorităţilor instituţionale</w:t>
      </w:r>
      <w:r w:rsidRPr="009010C0">
        <w:rPr>
          <w:b/>
          <w:bCs/>
          <w:lang w:val="af-ZA"/>
        </w:rPr>
        <w:t xml:space="preserve"> </w:t>
      </w:r>
      <w:r w:rsidRPr="009010C0">
        <w:rPr>
          <w:lang w:val="af-ZA"/>
        </w:rPr>
        <w:t xml:space="preserve">stabilite încă de la începutul anului trecut, în scopul îndeplinirii obiectivului fundamental: </w:t>
      </w:r>
      <w:r w:rsidRPr="009010C0">
        <w:rPr>
          <w:i/>
          <w:lang w:val="af-ZA"/>
        </w:rPr>
        <w:t>îndeplinirea cu profesionalism a misiunii de asigurare a climatului de normalitate civică pentru securitatea cetăţenilor şi pentru desfăşurarea în siguranţă a activităţii instituţiilor fundamentale ale statului în Municipiul Bucureşti</w:t>
      </w:r>
      <w:r w:rsidRPr="009010C0">
        <w:rPr>
          <w:bCs/>
          <w:i/>
          <w:lang w:val="af-ZA"/>
        </w:rPr>
        <w:t>.</w:t>
      </w:r>
    </w:p>
    <w:p w:rsidR="009C3100" w:rsidRDefault="009C3100" w:rsidP="00A77970">
      <w:pPr>
        <w:jc w:val="both"/>
      </w:pPr>
    </w:p>
    <w:p w:rsidR="00526131" w:rsidRDefault="00526131" w:rsidP="00526131">
      <w:pPr>
        <w:autoSpaceDE w:val="0"/>
        <w:autoSpaceDN w:val="0"/>
        <w:adjustRightInd w:val="0"/>
        <w:jc w:val="both"/>
        <w:rPr>
          <w:b/>
          <w:lang w:val="it-IT" w:eastAsia="en-US"/>
        </w:rPr>
      </w:pPr>
      <w:r>
        <w:rPr>
          <w:b/>
          <w:kern w:val="28"/>
          <w:lang w:val="en-US" w:eastAsia="en-US"/>
        </w:rPr>
        <w:t>P</w:t>
      </w:r>
      <w:r w:rsidRPr="001A0ECE">
        <w:rPr>
          <w:b/>
          <w:kern w:val="28"/>
          <w:lang w:val="en-US" w:eastAsia="en-US"/>
        </w:rPr>
        <w:t xml:space="preserve">rincipalele realizări </w:t>
      </w:r>
      <w:r>
        <w:rPr>
          <w:b/>
          <w:kern w:val="28"/>
          <w:lang w:val="en-US" w:eastAsia="en-US"/>
        </w:rPr>
        <w:t xml:space="preserve">ale </w:t>
      </w:r>
      <w:r>
        <w:rPr>
          <w:b/>
          <w:lang w:val="it-IT" w:eastAsia="en-US"/>
        </w:rPr>
        <w:t xml:space="preserve">Inspectoratului pentru Situații de Urgență „Dealul Spirii” București-ilfov </w:t>
      </w:r>
      <w:r w:rsidRPr="0014428E">
        <w:rPr>
          <w:b/>
          <w:lang w:val="it-IT" w:eastAsia="en-US"/>
        </w:rPr>
        <w:t>(</w:t>
      </w:r>
      <w:r>
        <w:rPr>
          <w:b/>
          <w:lang w:val="it-IT" w:eastAsia="en-US"/>
        </w:rPr>
        <w:t>I.S.U.B.I.F)</w:t>
      </w:r>
    </w:p>
    <w:p w:rsidR="00526131" w:rsidRDefault="00526131" w:rsidP="00526131">
      <w:pPr>
        <w:autoSpaceDE w:val="0"/>
        <w:autoSpaceDN w:val="0"/>
        <w:adjustRightInd w:val="0"/>
        <w:jc w:val="both"/>
        <w:rPr>
          <w:lang w:val="it-IT" w:eastAsia="en-US"/>
        </w:rPr>
      </w:pPr>
    </w:p>
    <w:p w:rsidR="00B45F33" w:rsidRPr="00B45F33" w:rsidRDefault="00B45F33" w:rsidP="00B45F33">
      <w:pPr>
        <w:keepNext/>
        <w:jc w:val="both"/>
        <w:outlineLvl w:val="7"/>
        <w:rPr>
          <w:b/>
          <w:bCs/>
          <w:u w:val="single"/>
          <w:lang w:eastAsia="en-US"/>
        </w:rPr>
      </w:pPr>
      <w:r w:rsidRPr="00B45F33">
        <w:rPr>
          <w:b/>
          <w:bCs/>
          <w:lang w:eastAsia="en-US"/>
        </w:rPr>
        <w:tab/>
      </w:r>
      <w:r w:rsidRPr="00B45F33">
        <w:rPr>
          <w:b/>
          <w:bCs/>
          <w:u w:val="single"/>
          <w:lang w:eastAsia="en-US"/>
        </w:rPr>
        <w:t>APĂRAREA ÎMPOTRIVA INCENDIILOR</w:t>
      </w:r>
    </w:p>
    <w:p w:rsidR="00B45F33" w:rsidRPr="00B45F33" w:rsidRDefault="00B45F33" w:rsidP="00B45F33">
      <w:pPr>
        <w:keepNext/>
        <w:jc w:val="both"/>
        <w:outlineLvl w:val="7"/>
        <w:rPr>
          <w:b/>
          <w:bCs/>
          <w:lang w:eastAsia="en-US"/>
        </w:rPr>
      </w:pPr>
      <w:r w:rsidRPr="00B45F33">
        <w:rPr>
          <w:b/>
          <w:bCs/>
          <w:lang w:eastAsia="en-US"/>
        </w:rPr>
        <w:tab/>
        <w:t>În domeniul activității preventive</w:t>
      </w:r>
    </w:p>
    <w:p w:rsidR="00B45F33" w:rsidRPr="00B45F33" w:rsidRDefault="00B45F33" w:rsidP="00B45F33">
      <w:pPr>
        <w:jc w:val="both"/>
        <w:rPr>
          <w:noProof/>
          <w:lang w:eastAsia="en-US"/>
        </w:rPr>
      </w:pPr>
      <w:r w:rsidRPr="00B45F33">
        <w:rPr>
          <w:lang w:eastAsia="en-US"/>
        </w:rPr>
        <w:tab/>
        <w:t xml:space="preserve">Cadrele Inspecţiei de Prevenire au desfăşurat în anul 2018 un număr de </w:t>
      </w:r>
      <w:r w:rsidRPr="00B45F33">
        <w:rPr>
          <w:b/>
          <w:lang w:eastAsia="en-US"/>
        </w:rPr>
        <w:t>1029 instruiri în domeniul apărării împotriva incendiilor şi protecţiei civile</w:t>
      </w:r>
      <w:r w:rsidRPr="00B45F33">
        <w:rPr>
          <w:lang w:eastAsia="en-US"/>
        </w:rPr>
        <w:t xml:space="preserve">: </w:t>
      </w:r>
      <w:r w:rsidRPr="00B45F33">
        <w:rPr>
          <w:i/>
          <w:lang w:eastAsia="en-US"/>
        </w:rPr>
        <w:t>923 la operatori economici</w:t>
      </w:r>
      <w:r w:rsidRPr="00B45F33">
        <w:rPr>
          <w:lang w:eastAsia="en-US"/>
        </w:rPr>
        <w:t xml:space="preserve">, </w:t>
      </w:r>
      <w:r w:rsidRPr="00B45F33">
        <w:rPr>
          <w:i/>
          <w:lang w:eastAsia="en-US"/>
        </w:rPr>
        <w:t xml:space="preserve">299 la instituţii </w:t>
      </w:r>
      <w:r w:rsidRPr="00B45F33">
        <w:rPr>
          <w:lang w:eastAsia="en-US"/>
        </w:rPr>
        <w:t xml:space="preserve">şi </w:t>
      </w:r>
      <w:r w:rsidRPr="00B45F33">
        <w:rPr>
          <w:b/>
          <w:i/>
          <w:lang w:eastAsia="en-US"/>
        </w:rPr>
        <w:t xml:space="preserve">8 </w:t>
      </w:r>
      <w:r w:rsidRPr="00B45F33">
        <w:rPr>
          <w:lang w:eastAsia="en-US"/>
        </w:rPr>
        <w:t xml:space="preserve">la localităţi. S-au executat </w:t>
      </w:r>
      <w:r w:rsidRPr="00B45F33">
        <w:rPr>
          <w:b/>
          <w:lang w:eastAsia="en-US"/>
        </w:rPr>
        <w:t>232</w:t>
      </w:r>
      <w:r w:rsidRPr="00B45F33">
        <w:rPr>
          <w:lang w:eastAsia="en-US"/>
        </w:rPr>
        <w:t xml:space="preserve"> de exercitii de alarmare, evacuare și intervenție la incendiu, </w:t>
      </w:r>
      <w:r w:rsidRPr="00B45F33">
        <w:rPr>
          <w:b/>
          <w:lang w:eastAsia="en-US"/>
        </w:rPr>
        <w:t xml:space="preserve">19 </w:t>
      </w:r>
      <w:r w:rsidRPr="00B45F33">
        <w:rPr>
          <w:lang w:eastAsia="en-US"/>
        </w:rPr>
        <w:t xml:space="preserve">de alarmare publică, </w:t>
      </w:r>
      <w:r w:rsidRPr="00B45F33">
        <w:rPr>
          <w:b/>
          <w:lang w:eastAsia="en-US"/>
        </w:rPr>
        <w:t xml:space="preserve">5 </w:t>
      </w:r>
      <w:r w:rsidRPr="00B45F33">
        <w:rPr>
          <w:lang w:eastAsia="en-US"/>
        </w:rPr>
        <w:t>exerciții de alarmare, evacuare și intervenție la locul de muncă în situații de urgență</w:t>
      </w:r>
      <w:r w:rsidRPr="00B45F33">
        <w:rPr>
          <w:noProof/>
          <w:lang w:eastAsia="en-US"/>
        </w:rPr>
        <w:t xml:space="preserve"> și </w:t>
      </w:r>
      <w:r w:rsidRPr="00B45F33">
        <w:rPr>
          <w:b/>
          <w:noProof/>
          <w:lang w:eastAsia="en-US"/>
        </w:rPr>
        <w:t>126</w:t>
      </w:r>
      <w:r w:rsidRPr="00B45F33">
        <w:rPr>
          <w:noProof/>
          <w:lang w:eastAsia="en-US"/>
        </w:rPr>
        <w:t xml:space="preserve"> exerciţii desfăşurate cu SVSU/SPSU (desfășurate cu SVSU – 57, desfășurate cu SPSU – 107) </w:t>
      </w:r>
      <w:r w:rsidRPr="00B45F33">
        <w:rPr>
          <w:lang w:eastAsia="en-US"/>
        </w:rPr>
        <w:t xml:space="preserve">şi </w:t>
      </w:r>
      <w:r w:rsidRPr="00B45F33">
        <w:rPr>
          <w:b/>
          <w:noProof/>
          <w:lang w:eastAsia="en-US"/>
        </w:rPr>
        <w:t>498</w:t>
      </w:r>
      <w:r w:rsidRPr="00B45F33">
        <w:rPr>
          <w:noProof/>
          <w:lang w:eastAsia="en-US"/>
        </w:rPr>
        <w:t xml:space="preserve"> activităţi preventive derulate în comun cu serviciile voluntare pentru situaţii de urgenţă la </w:t>
      </w:r>
      <w:r w:rsidRPr="00B45F33">
        <w:rPr>
          <w:b/>
          <w:noProof/>
          <w:lang w:eastAsia="en-US"/>
        </w:rPr>
        <w:t xml:space="preserve">457 </w:t>
      </w:r>
      <w:r w:rsidRPr="00B45F33">
        <w:rPr>
          <w:noProof/>
          <w:lang w:eastAsia="en-US"/>
        </w:rPr>
        <w:t xml:space="preserve">gospodării cetăţeneşti şi </w:t>
      </w:r>
      <w:r w:rsidRPr="00B45F33">
        <w:rPr>
          <w:b/>
          <w:noProof/>
          <w:lang w:eastAsia="en-US"/>
        </w:rPr>
        <w:t>33</w:t>
      </w:r>
      <w:r w:rsidRPr="00B45F33">
        <w:rPr>
          <w:noProof/>
          <w:lang w:eastAsia="en-US"/>
        </w:rPr>
        <w:t xml:space="preserve"> de asociaţii/societăţi agricole cu personalitate juridică din localităţile judeţului Ilfov (informări preventive).</w:t>
      </w:r>
    </w:p>
    <w:p w:rsidR="00B45F33" w:rsidRPr="00B45F33" w:rsidRDefault="00B45F33" w:rsidP="00B45F33">
      <w:pPr>
        <w:jc w:val="both"/>
        <w:rPr>
          <w:rFonts w:eastAsia="Calibri"/>
          <w:b/>
          <w:lang w:eastAsia="en-US"/>
        </w:rPr>
      </w:pPr>
      <w:r w:rsidRPr="00B45F33">
        <w:rPr>
          <w:lang w:eastAsia="en-US"/>
        </w:rPr>
        <w:tab/>
      </w:r>
      <w:r w:rsidRPr="00B45F33">
        <w:rPr>
          <w:rFonts w:eastAsia="Calibri"/>
          <w:b/>
          <w:lang w:eastAsia="en-US"/>
        </w:rPr>
        <w:t>Acțiuni de informare preventivă</w:t>
      </w:r>
    </w:p>
    <w:p w:rsidR="00B45F33" w:rsidRPr="00B45F33" w:rsidRDefault="00B45F33" w:rsidP="00B45F33">
      <w:pPr>
        <w:jc w:val="both"/>
        <w:rPr>
          <w:rFonts w:eastAsia="Calibri"/>
          <w:lang w:eastAsia="en-US"/>
        </w:rPr>
      </w:pPr>
      <w:r w:rsidRPr="00B45F33">
        <w:rPr>
          <w:rFonts w:eastAsia="Calibri"/>
          <w:lang w:eastAsia="en-US"/>
        </w:rPr>
        <w:tab/>
        <w:t>Pregătirea în domeniul situaţiilor de urgenţă, în anul 2018, a fost desfăşurată în conformitate cu planurile de pregătire în domeniul situaţiilor de urgenţă, aprobate prin ordin al Prefectului municipiului Bucureşti, respectiv al Prefectului judeţului Ilfov. În acest sens au fost desfăşurate următoarele activităţi:</w:t>
      </w:r>
    </w:p>
    <w:p w:rsidR="00B45F33" w:rsidRPr="00B45F33" w:rsidRDefault="00B45F33" w:rsidP="00980D72">
      <w:pPr>
        <w:numPr>
          <w:ilvl w:val="0"/>
          <w:numId w:val="28"/>
        </w:numPr>
        <w:tabs>
          <w:tab w:val="left" w:pos="360"/>
        </w:tabs>
        <w:spacing w:line="276" w:lineRule="auto"/>
        <w:ind w:left="0" w:firstLine="0"/>
        <w:jc w:val="both"/>
        <w:rPr>
          <w:lang w:eastAsia="en-AU"/>
        </w:rPr>
      </w:pPr>
      <w:r w:rsidRPr="00B45F33">
        <w:rPr>
          <w:b/>
          <w:lang w:eastAsia="en-AU"/>
        </w:rPr>
        <w:t>activităţi de pregătire a elevilor</w:t>
      </w:r>
      <w:r w:rsidRPr="00B45F33">
        <w:rPr>
          <w:lang w:eastAsia="en-AU"/>
        </w:rPr>
        <w:t>, în baza Protocolului privind pregătirea în domeniul situaţiilor de urgenţă a copiilor, elevilor şi studenţilor din învăţământul naţional preuniversitar şi superior, încheiat între Ministerul Afacerilor Interne şi Ministerul Educaţiei Naţionale nr. 62170/9647/2013.</w:t>
      </w:r>
    </w:p>
    <w:p w:rsidR="00B45F33" w:rsidRPr="00B45F33" w:rsidRDefault="00B45F33" w:rsidP="00980D72">
      <w:pPr>
        <w:numPr>
          <w:ilvl w:val="0"/>
          <w:numId w:val="28"/>
        </w:numPr>
        <w:tabs>
          <w:tab w:val="left" w:pos="360"/>
        </w:tabs>
        <w:spacing w:line="276" w:lineRule="auto"/>
        <w:ind w:left="0" w:firstLine="0"/>
        <w:jc w:val="both"/>
        <w:rPr>
          <w:lang w:eastAsia="en-AU"/>
        </w:rPr>
      </w:pPr>
      <w:r w:rsidRPr="00B45F33">
        <w:rPr>
          <w:rFonts w:eastAsia="Calibri"/>
          <w:lang w:eastAsia="en-US"/>
        </w:rPr>
        <w:t>concursurile cercurilor tehnico-aplicative de elevi</w:t>
      </w:r>
      <w:r w:rsidRPr="00B45F33">
        <w:rPr>
          <w:rFonts w:eastAsia="Calibri"/>
          <w:i/>
          <w:lang w:eastAsia="en-US"/>
        </w:rPr>
        <w:t xml:space="preserve"> </w:t>
      </w:r>
      <w:r w:rsidRPr="00B45F33">
        <w:rPr>
          <w:rFonts w:eastAsia="Calibri"/>
          <w:b/>
          <w:i/>
          <w:lang w:eastAsia="en-US"/>
        </w:rPr>
        <w:t>„Prietenii pompierilor”</w:t>
      </w:r>
      <w:r w:rsidRPr="00B45F33">
        <w:rPr>
          <w:rFonts w:eastAsia="Calibri"/>
          <w:i/>
          <w:lang w:eastAsia="en-US"/>
        </w:rPr>
        <w:t xml:space="preserve"> şi </w:t>
      </w:r>
      <w:r w:rsidRPr="00B45F33">
        <w:rPr>
          <w:rFonts w:eastAsia="Calibri"/>
          <w:b/>
          <w:i/>
          <w:lang w:eastAsia="en-US"/>
        </w:rPr>
        <w:t xml:space="preserve">"Cu viaţa mea apăr viaţa" </w:t>
      </w:r>
      <w:r w:rsidRPr="00B45F33">
        <w:rPr>
          <w:rFonts w:eastAsia="Calibri"/>
          <w:lang w:eastAsia="en-US"/>
        </w:rPr>
        <w:t xml:space="preserve">etapa pe municipiul Bucureşti şi judeţul Ilfov, la care au participat </w:t>
      </w:r>
      <w:r w:rsidRPr="00B45F33">
        <w:rPr>
          <w:rFonts w:eastAsia="Calibri"/>
          <w:b/>
          <w:i/>
          <w:lang w:eastAsia="en-US"/>
        </w:rPr>
        <w:t>41 de echipaje.</w:t>
      </w:r>
    </w:p>
    <w:p w:rsidR="00B45F33" w:rsidRPr="00B45F33" w:rsidRDefault="00B45F33" w:rsidP="00980D72">
      <w:pPr>
        <w:numPr>
          <w:ilvl w:val="0"/>
          <w:numId w:val="28"/>
        </w:numPr>
        <w:tabs>
          <w:tab w:val="left" w:pos="360"/>
        </w:tabs>
        <w:spacing w:line="276" w:lineRule="auto"/>
        <w:ind w:left="0" w:firstLine="0"/>
        <w:jc w:val="both"/>
        <w:rPr>
          <w:lang w:eastAsia="en-AU"/>
        </w:rPr>
      </w:pPr>
      <w:r w:rsidRPr="00B45F33">
        <w:rPr>
          <w:rFonts w:eastAsia="Calibri"/>
          <w:b/>
          <w:lang w:eastAsia="en-US"/>
        </w:rPr>
        <w:t>pregătire cu personalul angajat în sistemul administraţiei penitenciarelor/ persoane private de libertate</w:t>
      </w:r>
      <w:r w:rsidRPr="00B45F33">
        <w:rPr>
          <w:rFonts w:eastAsia="Calibri"/>
          <w:lang w:eastAsia="en-US"/>
        </w:rPr>
        <w:t xml:space="preserve"> din penitenciare: </w:t>
      </w:r>
      <w:r w:rsidRPr="00B45F33">
        <w:rPr>
          <w:rFonts w:eastAsia="Calibri"/>
          <w:b/>
          <w:lang w:eastAsia="en-US"/>
        </w:rPr>
        <w:t xml:space="preserve">9 </w:t>
      </w:r>
      <w:r w:rsidRPr="00B45F33">
        <w:rPr>
          <w:b/>
          <w:lang w:eastAsia="en-US"/>
        </w:rPr>
        <w:t>activităţi de instruire</w:t>
      </w:r>
      <w:r w:rsidRPr="00B45F33">
        <w:rPr>
          <w:lang w:eastAsia="en-US"/>
        </w:rPr>
        <w:t xml:space="preserve"> şi </w:t>
      </w:r>
      <w:r w:rsidRPr="00B45F33">
        <w:rPr>
          <w:b/>
          <w:lang w:eastAsia="en-US"/>
        </w:rPr>
        <w:t xml:space="preserve">6 exerciţii </w:t>
      </w:r>
      <w:r w:rsidRPr="00B45F33">
        <w:rPr>
          <w:lang w:eastAsia="en-US"/>
        </w:rPr>
        <w:t xml:space="preserve">la care au participat un număr de </w:t>
      </w:r>
      <w:r w:rsidRPr="00B45F33">
        <w:rPr>
          <w:b/>
          <w:lang w:eastAsia="en-US"/>
        </w:rPr>
        <w:t>784 de persoane</w:t>
      </w:r>
      <w:r w:rsidRPr="00B45F33">
        <w:rPr>
          <w:lang w:eastAsia="en-US"/>
        </w:rPr>
        <w:t>;</w:t>
      </w:r>
    </w:p>
    <w:p w:rsidR="00B45F33" w:rsidRPr="00B45F33" w:rsidRDefault="00B45F33" w:rsidP="00980D72">
      <w:pPr>
        <w:numPr>
          <w:ilvl w:val="0"/>
          <w:numId w:val="28"/>
        </w:numPr>
        <w:tabs>
          <w:tab w:val="left" w:pos="360"/>
        </w:tabs>
        <w:spacing w:line="276" w:lineRule="auto"/>
        <w:ind w:left="0" w:firstLine="0"/>
        <w:jc w:val="both"/>
        <w:rPr>
          <w:lang w:eastAsia="en-AU"/>
        </w:rPr>
      </w:pPr>
      <w:r w:rsidRPr="00B45F33">
        <w:rPr>
          <w:rFonts w:eastAsia="Calibri"/>
          <w:lang w:eastAsia="en-US"/>
        </w:rPr>
        <w:t xml:space="preserve">personalul unităţii a participat la </w:t>
      </w:r>
      <w:r w:rsidRPr="00B45F33">
        <w:rPr>
          <w:rFonts w:eastAsia="Calibri"/>
          <w:b/>
          <w:lang w:eastAsia="en-US"/>
        </w:rPr>
        <w:t>151 de comisii</w:t>
      </w:r>
      <w:r w:rsidRPr="00B45F33">
        <w:rPr>
          <w:rFonts w:eastAsia="Calibri"/>
          <w:lang w:eastAsia="en-US"/>
        </w:rPr>
        <w:t xml:space="preserve"> pentru examinarea participanţilor la programele de formare profesională şi de evaluare în vederea autorizării furnizorilor de formare profesională a adulţilor.</w:t>
      </w:r>
    </w:p>
    <w:p w:rsidR="00B45F33" w:rsidRPr="00B45F33" w:rsidRDefault="00B45F33" w:rsidP="00980D72">
      <w:pPr>
        <w:numPr>
          <w:ilvl w:val="0"/>
          <w:numId w:val="28"/>
        </w:numPr>
        <w:tabs>
          <w:tab w:val="left" w:pos="360"/>
        </w:tabs>
        <w:spacing w:line="276" w:lineRule="auto"/>
        <w:ind w:left="0" w:firstLine="0"/>
        <w:jc w:val="both"/>
        <w:rPr>
          <w:rFonts w:eastAsia="Calibri"/>
          <w:lang w:eastAsia="en-US"/>
        </w:rPr>
      </w:pPr>
      <w:r w:rsidRPr="00B45F33">
        <w:rPr>
          <w:rFonts w:eastAsia="Calibri"/>
          <w:lang w:eastAsia="en-US"/>
        </w:rPr>
        <w:t xml:space="preserve">convocări semestriale de pregătire a şefilor S.V.S.U., procent de participare la activităţi: </w:t>
      </w:r>
      <w:r w:rsidRPr="00B45F33">
        <w:rPr>
          <w:rFonts w:eastAsia="Calibri"/>
          <w:b/>
          <w:lang w:eastAsia="en-US"/>
        </w:rPr>
        <w:t>35%</w:t>
      </w:r>
    </w:p>
    <w:p w:rsidR="00B45F33" w:rsidRPr="00B45F33" w:rsidRDefault="00B45F33" w:rsidP="00980D72">
      <w:pPr>
        <w:numPr>
          <w:ilvl w:val="0"/>
          <w:numId w:val="28"/>
        </w:numPr>
        <w:tabs>
          <w:tab w:val="left" w:pos="360"/>
        </w:tabs>
        <w:spacing w:line="276" w:lineRule="auto"/>
        <w:ind w:left="0" w:firstLine="0"/>
        <w:jc w:val="both"/>
        <w:rPr>
          <w:rFonts w:eastAsia="Calibri"/>
          <w:lang w:eastAsia="en-US"/>
        </w:rPr>
      </w:pPr>
      <w:r w:rsidRPr="00B45F33">
        <w:rPr>
          <w:rFonts w:eastAsia="Calibri"/>
          <w:lang w:eastAsia="en-US"/>
        </w:rPr>
        <w:t xml:space="preserve">convocări semestriale de pregătire a şefilor S.P.S.U., procent de participare la activităţi: </w:t>
      </w:r>
      <w:r w:rsidRPr="00B45F33">
        <w:rPr>
          <w:rFonts w:eastAsia="Calibri"/>
          <w:b/>
          <w:lang w:eastAsia="en-US"/>
        </w:rPr>
        <w:t>63%</w:t>
      </w:r>
    </w:p>
    <w:p w:rsidR="00B45F33" w:rsidRPr="00B45F33" w:rsidRDefault="00B45F33" w:rsidP="00980D72">
      <w:pPr>
        <w:numPr>
          <w:ilvl w:val="0"/>
          <w:numId w:val="28"/>
        </w:numPr>
        <w:tabs>
          <w:tab w:val="left" w:pos="360"/>
        </w:tabs>
        <w:spacing w:line="276" w:lineRule="auto"/>
        <w:ind w:left="0" w:firstLine="0"/>
        <w:jc w:val="both"/>
        <w:rPr>
          <w:rFonts w:eastAsia="Calibri"/>
          <w:lang w:eastAsia="en-US"/>
        </w:rPr>
      </w:pPr>
      <w:r w:rsidRPr="00B45F33">
        <w:rPr>
          <w:b/>
          <w:noProof/>
          <w:lang w:eastAsia="en-US"/>
        </w:rPr>
        <w:lastRenderedPageBreak/>
        <w:t>etapa judeţeană a concursurilor profesionale ale serviciilor voluntare şi private pentru situaţii de urgenţă</w:t>
      </w:r>
      <w:r w:rsidRPr="00B45F33">
        <w:rPr>
          <w:noProof/>
          <w:lang w:eastAsia="en-US"/>
        </w:rPr>
        <w:t xml:space="preserve"> la care au participat </w:t>
      </w:r>
      <w:r w:rsidRPr="00B45F33">
        <w:rPr>
          <w:b/>
          <w:noProof/>
          <w:lang w:eastAsia="en-US"/>
        </w:rPr>
        <w:t>17 loturi</w:t>
      </w:r>
      <w:r w:rsidRPr="00B45F33">
        <w:rPr>
          <w:noProof/>
          <w:lang w:eastAsia="en-US"/>
        </w:rPr>
        <w:t xml:space="preserve"> dintre care </w:t>
      </w:r>
      <w:r w:rsidRPr="00B45F33">
        <w:rPr>
          <w:i/>
          <w:noProof/>
          <w:lang w:eastAsia="en-US"/>
        </w:rPr>
        <w:t>16  echipaje</w:t>
      </w:r>
      <w:r w:rsidRPr="00B45F33">
        <w:rPr>
          <w:noProof/>
          <w:lang w:eastAsia="en-US"/>
        </w:rPr>
        <w:t xml:space="preserve"> reprezentând serviciile private pentru situaţii de urgenţă şi </w:t>
      </w:r>
      <w:r w:rsidRPr="00B45F33">
        <w:rPr>
          <w:i/>
          <w:noProof/>
          <w:lang w:eastAsia="en-US"/>
        </w:rPr>
        <w:t>un echipaj</w:t>
      </w:r>
      <w:r w:rsidRPr="00B45F33">
        <w:rPr>
          <w:noProof/>
          <w:lang w:eastAsia="en-US"/>
        </w:rPr>
        <w:t xml:space="preserve"> al serviciului voluntar pentru situaţii de urgenţă.</w:t>
      </w:r>
    </w:p>
    <w:p w:rsidR="00B45F33" w:rsidRPr="00B45F33" w:rsidRDefault="00B45F33" w:rsidP="00B45F33">
      <w:pPr>
        <w:jc w:val="both"/>
        <w:rPr>
          <w:b/>
          <w:lang w:eastAsia="en-AU"/>
        </w:rPr>
      </w:pPr>
      <w:r w:rsidRPr="00B45F33">
        <w:rPr>
          <w:b/>
          <w:lang w:eastAsia="en-AU"/>
        </w:rPr>
        <w:tab/>
        <w:t>Prevenirea situațiilor de urgență – controale şi sancţiuni</w:t>
      </w:r>
    </w:p>
    <w:p w:rsidR="00B45F33" w:rsidRPr="00B45F33" w:rsidRDefault="00B45F33" w:rsidP="00B45F33">
      <w:pPr>
        <w:jc w:val="both"/>
        <w:rPr>
          <w:b/>
          <w:lang w:eastAsia="en-US"/>
        </w:rPr>
      </w:pPr>
      <w:r w:rsidRPr="00B45F33">
        <w:rPr>
          <w:lang w:eastAsia="en-US"/>
        </w:rPr>
        <w:tab/>
        <w:t>În anul 2018 au fost efectuate</w:t>
      </w:r>
      <w:r w:rsidRPr="00B45F33">
        <w:rPr>
          <w:b/>
          <w:lang w:eastAsia="en-US"/>
        </w:rPr>
        <w:t xml:space="preserve"> </w:t>
      </w:r>
      <w:r w:rsidRPr="00B45F33">
        <w:rPr>
          <w:lang w:eastAsia="en-US"/>
        </w:rPr>
        <w:t>un număr de</w:t>
      </w:r>
      <w:r w:rsidRPr="00B45F33">
        <w:rPr>
          <w:b/>
          <w:lang w:eastAsia="en-US"/>
        </w:rPr>
        <w:t xml:space="preserve"> 3563 controale </w:t>
      </w:r>
      <w:r w:rsidRPr="00B45F33">
        <w:rPr>
          <w:lang w:eastAsia="en-US"/>
        </w:rPr>
        <w:t>care au vizat, cu preponderență, obiective de investiție, instituții, operatori economici și localități</w:t>
      </w:r>
      <w:r w:rsidRPr="00B45F33">
        <w:rPr>
          <w:b/>
          <w:lang w:eastAsia="en-US"/>
        </w:rPr>
        <w:t xml:space="preserve">. </w:t>
      </w:r>
    </w:p>
    <w:p w:rsidR="00B45F33" w:rsidRPr="00B45F33" w:rsidRDefault="00B45F33" w:rsidP="00B45F33">
      <w:pPr>
        <w:jc w:val="both"/>
        <w:rPr>
          <w:lang w:eastAsia="en-US"/>
        </w:rPr>
      </w:pPr>
      <w:r w:rsidRPr="00B45F33">
        <w:rPr>
          <w:b/>
          <w:lang w:eastAsia="en-US"/>
        </w:rPr>
        <w:tab/>
      </w:r>
      <w:r w:rsidRPr="00B45F33">
        <w:rPr>
          <w:lang w:eastAsia="en-US"/>
        </w:rPr>
        <w:t xml:space="preserve">Pe timpul desfăşurării activităţilor de prevenire a situaţiilor de urgenţă, Inspecţia de Prevenire a constatat </w:t>
      </w:r>
      <w:r w:rsidRPr="00B45F33">
        <w:rPr>
          <w:b/>
          <w:lang w:eastAsia="en-US"/>
        </w:rPr>
        <w:t xml:space="preserve">6985 </w:t>
      </w:r>
      <w:r w:rsidRPr="00B45F33">
        <w:rPr>
          <w:b/>
          <w:i/>
          <w:iCs/>
          <w:lang w:eastAsia="en-US"/>
        </w:rPr>
        <w:t>deficienţe</w:t>
      </w:r>
      <w:r w:rsidRPr="00B45F33">
        <w:rPr>
          <w:lang w:eastAsia="en-US"/>
        </w:rPr>
        <w:t xml:space="preserve">, din care </w:t>
      </w:r>
      <w:r w:rsidRPr="00B45F33">
        <w:rPr>
          <w:b/>
          <w:bCs/>
          <w:lang w:eastAsia="en-US"/>
        </w:rPr>
        <w:t xml:space="preserve">235 </w:t>
      </w:r>
      <w:r w:rsidRPr="00B45F33">
        <w:rPr>
          <w:b/>
          <w:i/>
          <w:iCs/>
          <w:lang w:eastAsia="en-US"/>
        </w:rPr>
        <w:t>au fost înlăturate</w:t>
      </w:r>
      <w:r w:rsidRPr="00B45F33">
        <w:rPr>
          <w:i/>
          <w:iCs/>
          <w:lang w:eastAsia="en-US"/>
        </w:rPr>
        <w:t xml:space="preserve"> </w:t>
      </w:r>
      <w:r w:rsidRPr="00B45F33">
        <w:rPr>
          <w:lang w:eastAsia="en-US"/>
        </w:rPr>
        <w:t xml:space="preserve">operativ pe timpul executării controalelor, iar </w:t>
      </w:r>
      <w:r w:rsidRPr="00B45F33">
        <w:rPr>
          <w:b/>
          <w:lang w:eastAsia="en-US"/>
        </w:rPr>
        <w:t xml:space="preserve">6860 </w:t>
      </w:r>
      <w:r w:rsidRPr="00B45F33">
        <w:rPr>
          <w:b/>
          <w:i/>
          <w:iCs/>
          <w:lang w:eastAsia="en-US"/>
        </w:rPr>
        <w:t>deficienţe constatate au fost sancţionate contravenţional.</w:t>
      </w:r>
      <w:r w:rsidRPr="00B45F33">
        <w:rPr>
          <w:i/>
          <w:iCs/>
          <w:lang w:eastAsia="en-US"/>
        </w:rPr>
        <w:t xml:space="preserve"> </w:t>
      </w:r>
      <w:r w:rsidRPr="00B45F33">
        <w:rPr>
          <w:lang w:eastAsia="en-US"/>
        </w:rPr>
        <w:t>Deficienţele constatate care nu au putut fi înlăturate pe timpul controalelor au fost analizate cu factorii de decizie, stabilindu-se măsuri concrete pentru eliminarea acestora.</w:t>
      </w:r>
    </w:p>
    <w:p w:rsidR="00B45F33" w:rsidRPr="00B45F33" w:rsidRDefault="00B45F33" w:rsidP="00B45F33">
      <w:pPr>
        <w:jc w:val="both"/>
      </w:pPr>
      <w:r w:rsidRPr="00B45F33">
        <w:rPr>
          <w:lang w:eastAsia="en-US"/>
        </w:rPr>
        <w:tab/>
        <w:t>Pentru încălcări ale legislaţiei în domeniul prevenirii situaţiilor de urgenţă au fost aplicate</w:t>
      </w:r>
      <w:r w:rsidRPr="00B45F33">
        <w:t xml:space="preserve"> </w:t>
      </w:r>
      <w:r w:rsidRPr="00B45F33">
        <w:rPr>
          <w:b/>
        </w:rPr>
        <w:t xml:space="preserve">6860 sancţiuni contravenţionale </w:t>
      </w:r>
      <w:r w:rsidRPr="00B45F33">
        <w:t xml:space="preserve">principale </w:t>
      </w:r>
      <w:r w:rsidRPr="00B45F33">
        <w:rPr>
          <w:lang w:eastAsia="en-US"/>
        </w:rPr>
        <w:t>(</w:t>
      </w:r>
      <w:r w:rsidRPr="00B45F33">
        <w:rPr>
          <w:b/>
          <w:lang w:eastAsia="en-US"/>
        </w:rPr>
        <w:t xml:space="preserve">6060 avertismente </w:t>
      </w:r>
      <w:r w:rsidRPr="00B45F33">
        <w:rPr>
          <w:lang w:eastAsia="en-US"/>
        </w:rPr>
        <w:t xml:space="preserve">şi </w:t>
      </w:r>
      <w:r w:rsidRPr="00B45F33">
        <w:rPr>
          <w:b/>
          <w:lang w:eastAsia="en-US"/>
        </w:rPr>
        <w:t xml:space="preserve">817 amenzi contravenţionale) </w:t>
      </w:r>
      <w:r w:rsidRPr="00B45F33">
        <w:rPr>
          <w:lang w:eastAsia="en-US"/>
        </w:rPr>
        <w:t xml:space="preserve">în cuantum de </w:t>
      </w:r>
      <w:r w:rsidRPr="00B45F33">
        <w:rPr>
          <w:b/>
          <w:lang w:eastAsia="en-US"/>
        </w:rPr>
        <w:t>3.248.300 lei</w:t>
      </w:r>
      <w:r w:rsidRPr="00B45F33">
        <w:t>, din care:</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6696 sancţiuni în domeniul apărării împotriva incendiilor (5912 avertismente şi 784 amenzi în cuantum de 3147000lei);</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125 de sancţiuni în domeniul protecţiei civile (122 avertismente și 3 amenzi în cuantum de 6500lei);</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46 de sancţiuni în alte domenii de competență (16 avertismente și 30 amenzi în cuantum de 94800 lei)</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10 avertismente la amplasamentele SEVESO.</w:t>
      </w:r>
    </w:p>
    <w:p w:rsidR="00B45F33" w:rsidRPr="00B45F33" w:rsidRDefault="00B45F33" w:rsidP="00B45F33">
      <w:pPr>
        <w:jc w:val="both"/>
      </w:pPr>
      <w:r w:rsidRPr="00B45F33">
        <w:tab/>
        <w:t>De remarcat pentru acest an este faptul că timpul repartizat pentru control s-a dovedit a fi folosit cu eficienţă de către cadrele inspecţiei, neregulile identificate fiind cu preponderenţă de ordin tehnic, iar o parte dintre acestea fiind soluţionate pe timpul controlului.</w:t>
      </w:r>
    </w:p>
    <w:p w:rsidR="00B45F33" w:rsidRPr="00B45F33" w:rsidRDefault="00B45F33" w:rsidP="00B45F33">
      <w:pPr>
        <w:jc w:val="both"/>
        <w:rPr>
          <w:b/>
          <w:lang w:eastAsia="en-US"/>
        </w:rPr>
      </w:pPr>
      <w:r w:rsidRPr="00B45F33">
        <w:rPr>
          <w:rFonts w:eastAsia="PMingLiU"/>
          <w:b/>
          <w:bCs/>
          <w:i/>
          <w:iCs/>
          <w:lang w:eastAsia="en-US"/>
        </w:rPr>
        <w:tab/>
        <w:t>Asistența tehnică de specialitate</w:t>
      </w:r>
      <w:r w:rsidRPr="00B45F33">
        <w:rPr>
          <w:lang w:eastAsia="en-US"/>
        </w:rPr>
        <w:t xml:space="preserve"> s-a materializat prin soluționarea unui număr de </w:t>
      </w:r>
      <w:r w:rsidRPr="00B45F33">
        <w:rPr>
          <w:lang w:eastAsia="en-US"/>
        </w:rPr>
        <w:br/>
      </w:r>
      <w:r w:rsidRPr="00B45F33">
        <w:rPr>
          <w:b/>
          <w:lang w:eastAsia="en-US"/>
        </w:rPr>
        <w:t xml:space="preserve">6654 solicitări. </w:t>
      </w:r>
      <w:r w:rsidRPr="00B45F33">
        <w:rPr>
          <w:lang w:eastAsia="en-US"/>
        </w:rPr>
        <w:t xml:space="preserve">Cele mai multe cereri de asistență tehnică au vizat activitatea de </w:t>
      </w:r>
      <w:r w:rsidRPr="00B45F33">
        <w:rPr>
          <w:b/>
          <w:lang w:eastAsia="en-US"/>
        </w:rPr>
        <w:t>avizare-autorizare (5870)</w:t>
      </w:r>
      <w:r w:rsidRPr="00B45F33">
        <w:rPr>
          <w:lang w:eastAsia="en-US"/>
        </w:rPr>
        <w:t>, celelate solicitări fiind:</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pe segmentul prevenirii incendiilor – 753</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pe linia prevenirii dezastrelor – 23</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pe alte segmente de activitate – 8</w:t>
      </w:r>
    </w:p>
    <w:p w:rsidR="00B45F33" w:rsidRPr="00B45F33" w:rsidRDefault="00B45F33" w:rsidP="00B45F33">
      <w:pPr>
        <w:jc w:val="both"/>
        <w:rPr>
          <w:b/>
          <w:lang w:eastAsia="en-AU"/>
        </w:rPr>
      </w:pPr>
      <w:r w:rsidRPr="00B45F33">
        <w:rPr>
          <w:b/>
          <w:lang w:eastAsia="en-AU"/>
        </w:rPr>
        <w:tab/>
        <w:t>Avizare/Autorizare</w:t>
      </w:r>
    </w:p>
    <w:p w:rsidR="00B45F33" w:rsidRPr="00B45F33" w:rsidRDefault="00B45F33" w:rsidP="00B45F33">
      <w:pPr>
        <w:jc w:val="both"/>
        <w:rPr>
          <w:lang w:eastAsia="en-US"/>
        </w:rPr>
      </w:pPr>
      <w:r w:rsidRPr="00B45F33">
        <w:rPr>
          <w:lang w:eastAsia="en-US"/>
        </w:rPr>
        <w:tab/>
        <w:t xml:space="preserve">În anul 2018 s-au emis </w:t>
      </w:r>
      <w:r w:rsidRPr="00B45F33">
        <w:rPr>
          <w:b/>
          <w:noProof/>
          <w:lang w:eastAsia="en-US"/>
        </w:rPr>
        <w:t xml:space="preserve">1127 </w:t>
      </w:r>
      <w:r w:rsidRPr="00B45F33">
        <w:rPr>
          <w:b/>
          <w:lang w:eastAsia="en-US"/>
        </w:rPr>
        <w:t>avize</w:t>
      </w:r>
      <w:r w:rsidRPr="00B45F33">
        <w:rPr>
          <w:lang w:eastAsia="en-US"/>
        </w:rPr>
        <w:t xml:space="preserve"> şi </w:t>
      </w:r>
      <w:r w:rsidRPr="00B45F33">
        <w:rPr>
          <w:b/>
          <w:lang w:eastAsia="en-US"/>
        </w:rPr>
        <w:t>450 autorizaţii privind securitatea la incendiu</w:t>
      </w:r>
      <w:r w:rsidRPr="00B45F33">
        <w:rPr>
          <w:lang w:eastAsia="en-US"/>
        </w:rPr>
        <w:t xml:space="preserve">, </w:t>
      </w:r>
      <w:r w:rsidRPr="00B45F33">
        <w:rPr>
          <w:b/>
          <w:noProof/>
          <w:lang w:eastAsia="en-US"/>
        </w:rPr>
        <w:t xml:space="preserve">192 </w:t>
      </w:r>
      <w:r w:rsidRPr="00B45F33">
        <w:rPr>
          <w:b/>
          <w:lang w:eastAsia="en-US"/>
        </w:rPr>
        <w:t>avize protecţie civilă</w:t>
      </w:r>
      <w:r w:rsidRPr="00B45F33">
        <w:rPr>
          <w:lang w:eastAsia="en-US"/>
        </w:rPr>
        <w:t xml:space="preserve"> şi </w:t>
      </w:r>
      <w:r w:rsidRPr="00B45F33">
        <w:rPr>
          <w:b/>
          <w:lang w:eastAsia="en-US"/>
        </w:rPr>
        <w:t>17 autorizaţii privind protecţia civilă</w:t>
      </w:r>
      <w:r w:rsidRPr="00B45F33">
        <w:rPr>
          <w:lang w:eastAsia="en-US"/>
        </w:rPr>
        <w:t xml:space="preserve">, iar </w:t>
      </w:r>
      <w:r w:rsidRPr="00B45F33">
        <w:rPr>
          <w:b/>
          <w:lang w:eastAsia="en-US"/>
        </w:rPr>
        <w:t>1398</w:t>
      </w:r>
      <w:r w:rsidRPr="00B45F33">
        <w:rPr>
          <w:lang w:eastAsia="en-US"/>
        </w:rPr>
        <w:t xml:space="preserve"> </w:t>
      </w:r>
      <w:r w:rsidRPr="00B45F33">
        <w:rPr>
          <w:b/>
          <w:lang w:eastAsia="en-US"/>
        </w:rPr>
        <w:t>de cereri privind avizarea</w:t>
      </w:r>
      <w:r w:rsidRPr="00B45F33">
        <w:rPr>
          <w:lang w:eastAsia="en-US"/>
        </w:rPr>
        <w:br/>
        <w:t xml:space="preserve">(1283 securitate la incendiu şi 106 protecţie civilă) şi </w:t>
      </w:r>
      <w:r w:rsidRPr="00B45F33">
        <w:rPr>
          <w:b/>
          <w:lang w:eastAsia="en-US"/>
        </w:rPr>
        <w:t>606</w:t>
      </w:r>
      <w:r w:rsidRPr="00B45F33">
        <w:rPr>
          <w:lang w:eastAsia="en-US"/>
        </w:rPr>
        <w:t xml:space="preserve"> </w:t>
      </w:r>
      <w:r w:rsidRPr="00B45F33">
        <w:rPr>
          <w:b/>
          <w:lang w:eastAsia="en-US"/>
        </w:rPr>
        <w:t>cereri privind autorizarea</w:t>
      </w:r>
      <w:r w:rsidRPr="00B45F33">
        <w:rPr>
          <w:lang w:eastAsia="en-US"/>
        </w:rPr>
        <w:t xml:space="preserve"> (596 securitate la incendiu şi 10 protecţie civilă) </w:t>
      </w:r>
      <w:r w:rsidRPr="00B45F33">
        <w:rPr>
          <w:b/>
          <w:lang w:eastAsia="en-US"/>
        </w:rPr>
        <w:t>au fost respinse</w:t>
      </w:r>
      <w:r w:rsidRPr="00B45F33">
        <w:rPr>
          <w:lang w:eastAsia="en-US"/>
        </w:rPr>
        <w:t xml:space="preserve">. De asemenea, au fost emise </w:t>
      </w:r>
      <w:r w:rsidRPr="00B45F33">
        <w:rPr>
          <w:b/>
          <w:i/>
          <w:lang w:eastAsia="en-US"/>
        </w:rPr>
        <w:t>874 de autorizații de securitate la incendiu emise la obiective care funcționau fără acest act administrativ</w:t>
      </w:r>
      <w:r w:rsidRPr="00B45F33">
        <w:rPr>
          <w:lang w:eastAsia="en-US"/>
        </w:rPr>
        <w:t>.</w:t>
      </w:r>
    </w:p>
    <w:p w:rsidR="00B45F33" w:rsidRPr="00B45F33" w:rsidRDefault="00B45F33" w:rsidP="00B45F33">
      <w:pPr>
        <w:ind w:firstLine="709"/>
        <w:jc w:val="both"/>
        <w:rPr>
          <w:b/>
          <w:lang w:eastAsia="en-US"/>
        </w:rPr>
      </w:pPr>
      <w:r w:rsidRPr="00B45F33">
        <w:rPr>
          <w:lang w:eastAsia="en-US"/>
        </w:rPr>
        <w:t xml:space="preserve">Au fost emise </w:t>
      </w:r>
      <w:r w:rsidRPr="00B45F33">
        <w:rPr>
          <w:b/>
          <w:lang w:eastAsia="en-US"/>
        </w:rPr>
        <w:t>942 avize</w:t>
      </w:r>
      <w:r w:rsidRPr="00B45F33">
        <w:rPr>
          <w:lang w:eastAsia="en-US"/>
        </w:rPr>
        <w:t xml:space="preserve"> favorabile în vederea executării de </w:t>
      </w:r>
      <w:r w:rsidRPr="00B45F33">
        <w:rPr>
          <w:b/>
          <w:lang w:eastAsia="en-US"/>
        </w:rPr>
        <w:t>transporturi deşeuri periculoase</w:t>
      </w:r>
      <w:r w:rsidRPr="00B45F33">
        <w:rPr>
          <w:lang w:eastAsia="en-US"/>
        </w:rPr>
        <w:t xml:space="preserve">, </w:t>
      </w:r>
      <w:r w:rsidRPr="00B45F33">
        <w:rPr>
          <w:lang w:eastAsia="en-US"/>
        </w:rPr>
        <w:br/>
      </w:r>
      <w:r w:rsidRPr="00B45F33">
        <w:rPr>
          <w:b/>
          <w:i/>
          <w:lang w:eastAsia="en-US"/>
        </w:rPr>
        <w:t xml:space="preserve">2 </w:t>
      </w:r>
      <w:r w:rsidRPr="00B45F33">
        <w:rPr>
          <w:i/>
          <w:lang w:eastAsia="en-US"/>
        </w:rPr>
        <w:t>avize la plan de urgenţă internă</w:t>
      </w:r>
      <w:r w:rsidRPr="00B45F33">
        <w:rPr>
          <w:lang w:eastAsia="en-US"/>
        </w:rPr>
        <w:t xml:space="preserve">, </w:t>
      </w:r>
      <w:r w:rsidRPr="00B45F33">
        <w:rPr>
          <w:b/>
          <w:i/>
          <w:lang w:eastAsia="en-US"/>
        </w:rPr>
        <w:t xml:space="preserve">13 </w:t>
      </w:r>
      <w:r w:rsidRPr="00B45F33">
        <w:rPr>
          <w:i/>
          <w:lang w:eastAsia="en-US"/>
        </w:rPr>
        <w:t>avize favorabile pentru planurile de evacuare în situaţii de urgenţă</w:t>
      </w:r>
      <w:r w:rsidRPr="00B45F33">
        <w:rPr>
          <w:lang w:eastAsia="en-US"/>
        </w:rPr>
        <w:t xml:space="preserve"> şi </w:t>
      </w:r>
      <w:r w:rsidRPr="00B45F33">
        <w:rPr>
          <w:b/>
          <w:i/>
          <w:noProof/>
          <w:lang w:eastAsia="en-US"/>
        </w:rPr>
        <w:t xml:space="preserve">11 </w:t>
      </w:r>
      <w:r w:rsidRPr="00B45F33">
        <w:rPr>
          <w:i/>
          <w:noProof/>
          <w:lang w:eastAsia="en-US"/>
        </w:rPr>
        <w:t>acorduri pentru organizarea jocurilor cu articole pirotehnice</w:t>
      </w:r>
      <w:r w:rsidRPr="00B45F33">
        <w:rPr>
          <w:noProof/>
          <w:lang w:eastAsia="en-US"/>
        </w:rPr>
        <w:t xml:space="preserve">, precum şi </w:t>
      </w:r>
      <w:r w:rsidRPr="00B45F33">
        <w:rPr>
          <w:b/>
          <w:i/>
          <w:noProof/>
          <w:lang w:eastAsia="en-US"/>
        </w:rPr>
        <w:t xml:space="preserve">8 </w:t>
      </w:r>
      <w:r w:rsidRPr="00B45F33">
        <w:rPr>
          <w:i/>
          <w:noProof/>
          <w:lang w:eastAsia="en-US"/>
        </w:rPr>
        <w:t>acorduri (adrese) pentru comercializare articole pirotehnice categoria I</w:t>
      </w:r>
      <w:r w:rsidRPr="00B45F33">
        <w:rPr>
          <w:lang w:eastAsia="en-US"/>
        </w:rPr>
        <w:t>.</w:t>
      </w:r>
    </w:p>
    <w:p w:rsidR="00B45F33" w:rsidRPr="00B45F33" w:rsidRDefault="00B45F33" w:rsidP="00B45F33">
      <w:pPr>
        <w:tabs>
          <w:tab w:val="left" w:pos="709"/>
          <w:tab w:val="left" w:pos="1125"/>
        </w:tabs>
        <w:jc w:val="both"/>
        <w:rPr>
          <w:noProof/>
          <w:lang w:eastAsia="en-US"/>
        </w:rPr>
      </w:pPr>
      <w:r w:rsidRPr="00B45F33">
        <w:rPr>
          <w:noProof/>
          <w:lang w:eastAsia="en-US"/>
        </w:rPr>
        <w:tab/>
        <w:t>De asemenea, în anul 2018 au fost emise următoarele avize la servicii voluntare şi private pentru situaţii de urgenţă:</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avize la servicii private pentru situaţii de urgenţă (SPSU) proprii: 3 avize pentru înfiinţare şi 1 sector de competenţă şi 3 avize pentru desfiinţare, 9 avize de extindere a activităţii;</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avize la servicii private pentru situaţii de urgenţă constituite ca societăţi comerciale (SPSU SC): 2 avize pentru înfiinţare, 1 aviz pentru sector de competenţă, 2 avize de extindere a activităţii, 2 avize pentru desfiinţare SPSU.</w:t>
      </w:r>
    </w:p>
    <w:p w:rsidR="00B45F33" w:rsidRPr="00B45F33" w:rsidRDefault="00B45F33" w:rsidP="00B45F33">
      <w:pPr>
        <w:jc w:val="both"/>
        <w:rPr>
          <w:rFonts w:eastAsia="Calibri"/>
          <w:lang w:eastAsia="en-US"/>
        </w:rPr>
      </w:pPr>
      <w:r w:rsidRPr="00B45F33">
        <w:rPr>
          <w:rFonts w:eastAsia="Calibri"/>
          <w:lang w:eastAsia="en-US"/>
        </w:rPr>
        <w:lastRenderedPageBreak/>
        <w:tab/>
        <w:t xml:space="preserve">Activitatea de coordonare, îndrumare  şi verificarea modului de întocmire a planurilor de evacuare în situaţii de urgenţă de la nivelul instituţiilor/operatorilor economici, s-a concretizat astfel: </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nr  planuri primite la ISU B-IF – 16</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nr planuri avizate – 7</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nr. planuri respinse – 9</w:t>
      </w:r>
    </w:p>
    <w:p w:rsidR="00B45F33" w:rsidRPr="00B45F33" w:rsidRDefault="00B45F33" w:rsidP="00B45F33">
      <w:pPr>
        <w:keepNext/>
        <w:jc w:val="both"/>
        <w:outlineLvl w:val="7"/>
        <w:rPr>
          <w:b/>
          <w:bCs/>
          <w:lang w:eastAsia="en-US"/>
        </w:rPr>
      </w:pPr>
      <w:r w:rsidRPr="00B45F33">
        <w:rPr>
          <w:b/>
          <w:bCs/>
          <w:lang w:eastAsia="en-US"/>
        </w:rPr>
        <w:tab/>
        <w:t>În domeniul operativ</w:t>
      </w:r>
    </w:p>
    <w:p w:rsidR="00B45F33" w:rsidRPr="00B45F33" w:rsidRDefault="00B45F33" w:rsidP="00B45F33">
      <w:pPr>
        <w:jc w:val="both"/>
        <w:rPr>
          <w:b/>
          <w:lang w:eastAsia="en-US"/>
        </w:rPr>
      </w:pPr>
      <w:r w:rsidRPr="00B45F33">
        <w:rPr>
          <w:lang w:eastAsia="en-US"/>
        </w:rPr>
        <w:tab/>
        <w:t xml:space="preserve">Inspectoratul pentru Situații de Urgență “Dealul Spirii” București Ilfov a acționat pentru gestionarea a </w:t>
      </w:r>
      <w:r w:rsidRPr="00B45F33">
        <w:rPr>
          <w:b/>
          <w:lang w:eastAsia="en-US"/>
        </w:rPr>
        <w:t>100.685 situații de urgență</w:t>
      </w:r>
      <w:r w:rsidRPr="00B45F33">
        <w:rPr>
          <w:lang w:eastAsia="en-US"/>
        </w:rPr>
        <w:t xml:space="preserve"> cu o medie de </w:t>
      </w:r>
      <w:r w:rsidRPr="00B45F33">
        <w:rPr>
          <w:b/>
          <w:lang w:eastAsia="en-US"/>
        </w:rPr>
        <w:t>275,8 intervenții/zi</w:t>
      </w:r>
      <w:r w:rsidRPr="00B45F33">
        <w:rPr>
          <w:lang w:eastAsia="en-US"/>
        </w:rPr>
        <w:t xml:space="preserve">. Situațiile de urgență gestionate de inspectorat, reprezintă peste </w:t>
      </w:r>
      <w:r w:rsidRPr="00B45F33">
        <w:rPr>
          <w:b/>
          <w:lang w:eastAsia="en-US"/>
        </w:rPr>
        <w:t>23% din totalul acțiunilor de intervenție la nivel național.</w:t>
      </w:r>
    </w:p>
    <w:p w:rsidR="00B45F33" w:rsidRPr="00B45F33" w:rsidRDefault="00B45F33" w:rsidP="00B45F33">
      <w:pPr>
        <w:jc w:val="both"/>
        <w:rPr>
          <w:b/>
          <w:lang w:eastAsia="en-US"/>
        </w:rPr>
      </w:pPr>
      <w:r w:rsidRPr="00B45F33">
        <w:rPr>
          <w:lang w:eastAsia="en-US"/>
        </w:rPr>
        <w:tab/>
        <w:t xml:space="preserve">La nivelul unităţii s-au înregistrat </w:t>
      </w:r>
      <w:r w:rsidRPr="00B45F33">
        <w:rPr>
          <w:b/>
          <w:lang w:eastAsia="en-US"/>
        </w:rPr>
        <w:t xml:space="preserve">8412 deplasări fără intervenţie </w:t>
      </w:r>
      <w:r w:rsidRPr="00B45F33">
        <w:rPr>
          <w:lang w:eastAsia="en-US"/>
        </w:rPr>
        <w:t xml:space="preserve">reprezentând </w:t>
      </w:r>
      <w:r w:rsidRPr="00B45F33">
        <w:rPr>
          <w:b/>
          <w:lang w:eastAsia="en-US"/>
        </w:rPr>
        <w:t>8,35%</w:t>
      </w:r>
      <w:r w:rsidRPr="00B45F33">
        <w:rPr>
          <w:lang w:eastAsia="en-US"/>
        </w:rPr>
        <w:t xml:space="preserve"> din total intervenţiilor şi </w:t>
      </w:r>
      <w:r w:rsidRPr="00B45F33">
        <w:rPr>
          <w:b/>
          <w:lang w:eastAsia="en-US"/>
        </w:rPr>
        <w:t>912 alerte false</w:t>
      </w:r>
      <w:r w:rsidRPr="00B45F33">
        <w:rPr>
          <w:lang w:eastAsia="en-US"/>
        </w:rPr>
        <w:t xml:space="preserve"> reprezentând </w:t>
      </w:r>
      <w:r w:rsidRPr="00B45F33">
        <w:rPr>
          <w:b/>
          <w:lang w:eastAsia="en-US"/>
        </w:rPr>
        <w:t>0,91%</w:t>
      </w:r>
      <w:r w:rsidRPr="00B45F33">
        <w:rPr>
          <w:lang w:eastAsia="en-US"/>
        </w:rPr>
        <w:t xml:space="preserve"> din total intervenţiilor.   </w:t>
      </w:r>
    </w:p>
    <w:p w:rsidR="00B45F33" w:rsidRPr="00B45F33" w:rsidRDefault="00B45F33" w:rsidP="00B45F33">
      <w:pPr>
        <w:jc w:val="both"/>
        <w:rPr>
          <w:b/>
          <w:lang w:eastAsia="en-US"/>
        </w:rPr>
      </w:pPr>
      <w:r w:rsidRPr="00B45F33">
        <w:rPr>
          <w:lang w:eastAsia="en-US"/>
        </w:rPr>
        <w:tab/>
        <w:t xml:space="preserve">Din totalul de 100.685 de situații de urgență la care au fost solicitate să intervină subunitățile inspectoratului, aproximativ </w:t>
      </w:r>
      <w:r w:rsidRPr="00B45F33">
        <w:rPr>
          <w:b/>
          <w:lang w:eastAsia="en-US"/>
        </w:rPr>
        <w:t>75%</w:t>
      </w:r>
      <w:r w:rsidRPr="00B45F33">
        <w:rPr>
          <w:lang w:eastAsia="en-US"/>
        </w:rPr>
        <w:t xml:space="preserve"> dintre acestea, reprezintă </w:t>
      </w:r>
      <w:r w:rsidRPr="00B45F33">
        <w:rPr>
          <w:b/>
          <w:lang w:eastAsia="en-US"/>
        </w:rPr>
        <w:t xml:space="preserve">intervenții pentru acordarea primului ajutor </w:t>
      </w:r>
      <w:r w:rsidRPr="00B45F33">
        <w:rPr>
          <w:lang w:eastAsia="en-US"/>
        </w:rPr>
        <w:t xml:space="preserve">cu o medie de </w:t>
      </w:r>
      <w:r w:rsidRPr="00B45F33">
        <w:rPr>
          <w:b/>
          <w:lang w:eastAsia="en-US"/>
        </w:rPr>
        <w:t>200 intervenții/zi.</w:t>
      </w:r>
    </w:p>
    <w:p w:rsidR="00B45F33" w:rsidRPr="00B45F33" w:rsidRDefault="00B45F33" w:rsidP="00B45F33">
      <w:pPr>
        <w:jc w:val="both"/>
        <w:rPr>
          <w:lang w:eastAsia="en-US"/>
        </w:rPr>
      </w:pPr>
      <w:r w:rsidRPr="00B45F33">
        <w:rPr>
          <w:b/>
          <w:lang w:eastAsia="en-US"/>
        </w:rPr>
        <w:tab/>
      </w:r>
      <w:r w:rsidRPr="00B45F33">
        <w:rPr>
          <w:lang w:eastAsia="en-US"/>
        </w:rPr>
        <w:t xml:space="preserve">Numărul persoanelor asistate și salvate pe timpul acțiunilor de intervenție </w:t>
      </w:r>
      <w:r w:rsidRPr="00B45F33">
        <w:rPr>
          <w:b/>
          <w:lang w:eastAsia="en-US"/>
        </w:rPr>
        <w:t>a depășit 80.000</w:t>
      </w:r>
      <w:r w:rsidRPr="00B45F33">
        <w:rPr>
          <w:lang w:eastAsia="en-US"/>
        </w:rPr>
        <w:t>, astfel:</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asistați medical de către echipajele de prim ajutor calificat : 77206 adulți și 6305 copii ;</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salvați pe timpul acțiunilor de stingere a incendiilor 427 adulți și 53 copii.</w:t>
      </w:r>
    </w:p>
    <w:p w:rsidR="00B45F33" w:rsidRPr="00B45F33" w:rsidRDefault="00B45F33" w:rsidP="00B45F33">
      <w:pPr>
        <w:jc w:val="both"/>
        <w:rPr>
          <w:lang w:eastAsia="en-US"/>
        </w:rPr>
      </w:pPr>
      <w:r w:rsidRPr="00B45F33">
        <w:rPr>
          <w:lang w:eastAsia="en-US"/>
        </w:rPr>
        <w:tab/>
        <w:t xml:space="preserve"> </w:t>
      </w:r>
      <w:r w:rsidRPr="00B45F33">
        <w:rPr>
          <w:b/>
          <w:i/>
          <w:lang w:eastAsia="en-US"/>
        </w:rPr>
        <w:t xml:space="preserve">Timpul mediu de răspuns al echipajelor specializate </w:t>
      </w:r>
      <w:r w:rsidRPr="00B45F33">
        <w:rPr>
          <w:lang w:eastAsia="en-US"/>
        </w:rPr>
        <w:t>(timpul scurs din momentul alertării până în momentul sosirii primelor echipaje la locul evenimentului)</w:t>
      </w:r>
      <w:r w:rsidRPr="00B45F33">
        <w:rPr>
          <w:b/>
          <w:i/>
          <w:lang w:eastAsia="en-US"/>
        </w:rPr>
        <w:t xml:space="preserve"> </w:t>
      </w:r>
      <w:r w:rsidRPr="00B45F33">
        <w:rPr>
          <w:lang w:eastAsia="en-US"/>
        </w:rPr>
        <w:t>înregistrat la nivelul zonei de competență în anul 2018, a fost de:</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în mediul urban: 8 minute si 42 secunde;</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în mediul rural:14 minute și 41 secunde.</w:t>
      </w:r>
    </w:p>
    <w:p w:rsidR="00B45F33" w:rsidRPr="00B45F33" w:rsidRDefault="00B45F33" w:rsidP="00B45F33">
      <w:pPr>
        <w:jc w:val="both"/>
        <w:rPr>
          <w:lang w:eastAsia="en-US"/>
        </w:rPr>
      </w:pPr>
      <w:r w:rsidRPr="00B45F33">
        <w:rPr>
          <w:lang w:eastAsia="en-US"/>
        </w:rPr>
        <w:tab/>
        <w:t xml:space="preserve">În anul 2018 au fost gestionate un număr de </w:t>
      </w:r>
      <w:r w:rsidRPr="00B45F33">
        <w:rPr>
          <w:b/>
          <w:lang w:eastAsia="en-US"/>
        </w:rPr>
        <w:t>1513 misiuni cu forţe şi mijloace în teren</w:t>
      </w:r>
      <w:r w:rsidRPr="00B45F33">
        <w:rPr>
          <w:lang w:eastAsia="en-US"/>
        </w:rPr>
        <w:t xml:space="preserve"> şi </w:t>
      </w:r>
      <w:r w:rsidRPr="00B45F33">
        <w:rPr>
          <w:b/>
          <w:lang w:eastAsia="en-US"/>
        </w:rPr>
        <w:t xml:space="preserve">monitorizate </w:t>
      </w:r>
      <w:r w:rsidRPr="00B45F33">
        <w:rPr>
          <w:lang w:eastAsia="en-US"/>
        </w:rPr>
        <w:t xml:space="preserve">unui număr de peste </w:t>
      </w:r>
      <w:r w:rsidRPr="00B45F33">
        <w:rPr>
          <w:b/>
          <w:lang w:eastAsia="en-US"/>
        </w:rPr>
        <w:t xml:space="preserve">4800 alte evenimente. </w:t>
      </w:r>
      <w:r w:rsidRPr="00B45F33">
        <w:rPr>
          <w:lang w:eastAsia="en-US"/>
        </w:rPr>
        <w:t xml:space="preserve">În vederea gestionării/monitorizării/participării la misiunile specifice s-a participat la un număr de </w:t>
      </w:r>
      <w:r w:rsidRPr="00B45F33">
        <w:rPr>
          <w:b/>
          <w:lang w:eastAsia="en-US"/>
        </w:rPr>
        <w:t>231</w:t>
      </w:r>
      <w:r w:rsidRPr="00B45F33">
        <w:rPr>
          <w:lang w:eastAsia="en-US"/>
        </w:rPr>
        <w:t xml:space="preserve"> </w:t>
      </w:r>
      <w:r w:rsidRPr="00B45F33">
        <w:rPr>
          <w:b/>
          <w:lang w:eastAsia="en-US"/>
        </w:rPr>
        <w:t>şedinţe de cooperare</w:t>
      </w:r>
      <w:r w:rsidRPr="00B45F33">
        <w:rPr>
          <w:lang w:eastAsia="en-US"/>
        </w:rPr>
        <w:t xml:space="preserve"> organizate de către S.P.P., D.G.J.M.B., D.G.P.M.B., M.A.I., sau de către  organizatorii de evenimente și la un număr de </w:t>
      </w:r>
      <w:r w:rsidRPr="00B45F33">
        <w:rPr>
          <w:b/>
          <w:lang w:eastAsia="en-US"/>
        </w:rPr>
        <w:t>19</w:t>
      </w:r>
      <w:r w:rsidRPr="00B45F33">
        <w:rPr>
          <w:lang w:eastAsia="en-US"/>
        </w:rPr>
        <w:t xml:space="preserve"> </w:t>
      </w:r>
      <w:r w:rsidRPr="00B45F33">
        <w:rPr>
          <w:b/>
          <w:lang w:eastAsia="en-US"/>
        </w:rPr>
        <w:t>recunoaşteri în teren</w:t>
      </w:r>
      <w:r w:rsidRPr="00B45F33">
        <w:rPr>
          <w:iCs/>
          <w:lang w:eastAsia="en-US"/>
        </w:rPr>
        <w:t xml:space="preserve"> în vederea documentării </w:t>
      </w:r>
      <w:r w:rsidRPr="00B45F33">
        <w:rPr>
          <w:lang w:eastAsia="en-US"/>
        </w:rPr>
        <w:t>și organizarea în bune condiții a misiunilor.</w:t>
      </w:r>
    </w:p>
    <w:p w:rsidR="00B45F33" w:rsidRPr="00B45F33" w:rsidRDefault="00B45F33" w:rsidP="00B45F33">
      <w:pPr>
        <w:keepNext/>
        <w:jc w:val="both"/>
        <w:outlineLvl w:val="7"/>
        <w:rPr>
          <w:b/>
          <w:bCs/>
          <w:u w:val="single"/>
          <w:lang w:eastAsia="en-US"/>
        </w:rPr>
      </w:pPr>
      <w:r w:rsidRPr="00B45F33">
        <w:rPr>
          <w:b/>
          <w:bCs/>
          <w:lang w:eastAsia="en-US"/>
        </w:rPr>
        <w:tab/>
      </w:r>
      <w:r w:rsidRPr="00B45F33">
        <w:rPr>
          <w:b/>
          <w:bCs/>
          <w:u w:val="single"/>
          <w:lang w:eastAsia="en-US"/>
        </w:rPr>
        <w:t>PROTECŢIE CIVILĂ</w:t>
      </w:r>
    </w:p>
    <w:p w:rsidR="00B45F33" w:rsidRPr="00B45F33" w:rsidRDefault="00B45F33" w:rsidP="00B45F33">
      <w:pPr>
        <w:keepNext/>
        <w:jc w:val="both"/>
        <w:outlineLvl w:val="7"/>
        <w:rPr>
          <w:b/>
          <w:bCs/>
          <w:lang w:eastAsia="en-US"/>
        </w:rPr>
      </w:pPr>
      <w:r w:rsidRPr="00B45F33">
        <w:rPr>
          <w:b/>
          <w:bCs/>
          <w:lang w:eastAsia="en-US"/>
        </w:rPr>
        <w:tab/>
        <w:t>Control riscuri la dezastre</w:t>
      </w:r>
    </w:p>
    <w:p w:rsidR="00B45F33" w:rsidRPr="00B45F33" w:rsidRDefault="00B45F33" w:rsidP="00B45F33">
      <w:pPr>
        <w:jc w:val="both"/>
        <w:rPr>
          <w:b/>
          <w:bCs/>
          <w:lang w:eastAsia="en-US"/>
        </w:rPr>
      </w:pPr>
      <w:r w:rsidRPr="00B45F33">
        <w:rPr>
          <w:bCs/>
          <w:lang w:eastAsia="en-US"/>
        </w:rPr>
        <w:tab/>
        <w:t xml:space="preserve">În vederea gestionării situaţiilor de urgenţă de la nivelul Municipiului Bucureşti și județului Ilfov, conform Hotărârii Guvernului Nr. 1491 din 9 septembrie 2004, au fost constituite </w:t>
      </w:r>
      <w:r w:rsidRPr="00B45F33">
        <w:rPr>
          <w:b/>
          <w:bCs/>
          <w:lang w:eastAsia="en-US"/>
        </w:rPr>
        <w:t xml:space="preserve">Comitetul Municipiului Bucureşti pentru Situaţii de Urgenţă / Comitetul Județean pentru Situații de Urgență Ilfov  </w:t>
      </w:r>
      <w:r w:rsidRPr="00B45F33">
        <w:rPr>
          <w:bCs/>
          <w:lang w:eastAsia="en-US"/>
        </w:rPr>
        <w:t xml:space="preserve">fiind organizate şi desfăşurate </w:t>
      </w:r>
      <w:r w:rsidRPr="00B45F33">
        <w:rPr>
          <w:b/>
          <w:bCs/>
          <w:lang w:eastAsia="en-US"/>
        </w:rPr>
        <w:t>20  de ședinţe ordinare și extraordinare</w:t>
      </w:r>
      <w:r w:rsidRPr="00B45F33">
        <w:rPr>
          <w:bCs/>
          <w:lang w:eastAsia="en-US"/>
        </w:rPr>
        <w:t>.</w:t>
      </w:r>
    </w:p>
    <w:p w:rsidR="00B45F33" w:rsidRPr="00B45F33" w:rsidRDefault="00B45F33" w:rsidP="00B45F33">
      <w:pPr>
        <w:jc w:val="both"/>
        <w:rPr>
          <w:lang w:eastAsia="en-US"/>
        </w:rPr>
      </w:pPr>
      <w:r w:rsidRPr="00B45F33">
        <w:rPr>
          <w:lang w:eastAsia="en-US"/>
        </w:rPr>
        <w:tab/>
        <w:t xml:space="preserve">La realizarea atribuţiilor şi sarcinilor ce le revin comitetelor, la apariţia unor situaţii de urgenţă sau în caz de normalitate, şi-au adus contribuţia toţi membrii acestuia, în funcţie de natura activităţilor specifice fiecăruia. Un rol determinant l-a avut </w:t>
      </w:r>
      <w:r w:rsidRPr="00B45F33">
        <w:rPr>
          <w:i/>
          <w:lang w:eastAsia="en-US"/>
        </w:rPr>
        <w:t>Centrul Operaţional</w:t>
      </w:r>
      <w:r w:rsidRPr="00B45F33">
        <w:rPr>
          <w:b/>
          <w:i/>
          <w:lang w:eastAsia="en-US"/>
        </w:rPr>
        <w:t xml:space="preserve"> </w:t>
      </w:r>
      <w:r w:rsidRPr="00B45F33">
        <w:rPr>
          <w:lang w:eastAsia="en-US"/>
        </w:rPr>
        <w:t>al ISUBIF care a asigurat informarea permanentă a preşedinților CMBSU/CJSU Ilfov cu privire la evenimentele deosebite produse şi evoluţia acestora.</w:t>
      </w:r>
    </w:p>
    <w:p w:rsidR="00B45F33" w:rsidRPr="00B45F33" w:rsidRDefault="00B45F33" w:rsidP="00B45F33">
      <w:pPr>
        <w:keepNext/>
        <w:jc w:val="both"/>
        <w:outlineLvl w:val="7"/>
        <w:rPr>
          <w:b/>
          <w:bCs/>
          <w:lang w:eastAsia="en-US"/>
        </w:rPr>
      </w:pPr>
      <w:r w:rsidRPr="00B45F33">
        <w:rPr>
          <w:b/>
          <w:bCs/>
          <w:lang w:eastAsia="en-US"/>
        </w:rPr>
        <w:tab/>
        <w:t>În domeniul operativ</w:t>
      </w:r>
    </w:p>
    <w:p w:rsidR="00B45F33" w:rsidRPr="00B45F33" w:rsidRDefault="00B45F33" w:rsidP="00B45F33">
      <w:pPr>
        <w:jc w:val="both"/>
        <w:rPr>
          <w:lang w:eastAsia="en-US"/>
        </w:rPr>
      </w:pPr>
      <w:r w:rsidRPr="00B45F33">
        <w:rPr>
          <w:lang w:eastAsia="en-US"/>
        </w:rPr>
        <w:tab/>
        <w:t xml:space="preserve">În anul 2018 au fost înregistrate un număr de </w:t>
      </w:r>
      <w:r w:rsidRPr="00B45F33">
        <w:rPr>
          <w:b/>
          <w:lang w:eastAsia="en-US"/>
        </w:rPr>
        <w:t>541 acțiuni de intervenție pe linie de protecţie civilă</w:t>
      </w:r>
      <w:r w:rsidRPr="00B45F33">
        <w:rPr>
          <w:lang w:eastAsia="en-US"/>
        </w:rPr>
        <w:t xml:space="preserve"> din care:</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390 acțiuni de intervenție în Bucureşti;</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149 acțiuni de intervenție în Ilfov;</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2 acțiuni de intervenție în judeţele limitrofe.</w:t>
      </w:r>
    </w:p>
    <w:p w:rsidR="00B45F33" w:rsidRPr="00B45F33" w:rsidRDefault="00B45F33" w:rsidP="00B45F33">
      <w:pPr>
        <w:jc w:val="both"/>
        <w:rPr>
          <w:lang w:eastAsia="en-US"/>
        </w:rPr>
      </w:pPr>
      <w:r w:rsidRPr="00B45F33">
        <w:rPr>
          <w:lang w:eastAsia="en-US"/>
        </w:rPr>
        <w:lastRenderedPageBreak/>
        <w:tab/>
        <w:t>Pe linia documentelor operative, în anul 2018, prin Centrul Operaţional – Secretariatul Tehnic Permanent în cadrul CMBSU şi CJSU Ilfov s-au întocmit şi actualizat o serie de documente, cele mai importante fiind:</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actualizarea Planului de Analiză şi Acoperire a Riscurilor şi a schemei cu riscurilor teritoriale de la nivelul municipiului Bucureşti;</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 xml:space="preserve"> actualizarea Planului de Analiză şi Acoperire a Riscurilor şi a schemei cu riscurilor teritoriale de la nivelul județului Ilfov;</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întocmirea Catalogului municipiului Bucureşti şi catalogului judeţului Ilfov cuprinzând clasificarea operatorilor economici, instituţiilor publice şi unităţilor administrativ teritoriale din punct de vedere al protecţiei civile, în funcţie de tipurile de riscuri specifice;</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 xml:space="preserve">întocmirea planului municipiului București şi a planului  județului Ilfov pentru asigurarea resurselor umane, materiale şi financiare necesare gestionării situaţiilor de urgenţă pe anul </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actualizarea planului operațional de intervenție în cazul producerii de accidente de aviație civilă la nivelul municipiului București și județului Ilfov.</w:t>
      </w:r>
    </w:p>
    <w:p w:rsidR="00B45F33" w:rsidRPr="00B45F33" w:rsidRDefault="00B45F33" w:rsidP="00B45F33">
      <w:pPr>
        <w:keepNext/>
        <w:jc w:val="both"/>
        <w:outlineLvl w:val="7"/>
        <w:rPr>
          <w:b/>
          <w:bCs/>
          <w:u w:val="single"/>
          <w:lang w:eastAsia="en-US"/>
        </w:rPr>
      </w:pPr>
      <w:r w:rsidRPr="00B45F33">
        <w:rPr>
          <w:b/>
          <w:bCs/>
          <w:lang w:eastAsia="en-US"/>
        </w:rPr>
        <w:tab/>
      </w:r>
      <w:r w:rsidRPr="00B45F33">
        <w:rPr>
          <w:b/>
          <w:bCs/>
          <w:u w:val="single"/>
          <w:lang w:eastAsia="en-US"/>
        </w:rPr>
        <w:t>ASISTENŢA MEDICALĂ DE URGENŢĂ – PRIMUL AJUTOR CALIFICAT</w:t>
      </w:r>
    </w:p>
    <w:p w:rsidR="00B45F33" w:rsidRPr="00B45F33" w:rsidRDefault="00B45F33" w:rsidP="00B45F33">
      <w:pPr>
        <w:keepNext/>
        <w:jc w:val="both"/>
        <w:outlineLvl w:val="7"/>
        <w:rPr>
          <w:b/>
          <w:bCs/>
          <w:lang w:eastAsia="en-US"/>
        </w:rPr>
      </w:pPr>
      <w:r w:rsidRPr="00B45F33">
        <w:rPr>
          <w:b/>
          <w:bCs/>
          <w:lang w:eastAsia="en-US"/>
        </w:rPr>
        <w:tab/>
        <w:t>Intervenţie</w:t>
      </w:r>
    </w:p>
    <w:p w:rsidR="00B45F33" w:rsidRPr="00B45F33" w:rsidRDefault="00B45F33" w:rsidP="00B45F33">
      <w:pPr>
        <w:jc w:val="both"/>
        <w:rPr>
          <w:lang w:eastAsia="en-US"/>
        </w:rPr>
      </w:pPr>
      <w:r w:rsidRPr="00B45F33">
        <w:rPr>
          <w:lang w:eastAsia="en-US"/>
        </w:rPr>
        <w:tab/>
        <w:t xml:space="preserve">În anul 2018, echipajele echipajele SMURD au intervenit la </w:t>
      </w:r>
      <w:r w:rsidRPr="00B45F33">
        <w:rPr>
          <w:b/>
          <w:lang w:eastAsia="en-US"/>
        </w:rPr>
        <w:t>87749</w:t>
      </w:r>
      <w:r w:rsidRPr="00B45F33">
        <w:rPr>
          <w:lang w:eastAsia="en-US"/>
        </w:rPr>
        <w:t xml:space="preserve"> de solicitări, rezultând o medie de </w:t>
      </w:r>
      <w:r w:rsidRPr="00B45F33">
        <w:rPr>
          <w:b/>
          <w:lang w:eastAsia="en-US"/>
        </w:rPr>
        <w:t xml:space="preserve">200 intervenții / 24 ore. </w:t>
      </w:r>
      <w:r w:rsidRPr="00B45F33">
        <w:rPr>
          <w:lang w:eastAsia="en-US"/>
        </w:rPr>
        <w:t xml:space="preserve">Dintre acestea </w:t>
      </w:r>
      <w:r w:rsidRPr="00B45F33">
        <w:rPr>
          <w:b/>
          <w:lang w:eastAsia="en-US"/>
        </w:rPr>
        <w:t xml:space="preserve">80191 </w:t>
      </w:r>
      <w:r w:rsidRPr="00B45F33">
        <w:rPr>
          <w:lang w:eastAsia="en-US"/>
        </w:rPr>
        <w:t xml:space="preserve">sunt intervenții proprii, iar </w:t>
      </w:r>
      <w:r w:rsidRPr="00B45F33">
        <w:rPr>
          <w:b/>
          <w:lang w:eastAsia="en-US"/>
        </w:rPr>
        <w:t xml:space="preserve">7558 </w:t>
      </w:r>
      <w:r w:rsidRPr="00B45F33">
        <w:rPr>
          <w:lang w:eastAsia="en-US"/>
        </w:rPr>
        <w:t>sunt intervenții în sprijin.</w:t>
      </w:r>
    </w:p>
    <w:p w:rsidR="00B45F33" w:rsidRPr="00B45F33" w:rsidRDefault="00B45F33" w:rsidP="00B45F33">
      <w:pPr>
        <w:tabs>
          <w:tab w:val="left" w:pos="284"/>
        </w:tabs>
        <w:jc w:val="center"/>
        <w:rPr>
          <w:lang w:eastAsia="en-US"/>
        </w:rPr>
      </w:pPr>
      <w:r w:rsidRPr="00B45F33">
        <w:rPr>
          <w:noProof/>
        </w:rPr>
        <w:drawing>
          <wp:inline distT="0" distB="0" distL="0" distR="0">
            <wp:extent cx="6296025" cy="1733550"/>
            <wp:effectExtent l="0" t="0" r="9525" b="19050"/>
            <wp:docPr id="71"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B45F33">
        <w:rPr>
          <w:lang w:eastAsia="en-US"/>
        </w:rPr>
        <w:t xml:space="preserve">         </w:t>
      </w:r>
    </w:p>
    <w:p w:rsidR="00B45F33" w:rsidRPr="00B45F33" w:rsidRDefault="00B45F33" w:rsidP="00B45F33">
      <w:pPr>
        <w:jc w:val="both"/>
        <w:rPr>
          <w:lang w:eastAsia="en-US"/>
        </w:rPr>
      </w:pPr>
      <w:r w:rsidRPr="00B45F33">
        <w:rPr>
          <w:lang w:eastAsia="en-US"/>
        </w:rPr>
        <w:tab/>
      </w:r>
    </w:p>
    <w:p w:rsidR="00B45F33" w:rsidRPr="00B45F33" w:rsidRDefault="00B45F33" w:rsidP="00B45F33">
      <w:pPr>
        <w:jc w:val="both"/>
        <w:rPr>
          <w:lang w:eastAsia="en-US"/>
        </w:rPr>
      </w:pPr>
      <w:r w:rsidRPr="00B45F33">
        <w:rPr>
          <w:lang w:eastAsia="en-US"/>
        </w:rPr>
        <w:tab/>
        <w:t xml:space="preserve">Față de anul 2017, se constată o </w:t>
      </w:r>
      <w:r w:rsidRPr="00B45F33">
        <w:rPr>
          <w:b/>
          <w:lang w:eastAsia="en-US"/>
        </w:rPr>
        <w:t>creștere a numărului de intervenții cu 15,73 %</w:t>
      </w:r>
      <w:r w:rsidRPr="00B45F33">
        <w:rPr>
          <w:lang w:eastAsia="en-US"/>
        </w:rPr>
        <w:t xml:space="preserve"> (de la 75819 de solicitări la 87749 de solicitări).</w:t>
      </w:r>
    </w:p>
    <w:p w:rsidR="00B45F33" w:rsidRPr="00B45F33" w:rsidRDefault="00B45F33" w:rsidP="00B45F33">
      <w:pPr>
        <w:jc w:val="both"/>
        <w:rPr>
          <w:lang w:eastAsia="en-US"/>
        </w:rPr>
      </w:pPr>
      <w:r w:rsidRPr="00B45F33">
        <w:rPr>
          <w:lang w:eastAsia="en-US"/>
        </w:rPr>
        <w:tab/>
        <w:t xml:space="preserve">Din totalul de </w:t>
      </w:r>
      <w:r w:rsidRPr="00B45F33">
        <w:rPr>
          <w:b/>
          <w:lang w:eastAsia="en-US"/>
        </w:rPr>
        <w:t>80191 intervenții proprii</w:t>
      </w:r>
      <w:r w:rsidRPr="00B45F33">
        <w:rPr>
          <w:lang w:eastAsia="en-US"/>
        </w:rPr>
        <w:t xml:space="preserve">, se constată o </w:t>
      </w:r>
      <w:r w:rsidRPr="00B45F33">
        <w:rPr>
          <w:b/>
          <w:lang w:eastAsia="en-US"/>
        </w:rPr>
        <w:t>creștere a numărului intervențiilor acționate cu 18,26 %</w:t>
      </w:r>
      <w:r w:rsidRPr="00B45F33">
        <w:rPr>
          <w:lang w:eastAsia="en-US"/>
        </w:rPr>
        <w:t xml:space="preserve">(de la 65683 la 77678) şi </w:t>
      </w:r>
      <w:r w:rsidRPr="00B45F33">
        <w:rPr>
          <w:b/>
          <w:lang w:eastAsia="en-US"/>
        </w:rPr>
        <w:t xml:space="preserve">o scădere a numărului intervențiilor neacționate cu   7,40 % </w:t>
      </w:r>
      <w:r w:rsidRPr="00B45F33">
        <w:rPr>
          <w:lang w:eastAsia="en-US"/>
        </w:rPr>
        <w:t>(de la 2699 la 2513).</w:t>
      </w:r>
    </w:p>
    <w:p w:rsidR="00B45F33" w:rsidRPr="00B45F33" w:rsidRDefault="00B45F33" w:rsidP="00B45F33">
      <w:pPr>
        <w:jc w:val="both"/>
        <w:rPr>
          <w:i/>
          <w:lang w:eastAsia="en-US"/>
        </w:rPr>
      </w:pPr>
      <w:r w:rsidRPr="00B45F33">
        <w:rPr>
          <w:lang w:eastAsia="en-US"/>
        </w:rPr>
        <w:tab/>
      </w:r>
      <w:r w:rsidRPr="00B45F33">
        <w:rPr>
          <w:b/>
          <w:lang w:eastAsia="en-US"/>
        </w:rPr>
        <w:t>Media zilnică de intervenţii a unui echipaj de prim-ajutor</w:t>
      </w:r>
      <w:r w:rsidRPr="00B45F33">
        <w:rPr>
          <w:lang w:eastAsia="en-US"/>
        </w:rPr>
        <w:t xml:space="preserve"> </w:t>
      </w:r>
      <w:r w:rsidRPr="00B45F33">
        <w:rPr>
          <w:b/>
          <w:lang w:eastAsia="en-US"/>
        </w:rPr>
        <w:t xml:space="preserve">calificat tip B </w:t>
      </w:r>
      <w:r w:rsidRPr="00B45F33">
        <w:rPr>
          <w:lang w:eastAsia="en-US"/>
        </w:rPr>
        <w:t xml:space="preserve">a fost de </w:t>
      </w:r>
      <w:r w:rsidRPr="00B45F33">
        <w:rPr>
          <w:b/>
          <w:lang w:eastAsia="en-US"/>
        </w:rPr>
        <w:t>13,7 intervenţii / zi</w:t>
      </w:r>
      <w:r w:rsidRPr="00B45F33">
        <w:rPr>
          <w:lang w:eastAsia="en-US"/>
        </w:rPr>
        <w:t xml:space="preserve"> în anul 2018, înregistrându-se o </w:t>
      </w:r>
      <w:r w:rsidRPr="00B45F33">
        <w:rPr>
          <w:b/>
          <w:lang w:eastAsia="en-US"/>
        </w:rPr>
        <w:t>creştere semnificativă cu 2,1 intervenţii / zi</w:t>
      </w:r>
      <w:r w:rsidRPr="00B45F33">
        <w:rPr>
          <w:lang w:eastAsia="en-US"/>
        </w:rPr>
        <w:t xml:space="preserve"> , comparativ cu anul 2017 (11,6 intervenţii / zi).</w:t>
      </w:r>
      <w:r w:rsidRPr="00B45F33">
        <w:rPr>
          <w:i/>
          <w:lang w:eastAsia="en-US"/>
        </w:rPr>
        <w:tab/>
      </w:r>
    </w:p>
    <w:p w:rsidR="00B45F33" w:rsidRPr="00B45F33" w:rsidRDefault="00B45F33" w:rsidP="00B45F33">
      <w:pPr>
        <w:jc w:val="both"/>
        <w:rPr>
          <w:lang w:eastAsia="en-US"/>
        </w:rPr>
      </w:pPr>
      <w:r w:rsidRPr="00B45F33">
        <w:rPr>
          <w:i/>
          <w:lang w:eastAsia="en-US"/>
        </w:rPr>
        <w:tab/>
        <w:t xml:space="preserve">Statistica </w:t>
      </w:r>
      <w:r w:rsidRPr="00B45F33">
        <w:rPr>
          <w:bCs/>
          <w:i/>
          <w:lang w:eastAsia="en-US"/>
        </w:rPr>
        <w:t xml:space="preserve">distribuţiei intervenţiilor pe tipuri de echipaje în anul 2018 </w:t>
      </w:r>
      <w:r w:rsidRPr="00B45F33">
        <w:rPr>
          <w:i/>
          <w:lang w:eastAsia="en-US"/>
        </w:rPr>
        <w:t>şi analiza comparativă a acestora faţă de cea înregistrată în anul 2017</w:t>
      </w:r>
      <w:r w:rsidRPr="00B45F33">
        <w:rPr>
          <w:lang w:eastAsia="en-US"/>
        </w:rPr>
        <w:t xml:space="preserve"> se prezintă astfel:</w:t>
      </w:r>
    </w:p>
    <w:p w:rsidR="00B45F33" w:rsidRPr="00B45F33" w:rsidRDefault="00B45F33" w:rsidP="00B45F33">
      <w:pPr>
        <w:jc w:val="both"/>
        <w:rPr>
          <w:b/>
          <w:iCs/>
          <w:lang w:eastAsia="en-US"/>
        </w:rPr>
      </w:pPr>
    </w:p>
    <w:tbl>
      <w:tblPr>
        <w:tblW w:w="10068" w:type="dxa"/>
        <w:jc w:val="center"/>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Layout w:type="fixed"/>
        <w:tblLook w:val="04A0"/>
      </w:tblPr>
      <w:tblGrid>
        <w:gridCol w:w="7511"/>
        <w:gridCol w:w="1260"/>
        <w:gridCol w:w="1297"/>
      </w:tblGrid>
      <w:tr w:rsidR="00B45F33" w:rsidRPr="00B45F33" w:rsidTr="007A478C">
        <w:trPr>
          <w:trHeight w:val="509"/>
          <w:jc w:val="center"/>
        </w:trPr>
        <w:tc>
          <w:tcPr>
            <w:tcW w:w="7511" w:type="dxa"/>
            <w:shd w:val="clear" w:color="auto" w:fill="auto"/>
            <w:vAlign w:val="center"/>
            <w:hideMark/>
          </w:tcPr>
          <w:p w:rsidR="00B45F33" w:rsidRPr="00B45F33" w:rsidRDefault="00B45F33" w:rsidP="00B45F33">
            <w:pPr>
              <w:ind w:firstLine="29"/>
              <w:jc w:val="center"/>
              <w:rPr>
                <w:b/>
                <w:bCs/>
                <w:color w:val="000000"/>
                <w:lang w:eastAsia="en-US"/>
              </w:rPr>
            </w:pPr>
            <w:r w:rsidRPr="00B45F33">
              <w:rPr>
                <w:b/>
                <w:bCs/>
                <w:color w:val="000000"/>
                <w:lang w:eastAsia="en-US"/>
              </w:rPr>
              <w:t>TIPUL ECHIPAJULUI</w:t>
            </w:r>
          </w:p>
        </w:tc>
        <w:tc>
          <w:tcPr>
            <w:tcW w:w="1260" w:type="dxa"/>
            <w:shd w:val="clear" w:color="auto" w:fill="auto"/>
            <w:vAlign w:val="center"/>
          </w:tcPr>
          <w:p w:rsidR="00B45F33" w:rsidRPr="00B45F33" w:rsidRDefault="00B45F33" w:rsidP="00B45F33">
            <w:pPr>
              <w:ind w:left="-100" w:right="-90" w:firstLine="29"/>
              <w:jc w:val="center"/>
              <w:rPr>
                <w:b/>
                <w:bCs/>
                <w:color w:val="000000"/>
                <w:lang w:eastAsia="en-US"/>
              </w:rPr>
            </w:pPr>
            <w:r w:rsidRPr="00B45F33">
              <w:rPr>
                <w:b/>
                <w:bCs/>
                <w:color w:val="000000"/>
                <w:lang w:eastAsia="en-US"/>
              </w:rPr>
              <w:t>Intervenții 2017</w:t>
            </w:r>
          </w:p>
        </w:tc>
        <w:tc>
          <w:tcPr>
            <w:tcW w:w="1297" w:type="dxa"/>
            <w:shd w:val="clear" w:color="auto" w:fill="auto"/>
            <w:vAlign w:val="center"/>
            <w:hideMark/>
          </w:tcPr>
          <w:p w:rsidR="00B45F33" w:rsidRPr="00B45F33" w:rsidRDefault="00B45F33" w:rsidP="00B45F33">
            <w:pPr>
              <w:ind w:left="-100" w:right="-90" w:firstLine="29"/>
              <w:jc w:val="center"/>
              <w:rPr>
                <w:b/>
                <w:bCs/>
                <w:color w:val="000000"/>
                <w:lang w:eastAsia="en-US"/>
              </w:rPr>
            </w:pPr>
            <w:r w:rsidRPr="00B45F33">
              <w:rPr>
                <w:b/>
                <w:bCs/>
                <w:color w:val="000000"/>
                <w:lang w:eastAsia="en-US"/>
              </w:rPr>
              <w:t>Intervenții</w:t>
            </w:r>
          </w:p>
          <w:p w:rsidR="00B45F33" w:rsidRPr="00B45F33" w:rsidRDefault="00B45F33" w:rsidP="00B45F33">
            <w:pPr>
              <w:ind w:left="-100" w:right="-90" w:firstLine="29"/>
              <w:jc w:val="center"/>
              <w:rPr>
                <w:b/>
                <w:bCs/>
                <w:color w:val="000000"/>
                <w:lang w:eastAsia="en-US"/>
              </w:rPr>
            </w:pPr>
            <w:r w:rsidRPr="00B45F33">
              <w:rPr>
                <w:b/>
                <w:bCs/>
                <w:color w:val="000000"/>
                <w:lang w:eastAsia="en-US"/>
              </w:rPr>
              <w:t>2018</w:t>
            </w:r>
          </w:p>
        </w:tc>
      </w:tr>
      <w:tr w:rsidR="00B45F33" w:rsidRPr="00B45F33" w:rsidTr="007A478C">
        <w:trPr>
          <w:trHeight w:val="379"/>
          <w:jc w:val="center"/>
        </w:trPr>
        <w:tc>
          <w:tcPr>
            <w:tcW w:w="7511" w:type="dxa"/>
            <w:shd w:val="clear" w:color="auto" w:fill="auto"/>
            <w:vAlign w:val="center"/>
            <w:hideMark/>
          </w:tcPr>
          <w:p w:rsidR="00B45F33" w:rsidRPr="00B45F33" w:rsidRDefault="00B45F33" w:rsidP="00B45F33">
            <w:pPr>
              <w:jc w:val="both"/>
              <w:rPr>
                <w:bCs/>
                <w:color w:val="000000"/>
                <w:lang w:eastAsia="en-US"/>
              </w:rPr>
            </w:pPr>
            <w:r w:rsidRPr="00B45F33">
              <w:rPr>
                <w:bCs/>
                <w:color w:val="000000"/>
                <w:lang w:eastAsia="en-US"/>
              </w:rPr>
              <w:t>echipajele de intervenţie pe ambulanţele de prim ajutor tip „B”</w:t>
            </w:r>
          </w:p>
        </w:tc>
        <w:tc>
          <w:tcPr>
            <w:tcW w:w="1260" w:type="dxa"/>
            <w:shd w:val="clear" w:color="auto" w:fill="auto"/>
            <w:vAlign w:val="center"/>
          </w:tcPr>
          <w:p w:rsidR="00B45F33" w:rsidRPr="00B45F33" w:rsidRDefault="00B45F33" w:rsidP="00B45F33">
            <w:pPr>
              <w:jc w:val="center"/>
              <w:rPr>
                <w:b/>
                <w:color w:val="000000"/>
                <w:lang w:eastAsia="en-US"/>
              </w:rPr>
            </w:pPr>
            <w:r w:rsidRPr="00B45F33">
              <w:rPr>
                <w:b/>
                <w:color w:val="000000"/>
                <w:lang w:eastAsia="en-US"/>
              </w:rPr>
              <w:t>63435</w:t>
            </w:r>
          </w:p>
        </w:tc>
        <w:tc>
          <w:tcPr>
            <w:tcW w:w="1297" w:type="dxa"/>
            <w:shd w:val="clear" w:color="auto" w:fill="auto"/>
            <w:vAlign w:val="center"/>
          </w:tcPr>
          <w:p w:rsidR="00B45F33" w:rsidRPr="00B45F33" w:rsidRDefault="00B45F33" w:rsidP="00B45F33">
            <w:pPr>
              <w:jc w:val="center"/>
              <w:rPr>
                <w:b/>
                <w:color w:val="000000"/>
                <w:lang w:eastAsia="en-US"/>
              </w:rPr>
            </w:pPr>
            <w:r w:rsidRPr="00B45F33">
              <w:rPr>
                <w:b/>
                <w:color w:val="000000"/>
                <w:lang w:eastAsia="en-US"/>
              </w:rPr>
              <w:t>72954</w:t>
            </w:r>
          </w:p>
        </w:tc>
      </w:tr>
      <w:tr w:rsidR="00B45F33" w:rsidRPr="00B45F33" w:rsidTr="007A478C">
        <w:trPr>
          <w:trHeight w:val="379"/>
          <w:jc w:val="center"/>
        </w:trPr>
        <w:tc>
          <w:tcPr>
            <w:tcW w:w="7511" w:type="dxa"/>
            <w:shd w:val="clear" w:color="auto" w:fill="auto"/>
            <w:vAlign w:val="center"/>
            <w:hideMark/>
          </w:tcPr>
          <w:p w:rsidR="00B45F33" w:rsidRPr="00B45F33" w:rsidRDefault="00B45F33" w:rsidP="00B45F33">
            <w:pPr>
              <w:jc w:val="both"/>
              <w:rPr>
                <w:bCs/>
                <w:color w:val="000000"/>
                <w:lang w:eastAsia="en-US"/>
              </w:rPr>
            </w:pPr>
            <w:r w:rsidRPr="00B45F33">
              <w:rPr>
                <w:bCs/>
                <w:color w:val="000000"/>
                <w:lang w:eastAsia="en-US"/>
              </w:rPr>
              <w:t>echipajele de intervenţie pe ambulanţa tip „C” UTIM, UTIM NN şi DSM</w:t>
            </w:r>
          </w:p>
        </w:tc>
        <w:tc>
          <w:tcPr>
            <w:tcW w:w="1260" w:type="dxa"/>
            <w:shd w:val="clear" w:color="auto" w:fill="auto"/>
            <w:vAlign w:val="center"/>
          </w:tcPr>
          <w:p w:rsidR="00B45F33" w:rsidRPr="00B45F33" w:rsidRDefault="00B45F33" w:rsidP="00B45F33">
            <w:pPr>
              <w:jc w:val="center"/>
              <w:rPr>
                <w:b/>
                <w:color w:val="000000"/>
                <w:lang w:eastAsia="en-US"/>
              </w:rPr>
            </w:pPr>
            <w:r w:rsidRPr="00B45F33">
              <w:rPr>
                <w:b/>
                <w:color w:val="000000"/>
                <w:lang w:eastAsia="en-US"/>
              </w:rPr>
              <w:t>7492</w:t>
            </w:r>
          </w:p>
        </w:tc>
        <w:tc>
          <w:tcPr>
            <w:tcW w:w="1297" w:type="dxa"/>
            <w:shd w:val="clear" w:color="auto" w:fill="auto"/>
            <w:vAlign w:val="center"/>
          </w:tcPr>
          <w:p w:rsidR="00B45F33" w:rsidRPr="00B45F33" w:rsidRDefault="00B45F33" w:rsidP="00B45F33">
            <w:pPr>
              <w:jc w:val="center"/>
              <w:rPr>
                <w:b/>
                <w:color w:val="000000"/>
                <w:lang w:eastAsia="en-US"/>
              </w:rPr>
            </w:pPr>
            <w:r w:rsidRPr="00B45F33">
              <w:rPr>
                <w:b/>
                <w:color w:val="000000"/>
                <w:lang w:eastAsia="en-US"/>
              </w:rPr>
              <w:t>8375</w:t>
            </w:r>
          </w:p>
        </w:tc>
      </w:tr>
      <w:tr w:rsidR="00B45F33" w:rsidRPr="00B45F33" w:rsidTr="007A478C">
        <w:trPr>
          <w:trHeight w:val="379"/>
          <w:jc w:val="center"/>
        </w:trPr>
        <w:tc>
          <w:tcPr>
            <w:tcW w:w="7511" w:type="dxa"/>
            <w:shd w:val="clear" w:color="auto" w:fill="auto"/>
            <w:vAlign w:val="center"/>
          </w:tcPr>
          <w:p w:rsidR="00B45F33" w:rsidRPr="00B45F33" w:rsidRDefault="00B45F33" w:rsidP="00B45F33">
            <w:pPr>
              <w:jc w:val="both"/>
              <w:rPr>
                <w:bCs/>
                <w:color w:val="000000"/>
                <w:lang w:eastAsia="en-US"/>
              </w:rPr>
            </w:pPr>
            <w:r w:rsidRPr="00B45F33">
              <w:rPr>
                <w:bCs/>
                <w:color w:val="000000"/>
                <w:lang w:eastAsia="en-US"/>
              </w:rPr>
              <w:t>echipajele de intervenţie pe motocicletă SMURD</w:t>
            </w:r>
          </w:p>
        </w:tc>
        <w:tc>
          <w:tcPr>
            <w:tcW w:w="1260" w:type="dxa"/>
            <w:shd w:val="clear" w:color="auto" w:fill="auto"/>
            <w:vAlign w:val="center"/>
          </w:tcPr>
          <w:p w:rsidR="00B45F33" w:rsidRPr="00B45F33" w:rsidRDefault="00B45F33" w:rsidP="00B45F33">
            <w:pPr>
              <w:jc w:val="center"/>
              <w:rPr>
                <w:b/>
                <w:color w:val="000000"/>
                <w:lang w:eastAsia="en-US"/>
              </w:rPr>
            </w:pPr>
            <w:r w:rsidRPr="00B45F33">
              <w:rPr>
                <w:b/>
                <w:color w:val="000000"/>
                <w:lang w:eastAsia="en-US"/>
              </w:rPr>
              <w:t>1887</w:t>
            </w:r>
          </w:p>
        </w:tc>
        <w:tc>
          <w:tcPr>
            <w:tcW w:w="1297" w:type="dxa"/>
            <w:shd w:val="clear" w:color="auto" w:fill="auto"/>
            <w:vAlign w:val="center"/>
          </w:tcPr>
          <w:p w:rsidR="00B45F33" w:rsidRPr="00B45F33" w:rsidRDefault="00B45F33" w:rsidP="00B45F33">
            <w:pPr>
              <w:jc w:val="center"/>
              <w:rPr>
                <w:b/>
                <w:color w:val="000000"/>
                <w:lang w:eastAsia="en-US"/>
              </w:rPr>
            </w:pPr>
            <w:r w:rsidRPr="00B45F33">
              <w:rPr>
                <w:b/>
                <w:color w:val="000000"/>
                <w:lang w:eastAsia="en-US"/>
              </w:rPr>
              <w:t>2259</w:t>
            </w:r>
          </w:p>
        </w:tc>
      </w:tr>
      <w:tr w:rsidR="00B45F33" w:rsidRPr="00B45F33" w:rsidTr="007A478C">
        <w:trPr>
          <w:trHeight w:val="40"/>
          <w:jc w:val="center"/>
        </w:trPr>
        <w:tc>
          <w:tcPr>
            <w:tcW w:w="7511" w:type="dxa"/>
            <w:shd w:val="clear" w:color="auto" w:fill="auto"/>
            <w:vAlign w:val="center"/>
            <w:hideMark/>
          </w:tcPr>
          <w:p w:rsidR="00B45F33" w:rsidRPr="00B45F33" w:rsidRDefault="00B45F33" w:rsidP="00B45F33">
            <w:pPr>
              <w:jc w:val="both"/>
              <w:rPr>
                <w:bCs/>
                <w:color w:val="000000"/>
                <w:lang w:eastAsia="en-US"/>
              </w:rPr>
            </w:pPr>
            <w:r w:rsidRPr="00B45F33">
              <w:rPr>
                <w:bCs/>
                <w:color w:val="000000"/>
                <w:lang w:eastAsia="en-US"/>
              </w:rPr>
              <w:t xml:space="preserve">echipajele de intervenţie pe elicopter, ATPVM, ASASPAD, ASASD, </w:t>
            </w:r>
            <w:r w:rsidRPr="00B45F33">
              <w:rPr>
                <w:bCs/>
                <w:color w:val="000000"/>
                <w:lang w:eastAsia="en-US"/>
              </w:rPr>
              <w:lastRenderedPageBreak/>
              <w:t>echipaje PP</w:t>
            </w:r>
          </w:p>
        </w:tc>
        <w:tc>
          <w:tcPr>
            <w:tcW w:w="1260" w:type="dxa"/>
            <w:shd w:val="clear" w:color="auto" w:fill="auto"/>
            <w:vAlign w:val="center"/>
          </w:tcPr>
          <w:p w:rsidR="00B45F33" w:rsidRPr="00B45F33" w:rsidRDefault="00B45F33" w:rsidP="00B45F33">
            <w:pPr>
              <w:jc w:val="center"/>
              <w:rPr>
                <w:b/>
                <w:color w:val="000000"/>
                <w:lang w:eastAsia="en-US"/>
              </w:rPr>
            </w:pPr>
            <w:r w:rsidRPr="00B45F33">
              <w:rPr>
                <w:b/>
                <w:color w:val="000000"/>
                <w:lang w:eastAsia="en-US"/>
              </w:rPr>
              <w:lastRenderedPageBreak/>
              <w:t>3005</w:t>
            </w:r>
          </w:p>
        </w:tc>
        <w:tc>
          <w:tcPr>
            <w:tcW w:w="1297" w:type="dxa"/>
            <w:shd w:val="clear" w:color="auto" w:fill="auto"/>
            <w:vAlign w:val="center"/>
          </w:tcPr>
          <w:p w:rsidR="00B45F33" w:rsidRPr="00B45F33" w:rsidRDefault="00B45F33" w:rsidP="00B45F33">
            <w:pPr>
              <w:jc w:val="center"/>
              <w:rPr>
                <w:b/>
                <w:color w:val="000000"/>
                <w:lang w:eastAsia="en-US"/>
              </w:rPr>
            </w:pPr>
            <w:r w:rsidRPr="00B45F33">
              <w:rPr>
                <w:b/>
                <w:color w:val="000000"/>
                <w:lang w:eastAsia="en-US"/>
              </w:rPr>
              <w:t>4161</w:t>
            </w:r>
          </w:p>
        </w:tc>
      </w:tr>
    </w:tbl>
    <w:p w:rsidR="00B45F33" w:rsidRPr="00B45F33" w:rsidRDefault="00B45F33" w:rsidP="00B45F33">
      <w:pPr>
        <w:jc w:val="both"/>
        <w:rPr>
          <w:lang w:eastAsia="en-US"/>
        </w:rPr>
      </w:pPr>
    </w:p>
    <w:p w:rsidR="00B45F33" w:rsidRPr="00B45F33" w:rsidRDefault="00B45F33" w:rsidP="00B45F33">
      <w:pPr>
        <w:jc w:val="both"/>
        <w:rPr>
          <w:lang w:eastAsia="en-US"/>
        </w:rPr>
      </w:pPr>
      <w:r w:rsidRPr="00B45F33">
        <w:rPr>
          <w:lang w:eastAsia="en-US"/>
        </w:rPr>
        <w:tab/>
        <w:t xml:space="preserve">În anul 2018, </w:t>
      </w:r>
      <w:r w:rsidRPr="00B45F33">
        <w:rPr>
          <w:b/>
          <w:lang w:eastAsia="en-US"/>
        </w:rPr>
        <w:t>numărul persoanelor asistate</w:t>
      </w:r>
      <w:r w:rsidRPr="00B45F33">
        <w:rPr>
          <w:lang w:eastAsia="en-US"/>
        </w:rPr>
        <w:t xml:space="preserve"> </w:t>
      </w:r>
      <w:r w:rsidRPr="00B45F33">
        <w:rPr>
          <w:b/>
          <w:lang w:eastAsia="en-US"/>
        </w:rPr>
        <w:t>a crescut cu 15%</w:t>
      </w:r>
      <w:r w:rsidRPr="00B45F33">
        <w:rPr>
          <w:lang w:eastAsia="en-US"/>
        </w:rPr>
        <w:t xml:space="preserve"> faţă de cel înregistrat în anul 2017, de la 71163 la </w:t>
      </w:r>
      <w:r w:rsidRPr="00B45F33">
        <w:rPr>
          <w:b/>
          <w:lang w:eastAsia="en-US"/>
        </w:rPr>
        <w:t>83511 persoane</w:t>
      </w:r>
      <w:r w:rsidRPr="00B45F33">
        <w:rPr>
          <w:lang w:eastAsia="en-US"/>
        </w:rPr>
        <w:t>.</w:t>
      </w:r>
    </w:p>
    <w:p w:rsidR="00B45F33" w:rsidRPr="00B45F33" w:rsidRDefault="00B45F33" w:rsidP="00B45F33">
      <w:pPr>
        <w:jc w:val="center"/>
        <w:rPr>
          <w:b/>
          <w:lang w:eastAsia="en-US"/>
        </w:rPr>
      </w:pPr>
      <w:r w:rsidRPr="00B45F33">
        <w:rPr>
          <w:b/>
          <w:lang w:eastAsia="en-US"/>
        </w:rPr>
        <w:t>Persoane asistate</w:t>
      </w:r>
    </w:p>
    <w:p w:rsidR="00B45F33" w:rsidRPr="00B45F33" w:rsidRDefault="00B45F33" w:rsidP="00B45F33">
      <w:pPr>
        <w:jc w:val="center"/>
        <w:rPr>
          <w:lang w:eastAsia="en-US"/>
        </w:rPr>
      </w:pPr>
      <w:r w:rsidRPr="00B45F33">
        <w:rPr>
          <w:noProof/>
        </w:rPr>
        <w:drawing>
          <wp:inline distT="0" distB="0" distL="0" distR="0">
            <wp:extent cx="5695950" cy="819150"/>
            <wp:effectExtent l="0" t="0" r="19050" b="19050"/>
            <wp:docPr id="72"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45F33" w:rsidRPr="00B45F33" w:rsidRDefault="00B45F33" w:rsidP="00B45F33">
      <w:pPr>
        <w:jc w:val="both"/>
        <w:rPr>
          <w:lang w:eastAsia="en-US"/>
        </w:rPr>
      </w:pPr>
      <w:r w:rsidRPr="00B45F33">
        <w:rPr>
          <w:lang w:eastAsia="en-US"/>
        </w:rPr>
        <w:tab/>
      </w:r>
    </w:p>
    <w:p w:rsidR="00B45F33" w:rsidRPr="00B45F33" w:rsidRDefault="00B45F33" w:rsidP="00B45F33">
      <w:pPr>
        <w:jc w:val="both"/>
        <w:rPr>
          <w:b/>
          <w:i/>
          <w:lang w:eastAsia="en-US"/>
        </w:rPr>
      </w:pPr>
      <w:r w:rsidRPr="00B45F33">
        <w:rPr>
          <w:lang w:eastAsia="en-US"/>
        </w:rPr>
        <w:tab/>
      </w:r>
      <w:r w:rsidRPr="00B45F33">
        <w:rPr>
          <w:b/>
          <w:i/>
          <w:lang w:eastAsia="en-US"/>
        </w:rPr>
        <w:t>Analiza stopurilor cardio respiratorii:</w:t>
      </w:r>
    </w:p>
    <w:p w:rsidR="00B45F33" w:rsidRPr="00B45F33" w:rsidRDefault="00B45F33" w:rsidP="00B45F33">
      <w:pPr>
        <w:jc w:val="both"/>
        <w:rPr>
          <w:lang w:eastAsia="en-US"/>
        </w:rPr>
      </w:pPr>
      <w:r w:rsidRPr="00B45F33">
        <w:rPr>
          <w:lang w:eastAsia="en-US"/>
        </w:rPr>
        <w:tab/>
        <w:t xml:space="preserve">În anul 2018, numărul solicitărilor pentru intervenţia la stopuri cardio-respiratorii </w:t>
      </w:r>
      <w:r w:rsidRPr="00B45F33">
        <w:rPr>
          <w:b/>
          <w:lang w:eastAsia="en-US"/>
        </w:rPr>
        <w:t xml:space="preserve">a crescut cu 23% </w:t>
      </w:r>
      <w:r w:rsidRPr="00B45F33">
        <w:rPr>
          <w:lang w:eastAsia="en-US"/>
        </w:rPr>
        <w:t>faţă de cel înregistrat în anul 2017 (de la 2004 la 2472 solicitări).</w:t>
      </w:r>
    </w:p>
    <w:p w:rsidR="00B45F33" w:rsidRPr="00B45F33" w:rsidRDefault="00B45F33" w:rsidP="00B45F33">
      <w:pPr>
        <w:shd w:val="clear" w:color="auto" w:fill="FFFFFF"/>
        <w:tabs>
          <w:tab w:val="left" w:pos="0"/>
        </w:tabs>
        <w:jc w:val="both"/>
        <w:rPr>
          <w:lang w:eastAsia="en-US"/>
        </w:rPr>
      </w:pPr>
      <w:r w:rsidRPr="00B45F33">
        <w:rPr>
          <w:lang w:eastAsia="en-US"/>
        </w:rPr>
        <w:tab/>
        <w:t>În anul 2018</w:t>
      </w:r>
      <w:r w:rsidRPr="00B45F33">
        <w:rPr>
          <w:i/>
          <w:lang w:eastAsia="en-US"/>
        </w:rPr>
        <w:t>, echipajele SMURD PA-T</w:t>
      </w:r>
      <w:r w:rsidRPr="00B45F33">
        <w:rPr>
          <w:lang w:eastAsia="en-US"/>
        </w:rPr>
        <w:t xml:space="preserve">au înregistrat un </w:t>
      </w:r>
      <w:r w:rsidRPr="00B45F33">
        <w:rPr>
          <w:b/>
          <w:i/>
          <w:lang w:eastAsia="en-US"/>
        </w:rPr>
        <w:t>timp mediu de deplasare la caz</w:t>
      </w:r>
      <w:r w:rsidRPr="00B45F33">
        <w:rPr>
          <w:lang w:eastAsia="en-US"/>
        </w:rPr>
        <w:t xml:space="preserve"> în</w:t>
      </w:r>
      <w:r w:rsidRPr="00B45F33">
        <w:rPr>
          <w:b/>
          <w:lang w:eastAsia="en-US"/>
        </w:rPr>
        <w:t xml:space="preserve"> mediul urban </w:t>
      </w:r>
      <w:r w:rsidRPr="00B45F33">
        <w:rPr>
          <w:lang w:eastAsia="en-US"/>
        </w:rPr>
        <w:t>de</w:t>
      </w:r>
      <w:r w:rsidRPr="00B45F33">
        <w:rPr>
          <w:b/>
          <w:lang w:eastAsia="en-US"/>
        </w:rPr>
        <w:t xml:space="preserve"> 8 min 27 sec </w:t>
      </w:r>
      <w:r w:rsidRPr="00B45F33">
        <w:rPr>
          <w:lang w:eastAsia="en-US"/>
        </w:rPr>
        <w:t>şi în</w:t>
      </w:r>
      <w:r w:rsidRPr="00B45F33">
        <w:rPr>
          <w:b/>
          <w:lang w:eastAsia="en-US"/>
        </w:rPr>
        <w:t xml:space="preserve"> mediul rural </w:t>
      </w:r>
      <w:r w:rsidRPr="00B45F33">
        <w:rPr>
          <w:lang w:eastAsia="en-US"/>
        </w:rPr>
        <w:t>de</w:t>
      </w:r>
      <w:r w:rsidRPr="00B45F33">
        <w:rPr>
          <w:b/>
          <w:lang w:eastAsia="en-US"/>
        </w:rPr>
        <w:t xml:space="preserve"> 13 min 36 sec</w:t>
      </w:r>
      <w:r w:rsidRPr="00B45F33">
        <w:rPr>
          <w:lang w:eastAsia="en-US"/>
        </w:rPr>
        <w:t>.</w:t>
      </w:r>
    </w:p>
    <w:p w:rsidR="00B45F33" w:rsidRPr="00B45F33" w:rsidRDefault="00B45F33" w:rsidP="00B45F33">
      <w:pPr>
        <w:jc w:val="both"/>
        <w:rPr>
          <w:lang w:eastAsia="en-US"/>
        </w:rPr>
      </w:pPr>
      <w:r w:rsidRPr="00B45F33">
        <w:rPr>
          <w:b/>
          <w:i/>
          <w:lang w:eastAsia="en-US"/>
        </w:rPr>
        <w:tab/>
        <w:t>Timpul mediu de intervenție</w:t>
      </w:r>
      <w:r w:rsidRPr="00B45F33">
        <w:rPr>
          <w:lang w:eastAsia="en-US"/>
        </w:rPr>
        <w:t xml:space="preserve"> al echipajelor SMURD PA-T în anul 2018 față de cel înregistrat în anul 2017, </w:t>
      </w:r>
      <w:r w:rsidRPr="00B45F33">
        <w:rPr>
          <w:b/>
          <w:lang w:eastAsia="en-US"/>
        </w:rPr>
        <w:t>a scăzut cu 7,5 %</w:t>
      </w:r>
      <w:r w:rsidRPr="00B45F33">
        <w:rPr>
          <w:lang w:eastAsia="en-US"/>
        </w:rPr>
        <w:t xml:space="preserve"> (de la 43 min la 40 min). </w:t>
      </w:r>
    </w:p>
    <w:p w:rsidR="00B45F33" w:rsidRPr="00B45F33" w:rsidRDefault="00B45F33" w:rsidP="00B45F33">
      <w:pPr>
        <w:jc w:val="both"/>
        <w:rPr>
          <w:lang w:eastAsia="en-US"/>
        </w:rPr>
      </w:pPr>
      <w:r w:rsidRPr="00B45F33">
        <w:rPr>
          <w:lang w:eastAsia="en-US"/>
        </w:rPr>
        <w:tab/>
        <w:t xml:space="preserve">În funcție de modificările/ completările survenite față de datele inițiale, s-a procedat </w:t>
      </w:r>
      <w:r w:rsidRPr="00B45F33">
        <w:rPr>
          <w:b/>
          <w:lang w:eastAsia="en-US"/>
        </w:rPr>
        <w:t>permanent</w:t>
      </w:r>
      <w:r w:rsidRPr="00B45F33">
        <w:rPr>
          <w:lang w:eastAsia="en-US"/>
        </w:rPr>
        <w:t xml:space="preserve"> la </w:t>
      </w:r>
      <w:r w:rsidRPr="00B45F33">
        <w:rPr>
          <w:b/>
          <w:lang w:eastAsia="en-US"/>
        </w:rPr>
        <w:t>actualizarea Planului Roșu de Intervenție</w:t>
      </w:r>
      <w:r w:rsidRPr="00B45F33">
        <w:rPr>
          <w:lang w:eastAsia="en-US"/>
        </w:rPr>
        <w:t xml:space="preserve"> la nivelul municipiului București și județului Ilfov, inclusiv corespondență cu I.S.U.J.-urile limitrofe în acest sens.</w:t>
      </w:r>
    </w:p>
    <w:p w:rsidR="00B45F33" w:rsidRPr="00B45F33" w:rsidRDefault="00B45F33" w:rsidP="00B45F33">
      <w:pPr>
        <w:tabs>
          <w:tab w:val="left" w:pos="990"/>
        </w:tabs>
        <w:ind w:left="709"/>
        <w:rPr>
          <w:b/>
          <w:u w:val="single"/>
          <w:lang w:eastAsia="en-US"/>
        </w:rPr>
      </w:pPr>
      <w:r w:rsidRPr="00B45F33">
        <w:rPr>
          <w:b/>
          <w:u w:val="single"/>
          <w:lang w:eastAsia="en-US"/>
        </w:rPr>
        <w:t>PREGĂTIRE</w:t>
      </w:r>
    </w:p>
    <w:p w:rsidR="00B45F33" w:rsidRPr="00B45F33" w:rsidRDefault="00B45F33" w:rsidP="00B45F33">
      <w:pPr>
        <w:jc w:val="both"/>
        <w:rPr>
          <w:lang w:eastAsia="en-US"/>
        </w:rPr>
      </w:pPr>
      <w:r w:rsidRPr="00B45F33">
        <w:rPr>
          <w:lang w:eastAsia="en-US"/>
        </w:rPr>
        <w:tab/>
        <w:t xml:space="preserve">La nivelul inspectoratului, prin Centrul de  Formare şi Pregătire în Descarcerare şi Asistenţă Medicală de Urgenţă, se  asigură organizarea, conducerea şi evaluarea activităţilor de pregătire în domeniul asistenţei medicale de urgenţă şi descarcerării a personalului din cadrul inspectoratelor pentru situaţii de urgenţă şi unităţilor din Ministerul Afacerilor Interne, precum şi a altor organe ale statului (unităţi din cadrul Ministerului Apărării Naționale, Serviciile Publice Salvamont) din București și din județele arondate. În acest sens, la CFPDAMU au fost pregătiţi un număr de </w:t>
      </w:r>
      <w:r w:rsidRPr="00B45F33">
        <w:rPr>
          <w:b/>
          <w:lang w:eastAsia="en-US"/>
        </w:rPr>
        <w:t>555 persoane</w:t>
      </w:r>
      <w:r w:rsidRPr="00B45F33">
        <w:rPr>
          <w:lang w:eastAsia="en-US"/>
        </w:rPr>
        <w:t xml:space="preserve"> la următoarele cursuri şi stagii de pregătire:</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cursul de acordare a primului ajutor calificat, descarcerare și operațiuni de salvare: 67 de cursanţi din care 56 de absolvenţi, 10 respinşi şi 1 retras;</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cursul de consolidare a cunostintelor si dobândire de noi competențe- prim-ajutor calificat: 26 de cursanţi din care 25 de absolvenţi şi 1 retras;</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stagiul de pregatire a personalului paramedical absolvent al cursului de prim-ajutor calificat, descarcerare si operatiuni de salvare: 154 de cursanţi din care 141 de absolvenţi, 6 respinşi şi 7 retraşi;</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stagiul de pregătire a personalului paramedical absolvent al cursului de consolidare a cunoștințelor și dobândire de noi competențe- prim-ajutor calificat: 5 cursanţi absolvenţi;</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cursul de pregătire a voluntarilor în acordarea primului ajutor de bază: 51 de cursanţi din care 50 de absolvenţi şi 1 respins;</w:t>
      </w:r>
    </w:p>
    <w:p w:rsidR="00B45F33" w:rsidRPr="00B45F33" w:rsidRDefault="00B45F33" w:rsidP="00B45F33">
      <w:pPr>
        <w:jc w:val="both"/>
        <w:rPr>
          <w:iCs/>
          <w:noProof/>
          <w:spacing w:val="3"/>
          <w:shd w:val="clear" w:color="auto" w:fill="FFFFFF"/>
          <w:lang w:eastAsia="en-US"/>
        </w:rPr>
      </w:pPr>
      <w:r w:rsidRPr="00B45F33">
        <w:rPr>
          <w:lang w:eastAsia="en-US"/>
        </w:rPr>
        <w:tab/>
        <w:t>În conformitate cu prevederile Ordinului Inspectorului Sef nr. 2/18/I - BIF din 12.04.2018 privind</w:t>
      </w:r>
      <w:r w:rsidRPr="00B45F33">
        <w:rPr>
          <w:i/>
          <w:iCs/>
          <w:noProof/>
          <w:spacing w:val="3"/>
          <w:shd w:val="clear" w:color="auto" w:fill="FFFFFF"/>
          <w:lang w:eastAsia="en-US"/>
        </w:rPr>
        <w:t xml:space="preserve"> organizarea şi desfăşurarea formării profesionale continue a personalului operativ din subunităţile de intervenţie ale I.S.U.”D.S.” B.-IF. cu modificările și completările ulterioare </w:t>
      </w:r>
      <w:r w:rsidRPr="00B45F33">
        <w:rPr>
          <w:iCs/>
          <w:noProof/>
          <w:spacing w:val="3"/>
          <w:shd w:val="clear" w:color="auto" w:fill="FFFFFF"/>
          <w:lang w:eastAsia="en-US"/>
        </w:rPr>
        <w:t>în perioada octombrie – decembrie 2018, s-a desfășurat evaluarea teoretică și practică pe linia acordării primului ajutor calificat a personalului paramedical.</w:t>
      </w:r>
    </w:p>
    <w:p w:rsidR="00B45F33" w:rsidRPr="00B45F33" w:rsidRDefault="00B45F33" w:rsidP="00B45F33">
      <w:pPr>
        <w:tabs>
          <w:tab w:val="left" w:pos="0"/>
        </w:tabs>
        <w:ind w:right="-1" w:firstLine="709"/>
        <w:contextualSpacing/>
        <w:jc w:val="both"/>
        <w:rPr>
          <w:iCs/>
          <w:noProof/>
          <w:spacing w:val="3"/>
          <w:shd w:val="clear" w:color="auto" w:fill="FFFFFF"/>
          <w:lang w:eastAsia="en-US"/>
        </w:rPr>
      </w:pPr>
      <w:r w:rsidRPr="00B45F33">
        <w:rPr>
          <w:iCs/>
          <w:noProof/>
          <w:spacing w:val="3"/>
          <w:shd w:val="clear" w:color="auto" w:fill="FFFFFF"/>
          <w:lang w:eastAsia="en-US"/>
        </w:rPr>
        <w:t xml:space="preserve">În </w:t>
      </w:r>
      <w:r w:rsidRPr="00B45F33">
        <w:rPr>
          <w:lang w:eastAsia="en-US"/>
        </w:rPr>
        <w:t>urma</w:t>
      </w:r>
      <w:r w:rsidRPr="00B45F33">
        <w:rPr>
          <w:iCs/>
          <w:noProof/>
          <w:spacing w:val="3"/>
          <w:shd w:val="clear" w:color="auto" w:fill="FFFFFF"/>
          <w:lang w:eastAsia="en-US"/>
        </w:rPr>
        <w:t xml:space="preserve"> analizării notelor obținute s-a constatat că </w:t>
      </w:r>
      <w:r w:rsidRPr="00B45F33">
        <w:rPr>
          <w:b/>
          <w:iCs/>
          <w:noProof/>
          <w:spacing w:val="3"/>
          <w:shd w:val="clear" w:color="auto" w:fill="FFFFFF"/>
          <w:lang w:eastAsia="en-US"/>
        </w:rPr>
        <w:t>1935 paramedici au fost evaluați</w:t>
      </w:r>
      <w:r w:rsidRPr="00B45F33">
        <w:rPr>
          <w:iCs/>
          <w:noProof/>
          <w:spacing w:val="3"/>
          <w:shd w:val="clear" w:color="auto" w:fill="FFFFFF"/>
          <w:lang w:eastAsia="en-US"/>
        </w:rPr>
        <w:t xml:space="preserve"> dintre care </w:t>
      </w:r>
      <w:r w:rsidRPr="00B45F33">
        <w:rPr>
          <w:b/>
          <w:iCs/>
          <w:noProof/>
          <w:spacing w:val="3"/>
          <w:shd w:val="clear" w:color="auto" w:fill="FFFFFF"/>
          <w:lang w:eastAsia="en-US"/>
        </w:rPr>
        <w:t xml:space="preserve">12 voluntari </w:t>
      </w:r>
      <w:r w:rsidRPr="00B45F33">
        <w:rPr>
          <w:iCs/>
          <w:noProof/>
          <w:spacing w:val="3"/>
          <w:shd w:val="clear" w:color="auto" w:fill="FFFFFF"/>
          <w:lang w:eastAsia="en-US"/>
        </w:rPr>
        <w:t xml:space="preserve">şi </w:t>
      </w:r>
      <w:r w:rsidRPr="00B45F33">
        <w:rPr>
          <w:b/>
          <w:iCs/>
          <w:noProof/>
          <w:spacing w:val="3"/>
          <w:shd w:val="clear" w:color="auto" w:fill="FFFFFF"/>
          <w:lang w:eastAsia="en-US"/>
        </w:rPr>
        <w:t xml:space="preserve">16 voluntari contractuali din cadrul SVSU Voluntari, </w:t>
      </w:r>
      <w:r w:rsidRPr="00B45F33">
        <w:rPr>
          <w:iCs/>
          <w:noProof/>
          <w:spacing w:val="3"/>
          <w:shd w:val="clear" w:color="auto" w:fill="FFFFFF"/>
          <w:lang w:eastAsia="en-US"/>
        </w:rPr>
        <w:t>iar</w:t>
      </w:r>
      <w:r w:rsidRPr="00B45F33">
        <w:rPr>
          <w:b/>
          <w:iCs/>
          <w:noProof/>
          <w:spacing w:val="3"/>
          <w:shd w:val="clear" w:color="auto" w:fill="FFFFFF"/>
          <w:lang w:eastAsia="en-US"/>
        </w:rPr>
        <w:t xml:space="preserve"> 12 paramedici </w:t>
      </w:r>
      <w:r w:rsidRPr="00B45F33">
        <w:rPr>
          <w:iCs/>
          <w:noProof/>
          <w:spacing w:val="3"/>
          <w:shd w:val="clear" w:color="auto" w:fill="FFFFFF"/>
          <w:lang w:eastAsia="en-US"/>
        </w:rPr>
        <w:t xml:space="preserve">au obținut </w:t>
      </w:r>
      <w:r w:rsidRPr="00B45F33">
        <w:rPr>
          <w:b/>
          <w:iCs/>
          <w:noProof/>
          <w:spacing w:val="3"/>
          <w:shd w:val="clear" w:color="auto" w:fill="FFFFFF"/>
          <w:lang w:eastAsia="en-US"/>
        </w:rPr>
        <w:t>calificative necorespunzătoare</w:t>
      </w:r>
      <w:r w:rsidRPr="00B45F33">
        <w:rPr>
          <w:iCs/>
          <w:noProof/>
          <w:spacing w:val="3"/>
          <w:shd w:val="clear" w:color="auto" w:fill="FFFFFF"/>
          <w:lang w:eastAsia="en-US"/>
        </w:rPr>
        <w:t xml:space="preserve"> prin note care se încadrează prevederilor ISU 06/2018 (nota mai mică ca 5 la una din probe și media mai mică ca 6).</w:t>
      </w:r>
    </w:p>
    <w:p w:rsidR="00B45F33" w:rsidRPr="00B45F33" w:rsidRDefault="00B45F33" w:rsidP="00B45F33">
      <w:pPr>
        <w:tabs>
          <w:tab w:val="left" w:pos="0"/>
          <w:tab w:val="left" w:pos="567"/>
        </w:tabs>
        <w:ind w:right="-1" w:firstLine="709"/>
        <w:jc w:val="both"/>
        <w:rPr>
          <w:spacing w:val="-2"/>
          <w:lang w:eastAsia="en-US"/>
        </w:rPr>
      </w:pPr>
      <w:r w:rsidRPr="00B45F33">
        <w:rPr>
          <w:spacing w:val="-2"/>
          <w:lang w:eastAsia="en-US"/>
        </w:rPr>
        <w:lastRenderedPageBreak/>
        <w:t>Pe parcursul anului 2018, personalul paramedical a fost verificat prin sondaj referitor la modul de completare a documentelor operative, precum și timpii de intervenție și de decontaminare.</w:t>
      </w:r>
    </w:p>
    <w:p w:rsidR="00B45F33" w:rsidRPr="00B45F33" w:rsidRDefault="00B45F33" w:rsidP="00B45F33">
      <w:pPr>
        <w:tabs>
          <w:tab w:val="left" w:pos="0"/>
          <w:tab w:val="left" w:pos="567"/>
        </w:tabs>
        <w:ind w:right="-1" w:firstLine="709"/>
        <w:jc w:val="both"/>
        <w:rPr>
          <w:spacing w:val="-2"/>
          <w:lang w:eastAsia="en-US"/>
        </w:rPr>
      </w:pPr>
      <w:r w:rsidRPr="00B45F33">
        <w:rPr>
          <w:spacing w:val="-2"/>
          <w:lang w:eastAsia="en-US"/>
        </w:rPr>
        <w:t>Au fost constatate unele situații în care se observă că timpul de decontaminare de nivel înalt este mai mare decât prevede producătorul substanțelor de decontaminare, iar modul de utilizare a acestor substanțe și timpul de imersie a materialelor termostabile și termolabile nu este cunoscut/respectat de către toți paramedicii.</w:t>
      </w:r>
    </w:p>
    <w:p w:rsidR="00B45F33" w:rsidRPr="00B45F33" w:rsidRDefault="00B45F33" w:rsidP="00B45F33">
      <w:pPr>
        <w:keepNext/>
        <w:jc w:val="both"/>
        <w:outlineLvl w:val="7"/>
        <w:rPr>
          <w:b/>
          <w:bCs/>
          <w:u w:val="single"/>
          <w:lang w:eastAsia="en-US"/>
        </w:rPr>
      </w:pPr>
      <w:r w:rsidRPr="00B45F33">
        <w:rPr>
          <w:b/>
          <w:bCs/>
          <w:lang w:eastAsia="en-US"/>
        </w:rPr>
        <w:tab/>
      </w:r>
      <w:r w:rsidRPr="00B45F33">
        <w:rPr>
          <w:b/>
          <w:bCs/>
          <w:u w:val="single"/>
          <w:lang w:eastAsia="en-US"/>
        </w:rPr>
        <w:t>MANAGEMENT OPERAŢIONAL</w:t>
      </w:r>
    </w:p>
    <w:p w:rsidR="00B45F33" w:rsidRPr="00B45F33" w:rsidRDefault="00B45F33" w:rsidP="00B45F33">
      <w:pPr>
        <w:ind w:left="709"/>
        <w:jc w:val="both"/>
        <w:rPr>
          <w:b/>
          <w:lang w:eastAsia="en-US"/>
        </w:rPr>
      </w:pPr>
      <w:r w:rsidRPr="00B45F33">
        <w:rPr>
          <w:b/>
          <w:lang w:eastAsia="en-US"/>
        </w:rPr>
        <w:t>Dispecerizarea situaţiilor de urgenţă</w:t>
      </w:r>
    </w:p>
    <w:p w:rsidR="00B45F33" w:rsidRPr="00B45F33" w:rsidRDefault="00B45F33" w:rsidP="00B45F33">
      <w:pPr>
        <w:jc w:val="both"/>
        <w:rPr>
          <w:lang w:eastAsia="en-US"/>
        </w:rPr>
      </w:pPr>
      <w:r w:rsidRPr="00B45F33">
        <w:rPr>
          <w:lang w:eastAsia="en-US"/>
        </w:rPr>
        <w:tab/>
        <w:t xml:space="preserve">În conformitate cu Proiectul aprobat și finanțat în baza Hotărârii nr. 100/26.05.2011 a Consiliului General al Municipiului București, s-a construit </w:t>
      </w:r>
      <w:r w:rsidRPr="00B45F33">
        <w:rPr>
          <w:b/>
          <w:lang w:eastAsia="en-US"/>
        </w:rPr>
        <w:t>Centru Municipal Integrat pentru Situații de Urgență</w:t>
      </w:r>
      <w:r w:rsidRPr="00B45F33">
        <w:rPr>
          <w:lang w:eastAsia="en-US"/>
        </w:rPr>
        <w:t>, situat în imobilul din șos. Cotroceni nr. 34, sector 6, București în scopul de a reuni toate dispeceratele instituțiilor și serviciilor implicate în procesul de gestionare a situațiilor de urgentă din municipiul București.</w:t>
      </w:r>
    </w:p>
    <w:p w:rsidR="00B45F33" w:rsidRPr="00B45F33" w:rsidRDefault="00B45F33" w:rsidP="00B45F33">
      <w:pPr>
        <w:jc w:val="both"/>
        <w:rPr>
          <w:lang w:eastAsia="en-US"/>
        </w:rPr>
      </w:pPr>
      <w:r w:rsidRPr="00B45F33">
        <w:rPr>
          <w:lang w:eastAsia="en-US"/>
        </w:rPr>
        <w:tab/>
        <w:t xml:space="preserve">Având în vedere dispoziția Secretarului de Stat, Șef al Departamentului pentru Situații de Urgență nr. 545 din 18.06.2018, </w:t>
      </w:r>
      <w:r w:rsidRPr="00B45F33">
        <w:rPr>
          <w:b/>
          <w:lang w:eastAsia="en-US"/>
        </w:rPr>
        <w:t>începând cu data de 11.06.2018, personalul din cadrul ISU București-Ilfov și cel din cadru UPU-SMURD București care își desfășoară activitatea în dispeceratul ISU-SMURD</w:t>
      </w:r>
      <w:r w:rsidRPr="00B45F33">
        <w:rPr>
          <w:lang w:eastAsia="en-US"/>
        </w:rPr>
        <w:t>, operează în noua locație situată în Șoseaua Cotroceni, nr. 34, sector 6, București.</w:t>
      </w:r>
    </w:p>
    <w:p w:rsidR="00B45F33" w:rsidRPr="00B45F33" w:rsidRDefault="00B45F33" w:rsidP="00B45F33">
      <w:pPr>
        <w:jc w:val="center"/>
        <w:rPr>
          <w:lang w:eastAsia="en-US"/>
        </w:rPr>
      </w:pPr>
    </w:p>
    <w:p w:rsidR="00B45F33" w:rsidRPr="00B45F33" w:rsidRDefault="00B45F33" w:rsidP="00B45F33">
      <w:pPr>
        <w:jc w:val="both"/>
        <w:rPr>
          <w:lang w:eastAsia="en-US"/>
        </w:rPr>
      </w:pPr>
      <w:r w:rsidRPr="00B45F33">
        <w:rPr>
          <w:lang w:eastAsia="en-US"/>
        </w:rPr>
        <w:tab/>
        <w:t xml:space="preserve">În anul 2018, la nivelul dispeceratului ISU B-IF s-au gestionat </w:t>
      </w:r>
      <w:r w:rsidRPr="00B45F33">
        <w:rPr>
          <w:b/>
          <w:lang w:eastAsia="en-US"/>
        </w:rPr>
        <w:t>283963 apeluri prin 112</w:t>
      </w:r>
      <w:r w:rsidRPr="00B45F33">
        <w:rPr>
          <w:lang w:eastAsia="en-US"/>
        </w:rPr>
        <w:t xml:space="preserve"> din care 183553 pe linie SMURD. </w:t>
      </w:r>
    </w:p>
    <w:p w:rsidR="00B45F33" w:rsidRPr="00B45F33" w:rsidRDefault="00B45F33" w:rsidP="00B45F33">
      <w:pPr>
        <w:ind w:left="709"/>
        <w:jc w:val="both"/>
        <w:rPr>
          <w:b/>
          <w:u w:val="single"/>
          <w:lang w:eastAsia="en-US"/>
        </w:rPr>
      </w:pPr>
      <w:r w:rsidRPr="00B45F33">
        <w:rPr>
          <w:b/>
          <w:u w:val="single"/>
          <w:lang w:eastAsia="en-US"/>
        </w:rPr>
        <w:t>COORDONARE ŞI CONDUCERE INTERVENŢII</w:t>
      </w:r>
    </w:p>
    <w:p w:rsidR="00B45F33" w:rsidRPr="00B45F33" w:rsidRDefault="00B45F33" w:rsidP="00B45F33">
      <w:pPr>
        <w:ind w:firstLine="720"/>
        <w:jc w:val="both"/>
        <w:rPr>
          <w:lang w:eastAsia="en-US"/>
        </w:rPr>
      </w:pPr>
      <w:r w:rsidRPr="00B45F33">
        <w:rPr>
          <w:lang w:eastAsia="en-US"/>
        </w:rPr>
        <w:t>Intervenţii de amploare în anul 2018:</w:t>
      </w:r>
    </w:p>
    <w:p w:rsidR="00B45F33" w:rsidRPr="00B45F33" w:rsidRDefault="00B45F33" w:rsidP="00980D72">
      <w:pPr>
        <w:numPr>
          <w:ilvl w:val="0"/>
          <w:numId w:val="29"/>
        </w:numPr>
        <w:spacing w:line="276" w:lineRule="auto"/>
        <w:ind w:left="0" w:firstLine="0"/>
        <w:jc w:val="both"/>
        <w:rPr>
          <w:b/>
          <w:lang w:eastAsia="en-US"/>
        </w:rPr>
      </w:pPr>
      <w:r w:rsidRPr="00B45F33">
        <w:rPr>
          <w:b/>
          <w:lang w:val="en-US" w:eastAsia="en-US"/>
        </w:rPr>
        <w:t xml:space="preserve">12.05.2018 incendiu </w:t>
      </w:r>
      <w:r w:rsidRPr="00B45F33">
        <w:rPr>
          <w:lang w:val="en-US" w:eastAsia="en-US"/>
        </w:rPr>
        <w:t>str. Intrarea Făureşti nr. 8, sector 2, Bucureşti</w:t>
      </w:r>
    </w:p>
    <w:p w:rsidR="00B45F33" w:rsidRPr="00B45F33" w:rsidRDefault="00B45F33" w:rsidP="00B45F33">
      <w:pPr>
        <w:ind w:firstLine="720"/>
        <w:jc w:val="both"/>
        <w:rPr>
          <w:bCs/>
          <w:lang w:val="en-US" w:eastAsia="en-US"/>
        </w:rPr>
      </w:pPr>
      <w:r w:rsidRPr="00B45F33">
        <w:rPr>
          <w:bCs/>
          <w:lang w:val="en-US" w:eastAsia="en-US"/>
        </w:rPr>
        <w:t xml:space="preserve">Evenimentul a constat în  producerea unui </w:t>
      </w:r>
      <w:r w:rsidRPr="00B45F33">
        <w:rPr>
          <w:b/>
          <w:bCs/>
          <w:i/>
          <w:lang w:val="en-US" w:eastAsia="en-US"/>
        </w:rPr>
        <w:t>incendiu care a afectat 6 imobile</w:t>
      </w:r>
      <w:r w:rsidRPr="00B45F33">
        <w:rPr>
          <w:bCs/>
          <w:lang w:val="en-US" w:eastAsia="en-US"/>
        </w:rPr>
        <w:t xml:space="preserve"> datorită faptului că l</w:t>
      </w:r>
      <w:r w:rsidRPr="00B45F33">
        <w:rPr>
          <w:lang w:val="en-US" w:eastAsia="en-US"/>
        </w:rPr>
        <w:t xml:space="preserve">ocuințele (case, anexe) afectate de incendiu erau de tip parter cu acoperiș cu pod din lemn </w:t>
      </w:r>
      <w:r w:rsidRPr="00B45F33">
        <w:rPr>
          <w:lang w:eastAsia="en-US"/>
        </w:rPr>
        <w:t>ş</w:t>
      </w:r>
      <w:r w:rsidRPr="00B45F33">
        <w:rPr>
          <w:lang w:val="en-US" w:eastAsia="en-US"/>
        </w:rPr>
        <w:t>i învelitori din tablă sau carton asfaltat, lipite unele de altele sau aflate în imediata apropiere</w:t>
      </w:r>
      <w:r w:rsidRPr="00B45F33">
        <w:rPr>
          <w:bCs/>
          <w:lang w:val="en-US" w:eastAsia="en-US"/>
        </w:rPr>
        <w:t>, prezentând numeroase aglomerări de materiale combustibile depozitate necorespunzător.</w:t>
      </w:r>
    </w:p>
    <w:p w:rsidR="00B45F33" w:rsidRPr="00B45F33" w:rsidRDefault="00B45F33" w:rsidP="00B45F33">
      <w:pPr>
        <w:autoSpaceDE w:val="0"/>
        <w:autoSpaceDN w:val="0"/>
        <w:adjustRightInd w:val="0"/>
        <w:ind w:firstLine="708"/>
        <w:jc w:val="both"/>
        <w:rPr>
          <w:color w:val="000000"/>
          <w:lang w:eastAsia="en-US"/>
        </w:rPr>
      </w:pPr>
      <w:r w:rsidRPr="00B45F33">
        <w:rPr>
          <w:color w:val="000000"/>
          <w:lang w:eastAsia="en-US"/>
        </w:rPr>
        <w:t>La intervenție au participat următoarele forţe de intervenţie:</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autospeciale: 17 ASAS, 2 AspISI, 2 AspID, 1 ACI,  4 PA, 1 UTIM, 1 PCM;</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personal: 99 de cadre militare dintre care 11 ofițeri și 88 subofițeri.</w:t>
      </w:r>
    </w:p>
    <w:p w:rsidR="00B45F33" w:rsidRPr="00B45F33" w:rsidRDefault="00B45F33" w:rsidP="00980D72">
      <w:pPr>
        <w:numPr>
          <w:ilvl w:val="0"/>
          <w:numId w:val="29"/>
        </w:numPr>
        <w:spacing w:line="276" w:lineRule="auto"/>
        <w:ind w:left="0" w:firstLine="0"/>
        <w:jc w:val="both"/>
        <w:rPr>
          <w:b/>
          <w:lang w:val="en-US" w:eastAsia="en-US"/>
        </w:rPr>
      </w:pPr>
      <w:r w:rsidRPr="00B45F33">
        <w:rPr>
          <w:b/>
          <w:lang w:val="en-US" w:eastAsia="en-US"/>
        </w:rPr>
        <w:t>28.05.2018 incendiu Şcoala nr. 124, str. Mărgeanului nr. 25 A, sector 5, Bucureşti</w:t>
      </w:r>
    </w:p>
    <w:p w:rsidR="00B45F33" w:rsidRPr="00B45F33" w:rsidRDefault="00B45F33" w:rsidP="00B45F33">
      <w:pPr>
        <w:jc w:val="both"/>
        <w:rPr>
          <w:bCs/>
          <w:lang w:val="en-US" w:eastAsia="en-US"/>
        </w:rPr>
      </w:pPr>
      <w:r w:rsidRPr="00B45F33">
        <w:rPr>
          <w:bCs/>
          <w:lang w:val="en-US" w:eastAsia="en-US"/>
        </w:rPr>
        <w:tab/>
        <w:t>Evenimentul a constat în  producerea unui incendiu pe o suprafaţă de 500 mp, la acoperişul şcolii precum şi la sălile de clasă, cu degajări semnificative de fum şi gaze toxice.</w:t>
      </w:r>
    </w:p>
    <w:p w:rsidR="00B45F33" w:rsidRPr="00B45F33" w:rsidRDefault="00B45F33" w:rsidP="00B45F33">
      <w:pPr>
        <w:autoSpaceDE w:val="0"/>
        <w:autoSpaceDN w:val="0"/>
        <w:adjustRightInd w:val="0"/>
        <w:ind w:firstLine="708"/>
        <w:jc w:val="both"/>
        <w:rPr>
          <w:color w:val="000000"/>
          <w:lang w:eastAsia="en-US"/>
        </w:rPr>
      </w:pPr>
      <w:r w:rsidRPr="00B45F33">
        <w:rPr>
          <w:color w:val="000000"/>
          <w:lang w:eastAsia="en-US"/>
        </w:rPr>
        <w:t>La intervenție au participat următoarele forţe de intervenţie:</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autospeciale: 20 ASAS, 4 AspISI, 3 AspID, 1 PA, 1 UTIM, 1 PCM;</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personal:143 de cadre militare dintre care 14 ofițeri și 129 subofițeri.</w:t>
      </w:r>
    </w:p>
    <w:p w:rsidR="00B45F33" w:rsidRPr="00B45F33" w:rsidRDefault="00B45F33" w:rsidP="00980D72">
      <w:pPr>
        <w:numPr>
          <w:ilvl w:val="0"/>
          <w:numId w:val="29"/>
        </w:numPr>
        <w:spacing w:line="276" w:lineRule="auto"/>
        <w:ind w:left="0" w:firstLine="0"/>
        <w:jc w:val="both"/>
        <w:rPr>
          <w:b/>
          <w:bCs/>
          <w:lang w:val="en-US" w:eastAsia="en-US"/>
        </w:rPr>
      </w:pPr>
      <w:r w:rsidRPr="00B45F33">
        <w:rPr>
          <w:b/>
          <w:lang w:val="en-US" w:eastAsia="en-US"/>
        </w:rPr>
        <w:t>31.05.2018 incendiu str. Erou Ion Floruță, nr. 9, 11, 13 și str. Oituz, nr. 68, 70, 72, 76C, 76, Sector 2, Bucureşti</w:t>
      </w:r>
    </w:p>
    <w:p w:rsidR="00B45F33" w:rsidRPr="00B45F33" w:rsidRDefault="00B45F33" w:rsidP="00B45F33">
      <w:pPr>
        <w:ind w:firstLine="720"/>
        <w:jc w:val="both"/>
        <w:rPr>
          <w:spacing w:val="-2"/>
          <w:lang w:val="en-US" w:eastAsia="en-US"/>
        </w:rPr>
      </w:pPr>
      <w:r w:rsidRPr="00B45F33">
        <w:rPr>
          <w:spacing w:val="-2"/>
          <w:lang w:val="en-US" w:eastAsia="en-US"/>
        </w:rPr>
        <w:t>Acesta a constat în producerea unui incendiu la imobilul de pe str. Erou Floruță Ion, nr. 11, care s-a propagat cu repeziciune la imobilele învecinate, din cauza distanței foarte reduse dintre construcții, arderea manifestându-se violent cu flacără deschisa și degajări mari de fum.</w:t>
      </w:r>
    </w:p>
    <w:p w:rsidR="00B45F33" w:rsidRPr="00B45F33" w:rsidRDefault="00B45F33" w:rsidP="00B45F33">
      <w:pPr>
        <w:autoSpaceDE w:val="0"/>
        <w:autoSpaceDN w:val="0"/>
        <w:adjustRightInd w:val="0"/>
        <w:ind w:firstLine="708"/>
        <w:jc w:val="both"/>
        <w:rPr>
          <w:color w:val="000000"/>
          <w:lang w:eastAsia="en-US"/>
        </w:rPr>
      </w:pPr>
      <w:r w:rsidRPr="00B45F33">
        <w:rPr>
          <w:color w:val="000000"/>
          <w:lang w:eastAsia="en-US"/>
        </w:rPr>
        <w:t>La intervenție au participat următoarele forţe de intervenţie:</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autospeciale: 18 ASAS, 1 AspISI, 1 AspID, 1 PA, 1 UTIM, 2 PCM;</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personal: 54 de cadre militare dintre care 24 ofițeri și 75 subofițeri.</w:t>
      </w:r>
    </w:p>
    <w:p w:rsidR="00B45F33" w:rsidRPr="00B45F33" w:rsidRDefault="00B45F33" w:rsidP="00980D72">
      <w:pPr>
        <w:numPr>
          <w:ilvl w:val="0"/>
          <w:numId w:val="29"/>
        </w:numPr>
        <w:spacing w:line="276" w:lineRule="auto"/>
        <w:ind w:left="0" w:firstLine="0"/>
        <w:jc w:val="both"/>
        <w:rPr>
          <w:b/>
          <w:lang w:val="en-US" w:eastAsia="en-US"/>
        </w:rPr>
      </w:pPr>
      <w:r w:rsidRPr="00B45F33">
        <w:rPr>
          <w:b/>
          <w:lang w:val="en-US" w:eastAsia="en-US"/>
        </w:rPr>
        <w:t>08.09.2018 incendiu str. Iordache Năstase nr. 14, sector 5, Bucureşti</w:t>
      </w:r>
    </w:p>
    <w:p w:rsidR="00B45F33" w:rsidRPr="00B45F33" w:rsidRDefault="00B45F33" w:rsidP="00B45F33">
      <w:pPr>
        <w:ind w:firstLine="720"/>
        <w:jc w:val="both"/>
        <w:rPr>
          <w:bCs/>
          <w:lang w:val="en-US" w:eastAsia="en-US"/>
        </w:rPr>
      </w:pPr>
      <w:r w:rsidRPr="00B45F33">
        <w:rPr>
          <w:bCs/>
          <w:lang w:val="en-US" w:eastAsia="en-US"/>
        </w:rPr>
        <w:t xml:space="preserve">Evenimentul s-a produs la </w:t>
      </w:r>
      <w:r w:rsidRPr="00B45F33">
        <w:rPr>
          <w:b/>
          <w:bCs/>
          <w:i/>
          <w:lang w:val="en-US" w:eastAsia="en-US"/>
        </w:rPr>
        <w:t>o anexă a unei case de locuit tip parter</w:t>
      </w:r>
      <w:r w:rsidRPr="00B45F33">
        <w:rPr>
          <w:bCs/>
          <w:lang w:val="en-US" w:eastAsia="en-US"/>
        </w:rPr>
        <w:t xml:space="preserve">, amplasată pe str. Iordache Năstase, nr. 12, sector 5, București, </w:t>
      </w:r>
      <w:r w:rsidRPr="00B45F33">
        <w:rPr>
          <w:b/>
          <w:bCs/>
          <w:i/>
          <w:lang w:val="en-US" w:eastAsia="en-US"/>
        </w:rPr>
        <w:t>extinzându-se în scurt timp și la blocul de locuit</w:t>
      </w:r>
      <w:r w:rsidRPr="00B45F33">
        <w:rPr>
          <w:bCs/>
          <w:lang w:val="en-US" w:eastAsia="en-US"/>
        </w:rPr>
        <w:t xml:space="preserve"> de la nr. 14,  precum și la alte imobile învecinate</w:t>
      </w:r>
    </w:p>
    <w:p w:rsidR="00B45F33" w:rsidRPr="00B45F33" w:rsidRDefault="00B45F33" w:rsidP="00B45F33">
      <w:pPr>
        <w:autoSpaceDE w:val="0"/>
        <w:autoSpaceDN w:val="0"/>
        <w:adjustRightInd w:val="0"/>
        <w:ind w:firstLine="708"/>
        <w:jc w:val="both"/>
        <w:rPr>
          <w:color w:val="000000"/>
          <w:lang w:eastAsia="en-US"/>
        </w:rPr>
      </w:pPr>
      <w:r w:rsidRPr="00B45F33">
        <w:rPr>
          <w:color w:val="000000"/>
          <w:lang w:eastAsia="en-US"/>
        </w:rPr>
        <w:lastRenderedPageBreak/>
        <w:t>La intervenție au participat următoarele forţe de intervenţie:</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autospeciale: 17 ASAS, 2 AspISI, 3 ACI, 8 P.A., 4 AspID, 1 UTIM, 1 PCM;</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personal: 276 de cadre militare dintre care 30 ofițeri și 246 subofițeri.</w:t>
      </w:r>
    </w:p>
    <w:p w:rsidR="00B45F33" w:rsidRPr="00B45F33" w:rsidRDefault="00B45F33" w:rsidP="00B45F33">
      <w:pPr>
        <w:jc w:val="center"/>
        <w:rPr>
          <w:color w:val="000000"/>
          <w:lang w:eastAsia="en-US"/>
        </w:rPr>
      </w:pPr>
    </w:p>
    <w:p w:rsidR="00B45F33" w:rsidRPr="00B45F33" w:rsidRDefault="00B45F33" w:rsidP="00980D72">
      <w:pPr>
        <w:numPr>
          <w:ilvl w:val="0"/>
          <w:numId w:val="29"/>
        </w:numPr>
        <w:spacing w:line="276" w:lineRule="auto"/>
        <w:ind w:left="0" w:firstLine="0"/>
        <w:jc w:val="both"/>
        <w:rPr>
          <w:b/>
          <w:color w:val="000000"/>
          <w:lang w:eastAsia="en-US"/>
        </w:rPr>
      </w:pPr>
      <w:r w:rsidRPr="00B45F33">
        <w:rPr>
          <w:b/>
          <w:lang w:val="en-US" w:eastAsia="en-US"/>
        </w:rPr>
        <w:t>18.11.2018 incendiu S.C. Angst SRL, şos. Bucureşti-Târgovişte nr. 193, oraş Buftea, jud.</w:t>
      </w:r>
      <w:r w:rsidRPr="00B45F33">
        <w:rPr>
          <w:b/>
          <w:color w:val="000000"/>
          <w:lang w:eastAsia="en-US"/>
        </w:rPr>
        <w:t xml:space="preserve"> Ilfov</w:t>
      </w:r>
      <w:r w:rsidRPr="00B45F33">
        <w:rPr>
          <w:color w:val="000000"/>
          <w:lang w:eastAsia="en-US"/>
        </w:rPr>
        <w:t>,</w:t>
      </w:r>
      <w:r w:rsidRPr="00B45F33">
        <w:rPr>
          <w:b/>
          <w:color w:val="000000"/>
          <w:lang w:eastAsia="en-US"/>
        </w:rPr>
        <w:t xml:space="preserve"> </w:t>
      </w:r>
      <w:r w:rsidRPr="00B45F33">
        <w:rPr>
          <w:lang w:val="en-US" w:eastAsia="en-US"/>
        </w:rPr>
        <w:t>care are ca obiect de activitate producția si prepararea cărnii precum și comercializarea produselor alimentare.</w:t>
      </w:r>
    </w:p>
    <w:p w:rsidR="00B45F33" w:rsidRPr="00B45F33" w:rsidRDefault="00B45F33" w:rsidP="00B45F33">
      <w:pPr>
        <w:tabs>
          <w:tab w:val="left" w:pos="1083"/>
          <w:tab w:val="left" w:pos="1140"/>
        </w:tabs>
        <w:ind w:firstLine="723"/>
        <w:jc w:val="both"/>
        <w:rPr>
          <w:spacing w:val="3"/>
          <w:lang w:val="en-US" w:eastAsia="en-US"/>
        </w:rPr>
      </w:pPr>
      <w:r w:rsidRPr="00B45F33">
        <w:rPr>
          <w:spacing w:val="3"/>
          <w:lang w:val="en-US" w:eastAsia="en-US"/>
        </w:rPr>
        <w:t>Evenimentul a constat în producerea unui incendiu în zona bucătăriei, care în scurt timp s-a propagat și la acoperişul halei prin tubulatură, arderea manifestându-se violent şi cu degajări mari de fum şi gaze toxice la întreaga clădire.</w:t>
      </w:r>
    </w:p>
    <w:p w:rsidR="00B45F33" w:rsidRPr="00B45F33" w:rsidRDefault="00B45F33" w:rsidP="00B45F33">
      <w:pPr>
        <w:autoSpaceDE w:val="0"/>
        <w:autoSpaceDN w:val="0"/>
        <w:adjustRightInd w:val="0"/>
        <w:ind w:firstLine="708"/>
        <w:jc w:val="both"/>
        <w:rPr>
          <w:color w:val="000000"/>
          <w:lang w:eastAsia="en-US"/>
        </w:rPr>
      </w:pPr>
      <w:r w:rsidRPr="00B45F33">
        <w:rPr>
          <w:color w:val="000000"/>
          <w:lang w:eastAsia="en-US"/>
        </w:rPr>
        <w:t>La intervenție au participat următoarele forţe de intervenţie:</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autospeciale: 17 ASAS, 3 AspISI, 1 AspID, 1 PA, 1 UTIM, 1 PCM;</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personal: 145 de cadre militare dintre care 15 ofițeri și 130 subofițeri.</w:t>
      </w:r>
    </w:p>
    <w:p w:rsidR="00B45F33" w:rsidRPr="00B45F33" w:rsidRDefault="00B45F33" w:rsidP="00980D72">
      <w:pPr>
        <w:numPr>
          <w:ilvl w:val="0"/>
          <w:numId w:val="29"/>
        </w:numPr>
        <w:spacing w:line="276" w:lineRule="auto"/>
        <w:ind w:left="0" w:firstLine="0"/>
        <w:jc w:val="both"/>
        <w:rPr>
          <w:b/>
          <w:lang w:val="en-US" w:eastAsia="en-US"/>
        </w:rPr>
      </w:pPr>
      <w:r w:rsidRPr="00B45F33">
        <w:rPr>
          <w:b/>
          <w:lang w:val="en-US" w:eastAsia="en-US"/>
        </w:rPr>
        <w:t>22.11.2018 incendiu str. Miercani nr. 8B, sector 1, Bucureşti</w:t>
      </w:r>
    </w:p>
    <w:p w:rsidR="00B45F33" w:rsidRPr="00B45F33" w:rsidRDefault="00B45F33" w:rsidP="00B45F33">
      <w:pPr>
        <w:widowControl w:val="0"/>
        <w:tabs>
          <w:tab w:val="left" w:pos="720"/>
          <w:tab w:val="left" w:pos="990"/>
          <w:tab w:val="left" w:pos="1080"/>
          <w:tab w:val="left" w:pos="4230"/>
        </w:tabs>
        <w:autoSpaceDE w:val="0"/>
        <w:autoSpaceDN w:val="0"/>
        <w:adjustRightInd w:val="0"/>
        <w:ind w:firstLine="720"/>
        <w:jc w:val="both"/>
        <w:rPr>
          <w:bCs/>
          <w:lang w:val="en-US" w:eastAsia="en-US"/>
        </w:rPr>
      </w:pPr>
      <w:r w:rsidRPr="00B45F33">
        <w:rPr>
          <w:bCs/>
          <w:lang w:val="en-US" w:eastAsia="en-US"/>
        </w:rPr>
        <w:t xml:space="preserve">Evenimentul s-a produs la </w:t>
      </w:r>
      <w:r w:rsidRPr="00B45F33">
        <w:rPr>
          <w:b/>
          <w:bCs/>
          <w:i/>
          <w:lang w:val="en-US" w:eastAsia="en-US"/>
        </w:rPr>
        <w:t>o casă</w:t>
      </w:r>
      <w:r w:rsidRPr="00B45F33">
        <w:rPr>
          <w:bCs/>
          <w:lang w:val="en-US" w:eastAsia="en-US"/>
        </w:rPr>
        <w:t xml:space="preserve"> din str. Miercani, nr. 8B, sector 1, București, cu destinația de locuință şi a constat în producerea unui incendiu la nivelul unei casei, cu propagare rapidă la un imobil tip parter și la alte 2 imobile tip P+1.</w:t>
      </w:r>
    </w:p>
    <w:p w:rsidR="00B45F33" w:rsidRPr="00B45F33" w:rsidRDefault="00B45F33" w:rsidP="00B45F33">
      <w:pPr>
        <w:autoSpaceDE w:val="0"/>
        <w:autoSpaceDN w:val="0"/>
        <w:adjustRightInd w:val="0"/>
        <w:ind w:firstLine="708"/>
        <w:jc w:val="both"/>
        <w:rPr>
          <w:color w:val="000000"/>
          <w:lang w:eastAsia="en-US"/>
        </w:rPr>
      </w:pPr>
      <w:r w:rsidRPr="00B45F33">
        <w:rPr>
          <w:color w:val="000000"/>
          <w:lang w:eastAsia="en-US"/>
        </w:rPr>
        <w:t>La intervenție au participat următoarele forţe de intervenţie:</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autospeciale: 10 ASAS, 2 AspISI, 1 AspID, 1 PA, 1 UTIM, 1 PCM;</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personal: 105 de cadre militare dintre care 20 ofițeri și 85 subofițeri.</w:t>
      </w:r>
    </w:p>
    <w:p w:rsidR="00B45F33" w:rsidRPr="00B45F33" w:rsidRDefault="00B45F33" w:rsidP="00980D72">
      <w:pPr>
        <w:numPr>
          <w:ilvl w:val="0"/>
          <w:numId w:val="29"/>
        </w:numPr>
        <w:spacing w:line="276" w:lineRule="auto"/>
        <w:ind w:left="0" w:firstLine="0"/>
        <w:jc w:val="both"/>
        <w:rPr>
          <w:b/>
          <w:lang w:val="en-US" w:eastAsia="en-US"/>
        </w:rPr>
      </w:pPr>
      <w:r w:rsidRPr="00B45F33">
        <w:rPr>
          <w:b/>
          <w:lang w:val="en-US" w:eastAsia="en-US"/>
        </w:rPr>
        <w:t>23.11.2018 incendiu str. Toamnei nr. 4, sat Dudu, comuna Chiajna, jud. Ilfov a cărui</w:t>
      </w:r>
      <w:r w:rsidRPr="00B45F33">
        <w:rPr>
          <w:b/>
          <w:bCs/>
          <w:lang w:val="en-US" w:eastAsia="en-US"/>
        </w:rPr>
        <w:t xml:space="preserve"> destinație este </w:t>
      </w:r>
      <w:r w:rsidRPr="00B45F33">
        <w:rPr>
          <w:b/>
          <w:lang w:val="en-US" w:eastAsia="en-US"/>
        </w:rPr>
        <w:t>„</w:t>
      </w:r>
      <w:r w:rsidRPr="00B45F33">
        <w:rPr>
          <w:b/>
          <w:bCs/>
          <w:i/>
          <w:lang w:val="en-US" w:eastAsia="en-US"/>
        </w:rPr>
        <w:t>clădire civilă de locuit</w:t>
      </w:r>
      <w:r w:rsidRPr="00B45F33">
        <w:rPr>
          <w:b/>
          <w:lang w:val="en-US" w:eastAsia="en-US"/>
        </w:rPr>
        <w:t>”</w:t>
      </w:r>
    </w:p>
    <w:p w:rsidR="00B45F33" w:rsidRPr="00B45F33" w:rsidRDefault="00B45F33" w:rsidP="00B45F33">
      <w:pPr>
        <w:ind w:firstLine="720"/>
        <w:jc w:val="both"/>
        <w:rPr>
          <w:bCs/>
          <w:lang w:val="en-US" w:eastAsia="en-US"/>
        </w:rPr>
      </w:pPr>
      <w:r w:rsidRPr="00B45F33">
        <w:rPr>
          <w:bCs/>
          <w:lang w:val="en-US" w:eastAsia="en-US"/>
        </w:rPr>
        <w:t xml:space="preserve">Incendiul se manifesta cu flacără deschisă și degajări mari de fum </w:t>
      </w:r>
      <w:r w:rsidRPr="00B45F33">
        <w:rPr>
          <w:b/>
          <w:bCs/>
          <w:i/>
          <w:lang w:val="en-US" w:eastAsia="en-US"/>
        </w:rPr>
        <w:t>la</w:t>
      </w:r>
      <w:r w:rsidRPr="00B45F33">
        <w:rPr>
          <w:bCs/>
          <w:lang w:val="en-US" w:eastAsia="en-US"/>
        </w:rPr>
        <w:t xml:space="preserve"> </w:t>
      </w:r>
      <w:r w:rsidRPr="00B45F33">
        <w:rPr>
          <w:b/>
          <w:bCs/>
          <w:i/>
          <w:lang w:val="en-US" w:eastAsia="en-US"/>
        </w:rPr>
        <w:t>interiorul mansardei blocului de locuinţe</w:t>
      </w:r>
      <w:r w:rsidRPr="00B45F33">
        <w:rPr>
          <w:bCs/>
          <w:lang w:val="en-US" w:eastAsia="en-US"/>
        </w:rPr>
        <w:t>, fiind propagat la vecinătăți, precum și la acoperiș.</w:t>
      </w:r>
    </w:p>
    <w:p w:rsidR="00B45F33" w:rsidRPr="00B45F33" w:rsidRDefault="00B45F33" w:rsidP="00B45F33">
      <w:pPr>
        <w:autoSpaceDE w:val="0"/>
        <w:autoSpaceDN w:val="0"/>
        <w:adjustRightInd w:val="0"/>
        <w:ind w:firstLine="708"/>
        <w:jc w:val="both"/>
        <w:rPr>
          <w:color w:val="000000"/>
          <w:lang w:eastAsia="en-US"/>
        </w:rPr>
      </w:pPr>
      <w:r w:rsidRPr="00B45F33">
        <w:rPr>
          <w:color w:val="000000"/>
          <w:lang w:eastAsia="en-US"/>
        </w:rPr>
        <w:t>La intervenție au participat următoarele forţe de intervenţie:</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autospeciale: 31 ASAS, 5 AspISI, 2 AspID, 6 PA, 1 UTIM, 1 PCM;</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personal: 196 de cadre militare dintre care 17 ofițeri, 1 mm și 178 subofițeri.</w:t>
      </w:r>
    </w:p>
    <w:p w:rsidR="00B45F33" w:rsidRPr="00B45F33" w:rsidRDefault="00B45F33" w:rsidP="00B45F33">
      <w:pPr>
        <w:ind w:left="709"/>
        <w:jc w:val="both"/>
        <w:rPr>
          <w:b/>
          <w:u w:val="single"/>
          <w:lang w:eastAsia="en-US"/>
        </w:rPr>
      </w:pPr>
      <w:r w:rsidRPr="00B45F33">
        <w:rPr>
          <w:b/>
          <w:u w:val="single"/>
          <w:lang w:eastAsia="en-US"/>
        </w:rPr>
        <w:t>EXERCIŢII DE PREGĂTIRE ŞI VERIFICARE</w:t>
      </w:r>
    </w:p>
    <w:p w:rsidR="00B45F33" w:rsidRPr="00B45F33" w:rsidRDefault="00B45F33" w:rsidP="00B45F33">
      <w:pPr>
        <w:jc w:val="both"/>
        <w:rPr>
          <w:lang w:eastAsia="en-US"/>
        </w:rPr>
      </w:pPr>
      <w:r w:rsidRPr="00B45F33">
        <w:rPr>
          <w:lang w:eastAsia="en-US"/>
        </w:rPr>
        <w:tab/>
        <w:t xml:space="preserve">La nivelul Inspectoratului pentru Situații de Urgență </w:t>
      </w:r>
      <w:r w:rsidRPr="00B45F33">
        <w:rPr>
          <w:i/>
          <w:lang w:eastAsia="en-US"/>
        </w:rPr>
        <w:t>„Dealul Spirii”</w:t>
      </w:r>
      <w:r w:rsidRPr="00B45F33">
        <w:rPr>
          <w:lang w:eastAsia="en-US"/>
        </w:rPr>
        <w:t xml:space="preserve"> Bucureşti-Ilfov,  în anul 2018, au fost desfășurate </w:t>
      </w:r>
      <w:r w:rsidRPr="00B45F33">
        <w:rPr>
          <w:b/>
          <w:lang w:eastAsia="en-US"/>
        </w:rPr>
        <w:t>339 exerciții cu forțe și mijloace în teren</w:t>
      </w:r>
      <w:r w:rsidRPr="00B45F33">
        <w:rPr>
          <w:lang w:eastAsia="en-US"/>
        </w:rPr>
        <w:t xml:space="preserve">, inițial fiind planificate un nr. de 292 de exerciții. Cele </w:t>
      </w:r>
      <w:r w:rsidRPr="00B45F33">
        <w:rPr>
          <w:b/>
          <w:lang w:eastAsia="en-US"/>
        </w:rPr>
        <w:t>48 de exerciții executate suplimentar</w:t>
      </w:r>
      <w:r w:rsidRPr="00B45F33">
        <w:rPr>
          <w:lang w:eastAsia="en-US"/>
        </w:rPr>
        <w:t xml:space="preserve"> au fost desfășurate în vederea creșterii gradului de pregătire a personalului pentru intervenție şi ca urmare a ordinelor eșaloanelor superioare, a activităților de prevenire şi pregătire a personalului din obiective şi a dezvoltării cooperării interinstituționale.</w:t>
      </w:r>
    </w:p>
    <w:p w:rsidR="00B45F33" w:rsidRPr="00B45F33" w:rsidRDefault="00B45F33" w:rsidP="00B45F33">
      <w:pPr>
        <w:jc w:val="both"/>
        <w:rPr>
          <w:lang w:eastAsia="en-US"/>
        </w:rPr>
      </w:pPr>
      <w:r w:rsidRPr="00B45F33">
        <w:rPr>
          <w:lang w:eastAsia="en-US"/>
        </w:rPr>
        <w:tab/>
        <w:t xml:space="preserve">La </w:t>
      </w:r>
      <w:r w:rsidRPr="00B45F33">
        <w:rPr>
          <w:b/>
          <w:lang w:eastAsia="en-US"/>
        </w:rPr>
        <w:t>2 exerciții</w:t>
      </w:r>
      <w:r w:rsidRPr="00B45F33">
        <w:rPr>
          <w:lang w:eastAsia="en-US"/>
        </w:rPr>
        <w:t xml:space="preserve"> din cele organizate la nivelul unității (trimestrul I şi IV), </w:t>
      </w:r>
      <w:r w:rsidRPr="00B45F33">
        <w:rPr>
          <w:b/>
          <w:lang w:eastAsia="en-US"/>
        </w:rPr>
        <w:t>a fost declanșat Planul Roșu de Intervenție</w:t>
      </w:r>
      <w:r w:rsidRPr="00B45F33">
        <w:rPr>
          <w:lang w:eastAsia="en-US"/>
        </w:rPr>
        <w:t>.</w:t>
      </w:r>
    </w:p>
    <w:p w:rsidR="00B45F33" w:rsidRPr="00B45F33" w:rsidRDefault="00B45F33" w:rsidP="00B45F33">
      <w:pPr>
        <w:jc w:val="both"/>
        <w:rPr>
          <w:lang w:eastAsia="en-US"/>
        </w:rPr>
      </w:pPr>
      <w:r w:rsidRPr="00B45F33">
        <w:rPr>
          <w:lang w:eastAsia="en-US"/>
        </w:rPr>
        <w:tab/>
        <w:t xml:space="preserve">În perioada </w:t>
      </w:r>
      <w:r w:rsidRPr="00B45F33">
        <w:rPr>
          <w:b/>
          <w:lang w:eastAsia="en-US"/>
        </w:rPr>
        <w:t>13.10.2018 -17.10.2018</w:t>
      </w:r>
      <w:r w:rsidRPr="00B45F33">
        <w:rPr>
          <w:lang w:eastAsia="en-US"/>
        </w:rPr>
        <w:t xml:space="preserve"> a avut loc </w:t>
      </w:r>
      <w:r w:rsidRPr="00B45F33">
        <w:rPr>
          <w:b/>
          <w:i/>
          <w:lang w:eastAsia="en-US"/>
        </w:rPr>
        <w:t>EXERCIȚIUL INTERNAŢIONAL PRIVIND ANTRENAREA STRUCTURILOR DE CONDUCERE ȘI RĂSPUNS ÎN CAZUL PRODUCERII UNUI SEISM MAJOR „ModEx 2018”</w:t>
      </w:r>
      <w:r w:rsidRPr="00B45F33">
        <w:rPr>
          <w:lang w:eastAsia="en-US"/>
        </w:rPr>
        <w:t xml:space="preserve">. Unitatea a participat la un număr de </w:t>
      </w:r>
      <w:r w:rsidRPr="00B45F33">
        <w:rPr>
          <w:b/>
          <w:lang w:eastAsia="en-US"/>
        </w:rPr>
        <w:t>433 de misiuni</w:t>
      </w:r>
      <w:r w:rsidRPr="00B45F33">
        <w:rPr>
          <w:lang w:eastAsia="en-US"/>
        </w:rPr>
        <w:t xml:space="preserve"> printre care cele mai numeroase au fost de stingere a incendiilor,căutare-salvare, asistență medicală de urgență şi prim-ajutor calificat.</w:t>
      </w:r>
    </w:p>
    <w:p w:rsidR="00B45F33" w:rsidRPr="00B45F33" w:rsidRDefault="00B45F33" w:rsidP="00B45F33">
      <w:pPr>
        <w:ind w:firstLine="705"/>
        <w:jc w:val="both"/>
        <w:rPr>
          <w:lang w:eastAsia="en-US"/>
        </w:rPr>
      </w:pPr>
      <w:r w:rsidRPr="00B45F33">
        <w:rPr>
          <w:lang w:eastAsia="en-US"/>
        </w:rPr>
        <w:tab/>
        <w:t xml:space="preserve">În anul 2018, la nivelul Inspectoratului pentru Situaţii de Urgenţă </w:t>
      </w:r>
      <w:r w:rsidRPr="00B45F33">
        <w:rPr>
          <w:i/>
          <w:lang w:eastAsia="en-US"/>
        </w:rPr>
        <w:t>“Dealul Spirii”</w:t>
      </w:r>
      <w:r w:rsidRPr="00B45F33">
        <w:rPr>
          <w:lang w:eastAsia="en-US"/>
        </w:rPr>
        <w:t xml:space="preserve"> Bucureşti-Ilfov  s-au desfăşurat </w:t>
      </w:r>
      <w:r w:rsidRPr="00B45F33">
        <w:rPr>
          <w:b/>
          <w:i/>
          <w:lang w:eastAsia="en-US"/>
        </w:rPr>
        <w:t>2 exerciţii de alertare</w:t>
      </w:r>
      <w:r w:rsidRPr="00B45F33">
        <w:rPr>
          <w:lang w:eastAsia="en-US"/>
        </w:rPr>
        <w:t xml:space="preserve"> cu toate structurile inspectoratului.</w:t>
      </w:r>
    </w:p>
    <w:p w:rsidR="00B45F33" w:rsidRPr="00B45F33" w:rsidRDefault="00B45F33" w:rsidP="00B45F33">
      <w:pPr>
        <w:jc w:val="both"/>
        <w:rPr>
          <w:b/>
          <w:lang w:eastAsia="en-US"/>
        </w:rPr>
      </w:pPr>
      <w:r w:rsidRPr="00B45F33">
        <w:rPr>
          <w:b/>
          <w:lang w:eastAsia="en-US"/>
        </w:rPr>
        <w:tab/>
        <w:t>LOGISTICĂ</w:t>
      </w:r>
    </w:p>
    <w:p w:rsidR="00B45F33" w:rsidRPr="00B45F33" w:rsidRDefault="00B45F33" w:rsidP="00B45F33">
      <w:pPr>
        <w:jc w:val="both"/>
        <w:rPr>
          <w:lang w:val="en-US" w:eastAsia="en-US"/>
        </w:rPr>
      </w:pPr>
      <w:r w:rsidRPr="00B45F33">
        <w:rPr>
          <w:lang w:val="en-US" w:eastAsia="en-US"/>
        </w:rPr>
        <w:tab/>
        <w:t>Activitatea logistică a avut un rol essential în scopul îndeplinirii misiunilor unităţii prin menţinerea în stare de operativitate a tehnicii de luptă, asigurarea unei bune exploatări a întregului parc auto-moto şi îmbunătăţirea condiţiilor de lucru ale personalului.</w:t>
      </w:r>
    </w:p>
    <w:p w:rsidR="00B45F33" w:rsidRPr="00B45F33" w:rsidRDefault="00B45F33" w:rsidP="00B45F33">
      <w:pPr>
        <w:ind w:firstLine="720"/>
        <w:jc w:val="both"/>
        <w:rPr>
          <w:b/>
          <w:lang w:val="en-US" w:eastAsia="en-US"/>
        </w:rPr>
      </w:pPr>
      <w:r w:rsidRPr="00B45F33">
        <w:rPr>
          <w:b/>
          <w:lang w:val="en-US" w:eastAsia="en-US"/>
        </w:rPr>
        <w:t>Secţia Tehnică</w:t>
      </w:r>
    </w:p>
    <w:p w:rsidR="00B45F33" w:rsidRPr="00B45F33" w:rsidRDefault="00B45F33" w:rsidP="00B45F33">
      <w:pPr>
        <w:ind w:firstLine="720"/>
        <w:jc w:val="both"/>
        <w:rPr>
          <w:lang w:val="en-US" w:eastAsia="en-US"/>
        </w:rPr>
      </w:pPr>
      <w:r w:rsidRPr="00B45F33">
        <w:rPr>
          <w:lang w:val="en-US" w:eastAsia="en-US"/>
        </w:rPr>
        <w:lastRenderedPageBreak/>
        <w:t xml:space="preserve">La 31 decembrie 2018, inspectoratul dispunea de un parc auto constituit dintr-un nr. de </w:t>
      </w:r>
      <w:r w:rsidRPr="00B45F33">
        <w:rPr>
          <w:b/>
          <w:lang w:val="en-US" w:eastAsia="en-US"/>
        </w:rPr>
        <w:t xml:space="preserve">450 autovehicule (din care 7 motociclete), </w:t>
      </w:r>
      <w:r w:rsidRPr="00B45F33">
        <w:rPr>
          <w:lang w:val="en-US" w:eastAsia="en-US"/>
        </w:rPr>
        <w:t>grupate astfel:</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356 (29 ca rezerva de înlocuire) alocate la drepturi de consum;</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2 cu care asigurăm logistic Serviciul Medical nr. 4 (alocate la drepturi de consum);</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4 plus dotare (2ASpFGI şi 2 ASAS);</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90 nealocate, dintre care 72 scoase din funcţiune în vederea casării.</w:t>
      </w:r>
    </w:p>
    <w:p w:rsidR="00B45F33" w:rsidRPr="00B45F33" w:rsidRDefault="00B45F33" w:rsidP="00B45F33">
      <w:pPr>
        <w:jc w:val="both"/>
        <w:rPr>
          <w:lang w:val="en-US" w:eastAsia="en-US"/>
        </w:rPr>
      </w:pPr>
    </w:p>
    <w:p w:rsidR="00B45F33" w:rsidRPr="00B45F33" w:rsidRDefault="00B45F33" w:rsidP="00B45F33">
      <w:pPr>
        <w:jc w:val="both"/>
        <w:rPr>
          <w:lang w:val="en-US" w:eastAsia="en-US"/>
        </w:rPr>
      </w:pPr>
      <w:r w:rsidRPr="00B45F33">
        <w:rPr>
          <w:lang w:val="en-US" w:eastAsia="en-US"/>
        </w:rPr>
        <w:tab/>
        <w:t xml:space="preserve">În ansamblu, starea tehnică şi de întreţinere a mijloacelor auto din dotarea inspectoratului, este </w:t>
      </w:r>
      <w:r w:rsidRPr="00B45F33">
        <w:rPr>
          <w:u w:val="single"/>
          <w:lang w:val="en-US" w:eastAsia="en-US"/>
        </w:rPr>
        <w:t>bună</w:t>
      </w:r>
      <w:r w:rsidRPr="00B45F33">
        <w:rPr>
          <w:lang w:val="en-US" w:eastAsia="en-US"/>
        </w:rPr>
        <w:t>, având în vedere faptul că din totalul de 358</w:t>
      </w:r>
      <w:r w:rsidRPr="00B45F33">
        <w:rPr>
          <w:b/>
          <w:lang w:val="en-US" w:eastAsia="en-US"/>
        </w:rPr>
        <w:t xml:space="preserve"> </w:t>
      </w:r>
      <w:r w:rsidRPr="00B45F33">
        <w:rPr>
          <w:lang w:val="en-US" w:eastAsia="en-US"/>
        </w:rPr>
        <w:t xml:space="preserve">autovehicule alocate la drepturi, </w:t>
      </w:r>
      <w:r w:rsidRPr="00B45F33">
        <w:rPr>
          <w:b/>
          <w:lang w:val="en-US" w:eastAsia="en-US"/>
        </w:rPr>
        <w:t>262 mijloace auto sunt în intervenţie</w:t>
      </w:r>
      <w:r w:rsidRPr="00B45F33">
        <w:rPr>
          <w:lang w:val="en-US" w:eastAsia="en-US"/>
        </w:rPr>
        <w:t xml:space="preserve">, rezultând aşadar un procent de </w:t>
      </w:r>
      <w:r w:rsidRPr="00B45F33">
        <w:rPr>
          <w:b/>
          <w:lang w:val="en-US" w:eastAsia="en-US"/>
        </w:rPr>
        <w:t>26,8 % mijloace auto scoase din intervenţie</w:t>
      </w:r>
      <w:r w:rsidRPr="00B45F33">
        <w:rPr>
          <w:lang w:val="en-US" w:eastAsia="en-US"/>
        </w:rPr>
        <w:t xml:space="preserve"> datorită defecţiunilor tehnice.</w:t>
      </w:r>
    </w:p>
    <w:p w:rsidR="00B45F33" w:rsidRPr="00B45F33" w:rsidRDefault="00B45F33" w:rsidP="00B45F33">
      <w:pPr>
        <w:shd w:val="clear" w:color="auto" w:fill="FFFFFF"/>
        <w:ind w:right="179" w:firstLine="720"/>
        <w:jc w:val="both"/>
        <w:rPr>
          <w:lang w:val="en-US" w:eastAsia="en-US"/>
        </w:rPr>
      </w:pPr>
      <w:r w:rsidRPr="00B45F33">
        <w:rPr>
          <w:lang w:val="en-US" w:eastAsia="en-US"/>
        </w:rPr>
        <w:t>Trebuiesc apreciate eforturile deosebite pe care le-a depus personalul inspectoratului pentru menţinerea la un nivel ridicat al coeficientului de stare tehnică, având în vedere următoarele aspecte:</w:t>
      </w:r>
    </w:p>
    <w:p w:rsidR="00B45F33" w:rsidRPr="00B45F33" w:rsidRDefault="00021BC8" w:rsidP="00980D72">
      <w:pPr>
        <w:numPr>
          <w:ilvl w:val="0"/>
          <w:numId w:val="28"/>
        </w:numPr>
        <w:tabs>
          <w:tab w:val="left" w:pos="360"/>
        </w:tabs>
        <w:spacing w:line="276" w:lineRule="auto"/>
        <w:ind w:left="0" w:firstLine="0"/>
        <w:jc w:val="both"/>
        <w:rPr>
          <w:noProof/>
          <w:lang w:eastAsia="en-US"/>
        </w:rPr>
      </w:pPr>
      <w:r w:rsidRPr="00B45F33">
        <w:rPr>
          <w:noProof/>
          <w:lang w:eastAsia="en-US"/>
        </w:rPr>
        <w:fldChar w:fldCharType="begin"/>
      </w:r>
      <w:r w:rsidR="00B45F33" w:rsidRPr="00B45F33">
        <w:rPr>
          <w:noProof/>
          <w:lang w:eastAsia="en-US"/>
        </w:rPr>
        <w:instrText xml:space="preserve"> ASK  pipi sugeo \d da  \* MERGEFORMAT </w:instrText>
      </w:r>
      <w:r w:rsidRPr="00B45F33">
        <w:rPr>
          <w:noProof/>
          <w:lang w:eastAsia="en-US"/>
        </w:rPr>
        <w:fldChar w:fldCharType="separate"/>
      </w:r>
      <w:bookmarkStart w:id="42" w:name="pipi"/>
      <w:r w:rsidR="00B45F33" w:rsidRPr="00B45F33">
        <w:rPr>
          <w:noProof/>
          <w:lang w:eastAsia="en-US"/>
        </w:rPr>
        <w:t>da</w:t>
      </w:r>
      <w:bookmarkEnd w:id="42"/>
      <w:r w:rsidRPr="00B45F33">
        <w:rPr>
          <w:noProof/>
          <w:lang w:eastAsia="en-US"/>
        </w:rPr>
        <w:fldChar w:fldCharType="end"/>
      </w:r>
      <w:r w:rsidR="00B45F33" w:rsidRPr="00B45F33">
        <w:rPr>
          <w:noProof/>
          <w:lang w:eastAsia="en-US"/>
        </w:rPr>
        <w:t xml:space="preserve">60% </w:t>
      </w:r>
      <w:r w:rsidRPr="00B45F33">
        <w:rPr>
          <w:noProof/>
          <w:lang w:eastAsia="en-US"/>
        </w:rPr>
        <w:fldChar w:fldCharType="begin"/>
      </w:r>
      <w:r w:rsidR="00B45F33" w:rsidRPr="00B45F33">
        <w:rPr>
          <w:noProof/>
          <w:lang w:eastAsia="en-US"/>
        </w:rPr>
        <w:instrText xml:space="preserve"> ASK  caca "pula mea" \d cucu  \* MERGEFORMAT </w:instrText>
      </w:r>
      <w:r w:rsidRPr="00B45F33">
        <w:rPr>
          <w:noProof/>
          <w:lang w:eastAsia="en-US"/>
        </w:rPr>
        <w:fldChar w:fldCharType="separate"/>
      </w:r>
      <w:bookmarkStart w:id="43" w:name="caca"/>
      <w:r w:rsidR="00B45F33" w:rsidRPr="00B45F33">
        <w:rPr>
          <w:noProof/>
          <w:lang w:eastAsia="en-US"/>
        </w:rPr>
        <w:t>cucu</w:t>
      </w:r>
      <w:bookmarkEnd w:id="43"/>
      <w:r w:rsidRPr="00B45F33">
        <w:rPr>
          <w:noProof/>
          <w:lang w:eastAsia="en-US"/>
        </w:rPr>
        <w:fldChar w:fldCharType="end"/>
      </w:r>
      <w:r w:rsidR="00B45F33" w:rsidRPr="00B45F33">
        <w:rPr>
          <w:noProof/>
          <w:lang w:eastAsia="en-US"/>
        </w:rPr>
        <w:t>din întreg parcul auto are o vechime în exploatare de peste 10 ani, iar dacă ne referim la tehnică de luptă, 66% din autospecialele de intervenţie au o vechime în exploatare de peste 10 ani;</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40% din mijloacele auto din înzestrare au rulaje de peste 100.000 km echivalenţi;</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exploatarea autospecialelor de intervenţie se efectuează în condiţii grele şi timp îndelungat;</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dotarea insuficientă a atelierelor şi a punctelor de asistenţă tehnică cu utilaje, aparate sau scule necesare reparării autovehiculelor;</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aprovizionarea foarte dificilă a unor subansamble sau piese de schimb din componenţa instalaţiilor speciale ale tehnicii de luptă (datorită modernizării şi apariţiei unor noi tipuri de instalaţii, acestea au fost scoase din fabricaţie).</w:t>
      </w:r>
    </w:p>
    <w:p w:rsidR="00B45F33" w:rsidRPr="00B45F33" w:rsidRDefault="00B45F33" w:rsidP="00B45F33">
      <w:pPr>
        <w:shd w:val="clear" w:color="auto" w:fill="FFFFFF"/>
        <w:jc w:val="both"/>
        <w:rPr>
          <w:lang w:val="en-US" w:eastAsia="en-US"/>
        </w:rPr>
      </w:pPr>
      <w:r w:rsidRPr="00B45F33">
        <w:rPr>
          <w:lang w:val="en-US" w:eastAsia="en-US"/>
        </w:rPr>
        <w:tab/>
        <w:t xml:space="preserve">Faţă de necesarul prevăzut în </w:t>
      </w:r>
      <w:r w:rsidRPr="00B45F33">
        <w:rPr>
          <w:u w:val="single"/>
          <w:lang w:val="en-US" w:eastAsia="en-US"/>
        </w:rPr>
        <w:t>tabela de înzestrare</w:t>
      </w:r>
      <w:r w:rsidRPr="00B45F33">
        <w:rPr>
          <w:lang w:val="en-US" w:eastAsia="en-US"/>
        </w:rPr>
        <w:t xml:space="preserve">, inspectoratul se confruntă cu </w:t>
      </w:r>
      <w:r w:rsidRPr="00B45F33">
        <w:rPr>
          <w:b/>
          <w:lang w:val="en-US" w:eastAsia="en-US"/>
        </w:rPr>
        <w:t>importante deficite</w:t>
      </w:r>
      <w:r w:rsidRPr="00B45F33">
        <w:rPr>
          <w:lang w:val="en-US" w:eastAsia="en-US"/>
        </w:rPr>
        <w:t xml:space="preserve">, totalizând </w:t>
      </w:r>
      <w:r w:rsidRPr="00B45F33">
        <w:rPr>
          <w:b/>
          <w:lang w:val="en-US" w:eastAsia="en-US"/>
        </w:rPr>
        <w:t>214 de mijloace auto</w:t>
      </w:r>
      <w:r w:rsidRPr="00B45F33">
        <w:rPr>
          <w:lang w:val="en-US" w:eastAsia="en-US"/>
        </w:rPr>
        <w:t>,</w:t>
      </w:r>
      <w:r w:rsidRPr="00B45F33">
        <w:rPr>
          <w:b/>
          <w:lang w:val="en-US" w:eastAsia="en-US"/>
        </w:rPr>
        <w:t xml:space="preserve"> </w:t>
      </w:r>
      <w:r w:rsidRPr="00B45F33">
        <w:rPr>
          <w:lang w:val="en-US" w:eastAsia="en-US"/>
        </w:rPr>
        <w:t>din care 126 autospeciale şi 88 autovehicule de transport.</w:t>
      </w:r>
    </w:p>
    <w:p w:rsidR="00B45F33" w:rsidRPr="00B45F33" w:rsidRDefault="00B45F33" w:rsidP="00B45F33">
      <w:pPr>
        <w:jc w:val="both"/>
        <w:rPr>
          <w:lang w:val="en-US" w:eastAsia="en-US"/>
        </w:rPr>
      </w:pPr>
      <w:r w:rsidRPr="00B45F33">
        <w:rPr>
          <w:lang w:val="en-US" w:eastAsia="en-US"/>
        </w:rPr>
        <w:tab/>
        <w:t xml:space="preserve">Din perspectiva </w:t>
      </w:r>
      <w:r w:rsidRPr="00B45F33">
        <w:rPr>
          <w:b/>
          <w:lang w:val="en-US" w:eastAsia="en-US"/>
        </w:rPr>
        <w:t>vechimii în exploatare</w:t>
      </w:r>
      <w:r w:rsidRPr="00B45F33">
        <w:rPr>
          <w:lang w:val="en-US" w:eastAsia="en-US"/>
        </w:rPr>
        <w:t xml:space="preserve">, din cele </w:t>
      </w:r>
      <w:r w:rsidRPr="00B45F33">
        <w:rPr>
          <w:b/>
          <w:lang w:val="en-US" w:eastAsia="en-US"/>
        </w:rPr>
        <w:t xml:space="preserve">446 </w:t>
      </w:r>
      <w:r w:rsidRPr="00B45F33">
        <w:rPr>
          <w:lang w:val="en-US" w:eastAsia="en-US"/>
        </w:rPr>
        <w:t>autovehicule existente, 15% au o vechime de sub 5 ani, 25%  au o vechime între 5 şi 10 ani, iar 60% din cele existent</w:t>
      </w:r>
      <w:r w:rsidR="007A478C">
        <w:rPr>
          <w:lang w:val="en-US" w:eastAsia="en-US"/>
        </w:rPr>
        <w:t xml:space="preserve">e au o vechime de peste 10 ani. </w:t>
      </w:r>
      <w:r w:rsidRPr="00B45F33">
        <w:rPr>
          <w:lang w:val="en-US" w:eastAsia="en-US"/>
        </w:rPr>
        <w:t xml:space="preserve">Totodată din perspectiva </w:t>
      </w:r>
      <w:r w:rsidRPr="00B45F33">
        <w:rPr>
          <w:b/>
          <w:u w:val="single"/>
          <w:lang w:val="en-US" w:eastAsia="en-US"/>
        </w:rPr>
        <w:t>rulajului</w:t>
      </w:r>
      <w:r w:rsidRPr="00B45F33">
        <w:rPr>
          <w:b/>
          <w:lang w:val="en-US" w:eastAsia="en-US"/>
        </w:rPr>
        <w:t xml:space="preserve"> </w:t>
      </w:r>
      <w:r w:rsidRPr="00B45F33">
        <w:rPr>
          <w:lang w:val="en-US" w:eastAsia="en-US"/>
        </w:rPr>
        <w:t>efectuat de către autovehicule pe toată durata de funcţionare a acestora, ponderea acestora la nivelul inspectoratului este următoarea: 37% din autovehiculele, au rulaje efectuate sub 50.000 km, 23%  au rulaje efectuate intre 50.000 – 100.000 km, 29% au rulaje efectuate intre 100.000 – 200.000 km si 11% au durata de peste 200.000 km.</w:t>
      </w:r>
    </w:p>
    <w:p w:rsidR="00B45F33" w:rsidRPr="00B45F33" w:rsidRDefault="00B45F33" w:rsidP="00B45F33">
      <w:pPr>
        <w:shd w:val="clear" w:color="auto" w:fill="FFFFFF"/>
        <w:tabs>
          <w:tab w:val="left" w:pos="1440"/>
        </w:tabs>
        <w:jc w:val="both"/>
        <w:rPr>
          <w:lang w:eastAsia="en-US"/>
        </w:rPr>
      </w:pPr>
      <w:r w:rsidRPr="00B45F33">
        <w:rPr>
          <w:lang w:eastAsia="en-US"/>
        </w:rPr>
        <w:t xml:space="preserve">           Coroborând datele prezentate mai sus (vechime şi rulaj), putem estima </w:t>
      </w:r>
      <w:r w:rsidRPr="00B45F33">
        <w:rPr>
          <w:b/>
          <w:lang w:eastAsia="en-US"/>
        </w:rPr>
        <w:t>că aproximativ 50% din parcul auto nu oferă garanţia unei exploatări sigure şi durabile</w:t>
      </w:r>
      <w:r w:rsidRPr="00B45F33">
        <w:rPr>
          <w:lang w:eastAsia="en-US"/>
        </w:rPr>
        <w:t xml:space="preserve">, menţinerea acestora în stare de operativitate necesitând costuri şi eforturi deosebite, în condiţiile lipsei pieselor de schimb care au devenit atipice, a unei baze materiale şi umane corespunzătoare nevoilor de întreţinere şi reparaţii.  </w:t>
      </w:r>
    </w:p>
    <w:p w:rsidR="00B45F33" w:rsidRPr="00B45F33" w:rsidRDefault="00B45F33" w:rsidP="00B45F33">
      <w:pPr>
        <w:jc w:val="both"/>
        <w:rPr>
          <w:b/>
          <w:i/>
          <w:lang w:val="en-US" w:eastAsia="en-US"/>
        </w:rPr>
      </w:pPr>
      <w:r w:rsidRPr="00B45F33">
        <w:rPr>
          <w:b/>
          <w:i/>
          <w:lang w:val="en-US" w:eastAsia="en-US"/>
        </w:rPr>
        <w:tab/>
        <w:t>Investiţii</w:t>
      </w:r>
    </w:p>
    <w:p w:rsidR="00B45F33" w:rsidRPr="00B45F33" w:rsidRDefault="00B45F33" w:rsidP="00B45F33">
      <w:pPr>
        <w:jc w:val="both"/>
        <w:rPr>
          <w:lang w:val="en-US" w:eastAsia="en-US"/>
        </w:rPr>
      </w:pPr>
      <w:r w:rsidRPr="00B45F33">
        <w:rPr>
          <w:lang w:val="en-US" w:eastAsia="en-US"/>
        </w:rPr>
        <w:tab/>
        <w:t>Prin eforturile susţinute de personalul din cadrul Biroului Administrarea Patrimoniului Imobiliar s-a reuşit aprobarea în luna iunie</w:t>
      </w:r>
      <w:r w:rsidR="007218B3">
        <w:rPr>
          <w:lang w:val="en-US" w:eastAsia="en-US"/>
        </w:rPr>
        <w:t xml:space="preserve"> </w:t>
      </w:r>
      <w:r w:rsidRPr="00B45F33">
        <w:rPr>
          <w:lang w:val="en-US" w:eastAsia="en-US"/>
        </w:rPr>
        <w:t>2017 a cererii de finanţare prin Programului Operaţional Regional 2014-2020, Axa Prioritara 3 – Sprijnirea tranzitiei catre o economie cu emisii scăzute de carbon, Prioritatea de investiţii 3.1-Sprijinirea eficienţei energetice, a gestionării inteligente a energiei şi a utilizării energiei din surse regenerabile în infrastructurile publice, inclusiv în clădirile publice, pentru cele două construcţii de la sediul inspectoratului avănd numărul cadastral 41-38-01 si 41-28-02. În acest sens au fost desfăşurate următoarele:</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în luna aprilie 2018, a fost semnat contractul de finanțare pentru proiectul mai sus prezentat în valoare de 5.576.675,02 lei.;</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în luna iulie 2018 a fost achiziționat serviciul de publicitate pentru obiectivul de investiții ,,Reabilitare termică a clădirii (Pavilion 41-38-01) în vederea creșterii performanței energetice” şi a fost avizat;</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lastRenderedPageBreak/>
        <w:t xml:space="preserve">în luna august 2018 a fost întocmit caietul de sarcini şi publicat în SICAP pentru achizitionarea serviciul de Proiect Tehnic și executie la obiectul de investiții – Reabilitare termica a cladirii C1 (Pavilion 41-38-01) în vederea creșterii performanței energetice”. </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a fost întocmită prima Cerere de Rambursare pentru serviciile efectuate în anul anterior şi aprobată în valoare de 192.112,00 lei.</w:t>
      </w:r>
    </w:p>
    <w:p w:rsidR="00B45F33" w:rsidRPr="00B45F33" w:rsidRDefault="00B45F33" w:rsidP="00B45F33">
      <w:pPr>
        <w:jc w:val="both"/>
        <w:rPr>
          <w:b/>
          <w:lang w:val="en-US" w:eastAsia="en-US"/>
        </w:rPr>
      </w:pPr>
      <w:r w:rsidRPr="00B45F33">
        <w:rPr>
          <w:lang w:val="en-US" w:eastAsia="en-US"/>
        </w:rPr>
        <w:tab/>
      </w:r>
      <w:r w:rsidRPr="00B45F33">
        <w:rPr>
          <w:b/>
          <w:lang w:val="en-US" w:eastAsia="en-US"/>
        </w:rPr>
        <w:t>Programe şi achiziţii</w:t>
      </w:r>
    </w:p>
    <w:p w:rsidR="00B45F33" w:rsidRPr="00B45F33" w:rsidRDefault="00B45F33" w:rsidP="00B45F33">
      <w:pPr>
        <w:jc w:val="both"/>
        <w:rPr>
          <w:lang w:val="en-US" w:eastAsia="en-US"/>
        </w:rPr>
      </w:pPr>
      <w:r w:rsidRPr="00B45F33">
        <w:rPr>
          <w:lang w:val="en-US" w:eastAsia="en-US"/>
        </w:rPr>
        <w:tab/>
        <w:t>Pe linie de programe şi achiziţii, principale activităţi au fost:</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încheierea de acorduri-cadru (și contractele subsecvente acestora), contracte și cumpărări directe, în conformitate cu prevederile legale în vigoare și cu fondurile bugetare în cuantum de 7.230.609,28 lei alocate la Titlul II „Bunuri si servicii”;</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demararea unui număr de 3 cumpărări directe, în conformitate cu prevederile legale în vigoare, pentru care au fost alocate şi cheltuite la Titlul XIII „Active nefinanciare””, fonduri bugetare în valoare de 58.064,30 lei, care s-au concretizat în următoarele achiziţii de mijloace fixe, servicii şi lucrări;</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efectuarea documentelor necesare derulării proiectelor finanțate din fonduri europene nerambursabile în cadrul Programului Operațional Regional 2014-2020.</w:t>
      </w:r>
    </w:p>
    <w:p w:rsidR="00B45F33" w:rsidRPr="00B45F33" w:rsidRDefault="00B45F33" w:rsidP="00B45F33">
      <w:pPr>
        <w:jc w:val="both"/>
        <w:rPr>
          <w:b/>
          <w:lang w:val="en-US" w:eastAsia="en-US"/>
        </w:rPr>
      </w:pPr>
      <w:r w:rsidRPr="00B45F33">
        <w:rPr>
          <w:lang w:val="en-US" w:eastAsia="en-US"/>
        </w:rPr>
        <w:tab/>
      </w:r>
      <w:r w:rsidRPr="00B45F33">
        <w:rPr>
          <w:b/>
          <w:lang w:val="en-US" w:eastAsia="en-US"/>
        </w:rPr>
        <w:t>Intendenţă</w:t>
      </w:r>
    </w:p>
    <w:p w:rsidR="00B45F33" w:rsidRPr="00B45F33" w:rsidRDefault="00B45F33" w:rsidP="00B45F33">
      <w:pPr>
        <w:jc w:val="both"/>
        <w:rPr>
          <w:lang w:val="en-US" w:eastAsia="en-US"/>
        </w:rPr>
      </w:pPr>
      <w:r w:rsidRPr="00B45F33">
        <w:rPr>
          <w:lang w:val="en-US" w:eastAsia="en-US"/>
        </w:rPr>
        <w:tab/>
        <w:t>Personalul unităţii s-a implicat în aprovizionarea şi distribuirea către Grupurile de Intervenţie / Special de Salvatori şi structurile de la reşedinţa a bunurilor de resort, pentru care s-au derulat acţiuni de testare piaţă, organizare transporturi, ridicare bunuri de la furnizori, calcul repartiţie şi distribuire bunuri.</w:t>
      </w:r>
    </w:p>
    <w:p w:rsidR="00B45F33" w:rsidRPr="00B45F33" w:rsidRDefault="00B45F33" w:rsidP="00B45F33">
      <w:pPr>
        <w:jc w:val="both"/>
        <w:rPr>
          <w:lang w:val="en-US" w:eastAsia="en-US"/>
        </w:rPr>
      </w:pPr>
      <w:r w:rsidRPr="00B45F33">
        <w:rPr>
          <w:lang w:val="en-US" w:eastAsia="en-US"/>
        </w:rPr>
        <w:tab/>
        <w:t xml:space="preserve">Asigurarea efectivelor cu articole din ţinută de reprezentare şi serviciu, s-a realizat prin distribuirea din Depozitul Central cadrelor inspectoratului, articole de echipament în valoare de  </w:t>
      </w:r>
      <w:r w:rsidRPr="00B45F33">
        <w:rPr>
          <w:b/>
          <w:lang w:val="en-US" w:eastAsia="en-US"/>
        </w:rPr>
        <w:t>692.550</w:t>
      </w:r>
      <w:r w:rsidRPr="00B45F33">
        <w:rPr>
          <w:lang w:val="en-US" w:eastAsia="en-US"/>
        </w:rPr>
        <w:t xml:space="preserve"> lei, din care:</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 xml:space="preserve">409.127  lei, valoare echipament în contul drepturilor restante pe anul 2017; </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283.423 lei, valoare echipament în contul drepturilor pe anul 2018.</w:t>
      </w:r>
    </w:p>
    <w:p w:rsidR="00B45F33" w:rsidRPr="00B45F33" w:rsidRDefault="00B45F33" w:rsidP="00B45F33">
      <w:pPr>
        <w:jc w:val="both"/>
        <w:rPr>
          <w:lang w:val="en-US" w:eastAsia="en-US"/>
        </w:rPr>
      </w:pPr>
      <w:r w:rsidRPr="00B45F33">
        <w:rPr>
          <w:lang w:val="en-US" w:eastAsia="en-US"/>
        </w:rPr>
        <w:tab/>
        <w:t>Totodată a fost organizată şi executată  acţiunea de deratizare şi dezinsecţie  pentru cele 37 de locaţii din cadrul inspectoratului.</w:t>
      </w:r>
    </w:p>
    <w:p w:rsidR="00B45F33" w:rsidRPr="00B45F33" w:rsidRDefault="00B45F33" w:rsidP="00B45F33">
      <w:pPr>
        <w:jc w:val="both"/>
        <w:rPr>
          <w:b/>
          <w:lang w:val="en-US" w:eastAsia="en-US"/>
        </w:rPr>
      </w:pPr>
      <w:r w:rsidRPr="00B45F33">
        <w:rPr>
          <w:lang w:val="en-US" w:eastAsia="en-US"/>
        </w:rPr>
        <w:tab/>
      </w:r>
      <w:r w:rsidRPr="00B45F33">
        <w:rPr>
          <w:b/>
          <w:lang w:val="en-US" w:eastAsia="en-US"/>
        </w:rPr>
        <w:t>Comunicaţii</w:t>
      </w:r>
    </w:p>
    <w:p w:rsidR="00B45F33" w:rsidRPr="00B45F33" w:rsidRDefault="00B45F33" w:rsidP="00B45F33">
      <w:pPr>
        <w:ind w:left="20" w:right="40" w:hanging="20"/>
        <w:jc w:val="both"/>
        <w:rPr>
          <w:lang w:val="en-US" w:eastAsia="en-US"/>
        </w:rPr>
      </w:pPr>
      <w:r w:rsidRPr="00B45F33">
        <w:rPr>
          <w:lang w:val="en-US" w:eastAsia="en-US"/>
        </w:rPr>
        <w:tab/>
      </w:r>
      <w:r w:rsidRPr="00B45F33">
        <w:rPr>
          <w:lang w:val="en-US" w:eastAsia="en-US"/>
        </w:rPr>
        <w:tab/>
        <w:t>Lucrările de întreţinere şi reparaţii la tehnica de comunicaţii şi informatică s-au executat cu specialiştii din cadrul Serviciului Comunicaţii şi Tehnologia Informaţiei.</w:t>
      </w:r>
    </w:p>
    <w:p w:rsidR="00B45F33" w:rsidRPr="00B45F33" w:rsidRDefault="00B45F33" w:rsidP="00B45F33">
      <w:pPr>
        <w:ind w:left="20" w:right="40" w:hanging="20"/>
        <w:jc w:val="both"/>
        <w:rPr>
          <w:lang w:val="en-US" w:eastAsia="en-US"/>
        </w:rPr>
      </w:pPr>
      <w:r w:rsidRPr="00B45F33">
        <w:rPr>
          <w:lang w:val="en-US" w:eastAsia="en-US"/>
        </w:rPr>
        <w:tab/>
      </w:r>
      <w:r w:rsidRPr="00B45F33">
        <w:rPr>
          <w:lang w:val="en-US" w:eastAsia="en-US"/>
        </w:rPr>
        <w:tab/>
        <w:t xml:space="preserve">Activitatea de monitorizare a traficului radio, privind respectarea de către utilizatori a regulilor de comunicare, s-a executat conform reglementărilor în vigoare de către şeful serviciului şi de către ofiţerul specialist din cadrul compartimentului comunicaţii. </w:t>
      </w:r>
      <w:r w:rsidRPr="00B45F33">
        <w:rPr>
          <w:b/>
          <w:lang w:val="en-US" w:eastAsia="en-US"/>
        </w:rPr>
        <w:t>Nu au fost probleme</w:t>
      </w:r>
      <w:r w:rsidRPr="00B45F33">
        <w:rPr>
          <w:lang w:val="en-US" w:eastAsia="en-US"/>
        </w:rPr>
        <w:t xml:space="preserve"> pe timpul activităţii de monitorizare.</w:t>
      </w:r>
    </w:p>
    <w:p w:rsidR="00B45F33" w:rsidRPr="00B45F33" w:rsidRDefault="00B45F33" w:rsidP="00B45F33">
      <w:pPr>
        <w:jc w:val="both"/>
        <w:rPr>
          <w:lang w:val="en-US" w:eastAsia="en-US"/>
        </w:rPr>
      </w:pPr>
      <w:r w:rsidRPr="00B45F33">
        <w:rPr>
          <w:b/>
          <w:lang w:val="en-US" w:eastAsia="en-US"/>
        </w:rPr>
        <w:tab/>
      </w:r>
      <w:r w:rsidRPr="00B45F33">
        <w:rPr>
          <w:lang w:val="en-US" w:eastAsia="en-US"/>
        </w:rPr>
        <w:t>Principalele activităţi pe linie comunicaţii, în anul 2019, au fost reprezentate de:</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au fost montate routere pentru intranet la 10 locații ale inspectoratului;</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au fost montate camere de supraveghere perimetrală la toate subunitățile inspectoratului;</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a fost impelmentat sistemul RO-RISK la nivelul Inspecţiei de Prevenire (rețea și configurare echipamente);</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a fost recepționată o autospecială destinată SCTI pentru facilitarea transportului echipamentelor IT la misiuni;</w:t>
      </w:r>
    </w:p>
    <w:p w:rsidR="00B45F33" w:rsidRPr="00B45F33"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au fost montate și configurate echipamentele IT în colaborare cu STS, IGSU, DGCTI la sediul noului dispecerat al inspectoratului;</w:t>
      </w:r>
    </w:p>
    <w:p w:rsidR="00B45F33" w:rsidRPr="009C6A35" w:rsidRDefault="00B45F33" w:rsidP="00980D72">
      <w:pPr>
        <w:numPr>
          <w:ilvl w:val="0"/>
          <w:numId w:val="28"/>
        </w:numPr>
        <w:tabs>
          <w:tab w:val="left" w:pos="360"/>
        </w:tabs>
        <w:spacing w:line="276" w:lineRule="auto"/>
        <w:ind w:left="0" w:firstLine="0"/>
        <w:jc w:val="both"/>
        <w:rPr>
          <w:noProof/>
          <w:lang w:eastAsia="en-US"/>
        </w:rPr>
      </w:pPr>
      <w:r w:rsidRPr="00B45F33">
        <w:rPr>
          <w:noProof/>
          <w:lang w:eastAsia="en-US"/>
        </w:rPr>
        <w:t>au fost recepționate un număr de 20 staţii de lucru, 6 laptopuri, 1 xerox şi 25 imprimante care sunt repartizate şi funcţionează în structurile din organica inspectoratului.</w:t>
      </w:r>
    </w:p>
    <w:p w:rsidR="00B45F33" w:rsidRDefault="00B45F33" w:rsidP="00B45F33">
      <w:pPr>
        <w:rPr>
          <w:lang w:eastAsia="en-US"/>
        </w:rPr>
      </w:pPr>
    </w:p>
    <w:p w:rsidR="00FE31A2" w:rsidRPr="00B45F33" w:rsidRDefault="00FE31A2" w:rsidP="00B45F33">
      <w:pPr>
        <w:rPr>
          <w:lang w:eastAsia="en-US"/>
        </w:rPr>
      </w:pPr>
    </w:p>
    <w:p w:rsidR="005C57E2" w:rsidRDefault="005C57E2" w:rsidP="00A77970">
      <w:pPr>
        <w:pStyle w:val="ListParagraph"/>
        <w:numPr>
          <w:ilvl w:val="1"/>
          <w:numId w:val="6"/>
        </w:numPr>
        <w:ind w:left="709" w:hanging="709"/>
        <w:jc w:val="both"/>
        <w:rPr>
          <w:b/>
        </w:rPr>
      </w:pPr>
      <w:r w:rsidRPr="00AA2551">
        <w:rPr>
          <w:b/>
        </w:rPr>
        <w:lastRenderedPageBreak/>
        <w:t>Protecția copilului și a persoanelor cu dizabilități</w:t>
      </w:r>
    </w:p>
    <w:p w:rsidR="00E12B6B" w:rsidRPr="00E12B6B" w:rsidRDefault="00E12B6B" w:rsidP="00A77970">
      <w:pPr>
        <w:jc w:val="both"/>
        <w:rPr>
          <w:b/>
        </w:rPr>
      </w:pPr>
    </w:p>
    <w:p w:rsidR="009A31C0" w:rsidRPr="009C6A35" w:rsidRDefault="009C3100" w:rsidP="009C6A35">
      <w:pPr>
        <w:spacing w:after="200"/>
        <w:contextualSpacing/>
        <w:jc w:val="both"/>
        <w:rPr>
          <w:rFonts w:eastAsia="MS Mincho"/>
          <w:b/>
        </w:rPr>
      </w:pPr>
      <w:r>
        <w:rPr>
          <w:b/>
          <w:kern w:val="28"/>
          <w:lang w:val="en-US" w:eastAsia="en-US"/>
        </w:rPr>
        <w:t>P</w:t>
      </w:r>
      <w:r w:rsidRPr="001A0ECE">
        <w:rPr>
          <w:b/>
          <w:kern w:val="28"/>
          <w:lang w:val="en-US" w:eastAsia="en-US"/>
        </w:rPr>
        <w:t xml:space="preserve">rincipalele realizări </w:t>
      </w:r>
      <w:r>
        <w:rPr>
          <w:b/>
          <w:kern w:val="28"/>
          <w:lang w:val="en-US" w:eastAsia="en-US"/>
        </w:rPr>
        <w:t xml:space="preserve">ale </w:t>
      </w:r>
      <w:r w:rsidRPr="007A580D">
        <w:rPr>
          <w:rFonts w:eastAsia="MS Mincho"/>
          <w:b/>
        </w:rPr>
        <w:t>Direcţi</w:t>
      </w:r>
      <w:r>
        <w:rPr>
          <w:rFonts w:eastAsia="MS Mincho"/>
          <w:b/>
        </w:rPr>
        <w:t>ei</w:t>
      </w:r>
      <w:r w:rsidRPr="007A580D">
        <w:rPr>
          <w:rFonts w:eastAsia="MS Mincho"/>
          <w:b/>
        </w:rPr>
        <w:t xml:space="preserve"> General</w:t>
      </w:r>
      <w:r>
        <w:rPr>
          <w:rFonts w:eastAsia="MS Mincho"/>
          <w:b/>
        </w:rPr>
        <w:t>e</w:t>
      </w:r>
      <w:r w:rsidRPr="007A580D">
        <w:rPr>
          <w:rFonts w:eastAsia="MS Mincho"/>
          <w:b/>
        </w:rPr>
        <w:t xml:space="preserve"> </w:t>
      </w:r>
      <w:r>
        <w:rPr>
          <w:rFonts w:eastAsia="MS Mincho"/>
          <w:b/>
        </w:rPr>
        <w:t>d</w:t>
      </w:r>
      <w:r w:rsidRPr="007A580D">
        <w:rPr>
          <w:rFonts w:eastAsia="MS Mincho"/>
          <w:b/>
        </w:rPr>
        <w:t xml:space="preserve">e Asistenţă Socială </w:t>
      </w:r>
      <w:r>
        <w:rPr>
          <w:rFonts w:eastAsia="MS Mincho"/>
          <w:b/>
        </w:rPr>
        <w:t>a</w:t>
      </w:r>
      <w:r w:rsidRPr="007A580D">
        <w:rPr>
          <w:rFonts w:eastAsia="MS Mincho"/>
          <w:b/>
        </w:rPr>
        <w:t xml:space="preserve"> Municipiului Bucureşti</w:t>
      </w:r>
    </w:p>
    <w:p w:rsidR="009A31C0" w:rsidRPr="00E64932" w:rsidRDefault="009A31C0" w:rsidP="009A31C0">
      <w:pPr>
        <w:pStyle w:val="Listparagraf1"/>
        <w:spacing w:after="0" w:line="240" w:lineRule="auto"/>
        <w:ind w:left="0"/>
        <w:jc w:val="both"/>
        <w:rPr>
          <w:rFonts w:ascii="Times New Roman" w:hAnsi="Times New Roman"/>
          <w:b/>
          <w:color w:val="000000"/>
          <w:sz w:val="24"/>
          <w:szCs w:val="24"/>
        </w:rPr>
      </w:pPr>
      <w:r w:rsidRPr="00E64932">
        <w:rPr>
          <w:rFonts w:ascii="Times New Roman" w:hAnsi="Times New Roman"/>
          <w:b/>
          <w:color w:val="000000"/>
          <w:sz w:val="24"/>
          <w:szCs w:val="24"/>
        </w:rPr>
        <w:t>►integrarea socială a persoanelor adulte cu handicap</w:t>
      </w:r>
    </w:p>
    <w:p w:rsidR="009A31C0" w:rsidRPr="00E64932" w:rsidRDefault="009A31C0" w:rsidP="009A31C0">
      <w:pPr>
        <w:pStyle w:val="Listparagraf1"/>
        <w:spacing w:after="0" w:line="240" w:lineRule="auto"/>
        <w:ind w:left="0"/>
        <w:jc w:val="both"/>
        <w:rPr>
          <w:rFonts w:ascii="Times New Roman" w:hAnsi="Times New Roman"/>
          <w:b/>
          <w:sz w:val="24"/>
          <w:szCs w:val="24"/>
        </w:rPr>
      </w:pPr>
      <w:r w:rsidRPr="00E64932">
        <w:rPr>
          <w:rFonts w:ascii="Times New Roman" w:hAnsi="Times New Roman"/>
          <w:b/>
          <w:color w:val="FF0000"/>
          <w:sz w:val="24"/>
          <w:szCs w:val="24"/>
        </w:rPr>
        <w:t xml:space="preserve">   </w:t>
      </w:r>
      <w:r w:rsidRPr="00E64932">
        <w:rPr>
          <w:rFonts w:ascii="Times New Roman" w:hAnsi="Times New Roman"/>
          <w:b/>
          <w:color w:val="000000"/>
          <w:sz w:val="24"/>
          <w:szCs w:val="24"/>
        </w:rPr>
        <w:t xml:space="preserve">● </w:t>
      </w:r>
      <w:r w:rsidRPr="00E64932">
        <w:rPr>
          <w:rFonts w:ascii="Times New Roman" w:hAnsi="Times New Roman"/>
          <w:b/>
          <w:sz w:val="24"/>
          <w:szCs w:val="24"/>
        </w:rPr>
        <w:t>Stimulent pentru integrarea socială a persoanelor adulte cu handicap</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Prin H.C.G.M.B. nr.330/2017, completată prin H.C.G.M.B. nr.297/2018 privind stabilirea unor condiții de acordare a stimulentelor financiare, s-a aprobat acordarea unui stimulent pentru integrarea socială a persoanelor adulte cu handicap, în cuantum de 500 lei/lună.</w:t>
      </w:r>
    </w:p>
    <w:p w:rsidR="009A31C0" w:rsidRPr="00E64932" w:rsidRDefault="009A31C0" w:rsidP="009A31C0">
      <w:pPr>
        <w:pStyle w:val="Listparagraf1"/>
        <w:spacing w:after="0" w:line="240" w:lineRule="auto"/>
        <w:ind w:left="0"/>
        <w:jc w:val="both"/>
        <w:rPr>
          <w:rFonts w:ascii="Times New Roman" w:hAnsi="Times New Roman"/>
          <w:color w:val="000000"/>
          <w:sz w:val="24"/>
          <w:szCs w:val="24"/>
        </w:rPr>
      </w:pPr>
      <w:r w:rsidRPr="00E64932">
        <w:rPr>
          <w:rFonts w:ascii="Times New Roman" w:hAnsi="Times New Roman"/>
          <w:sz w:val="24"/>
          <w:szCs w:val="24"/>
        </w:rPr>
        <w:tab/>
      </w:r>
      <w:r w:rsidRPr="00E64932">
        <w:rPr>
          <w:rFonts w:ascii="Times New Roman" w:hAnsi="Times New Roman"/>
          <w:color w:val="000000"/>
          <w:sz w:val="24"/>
          <w:szCs w:val="24"/>
        </w:rPr>
        <w:t>Pentru 2018: total beneficiari unici în plată – 44.509, total sumă plătită - 249.921.500 lei</w:t>
      </w:r>
    </w:p>
    <w:p w:rsidR="009A31C0" w:rsidRPr="00E64932" w:rsidRDefault="009A31C0" w:rsidP="009A31C0">
      <w:pPr>
        <w:pStyle w:val="Listparagraf1"/>
        <w:spacing w:after="0" w:line="240" w:lineRule="auto"/>
        <w:ind w:left="0"/>
        <w:jc w:val="both"/>
        <w:rPr>
          <w:rFonts w:ascii="Times New Roman" w:hAnsi="Times New Roman"/>
          <w:color w:val="000000"/>
          <w:sz w:val="24"/>
          <w:szCs w:val="24"/>
        </w:rPr>
      </w:pPr>
    </w:p>
    <w:p w:rsidR="009A31C0" w:rsidRPr="00E64932" w:rsidRDefault="009A31C0" w:rsidP="009A31C0">
      <w:pPr>
        <w:pStyle w:val="Listparagraf1"/>
        <w:spacing w:after="0" w:line="240" w:lineRule="auto"/>
        <w:ind w:left="0"/>
        <w:jc w:val="both"/>
        <w:rPr>
          <w:rFonts w:ascii="Times New Roman" w:hAnsi="Times New Roman"/>
          <w:b/>
          <w:color w:val="000000"/>
          <w:sz w:val="24"/>
          <w:szCs w:val="24"/>
        </w:rPr>
      </w:pPr>
      <w:r w:rsidRPr="00E64932">
        <w:rPr>
          <w:rFonts w:ascii="Times New Roman" w:hAnsi="Times New Roman"/>
          <w:b/>
          <w:color w:val="000000"/>
          <w:sz w:val="24"/>
          <w:szCs w:val="24"/>
        </w:rPr>
        <w:t>► Sprijin pentru familii și copii</w:t>
      </w:r>
    </w:p>
    <w:p w:rsidR="009A31C0" w:rsidRPr="00E64932" w:rsidRDefault="009A31C0" w:rsidP="009A31C0">
      <w:pPr>
        <w:pStyle w:val="Listparagraf1"/>
        <w:spacing w:after="0" w:line="240" w:lineRule="auto"/>
        <w:ind w:left="0"/>
        <w:jc w:val="both"/>
        <w:rPr>
          <w:rFonts w:ascii="Times New Roman" w:hAnsi="Times New Roman"/>
          <w:b/>
          <w:sz w:val="24"/>
          <w:szCs w:val="24"/>
        </w:rPr>
      </w:pPr>
      <w:r w:rsidRPr="00E64932">
        <w:rPr>
          <w:rFonts w:ascii="Times New Roman" w:hAnsi="Times New Roman"/>
          <w:b/>
          <w:color w:val="000000"/>
          <w:sz w:val="24"/>
          <w:szCs w:val="24"/>
        </w:rPr>
        <w:t xml:space="preserve">   ● </w:t>
      </w:r>
      <w:r w:rsidRPr="00E64932">
        <w:rPr>
          <w:rFonts w:ascii="Times New Roman" w:hAnsi="Times New Roman"/>
          <w:b/>
          <w:sz w:val="24"/>
          <w:szCs w:val="24"/>
        </w:rPr>
        <w:t>Stimulent financiar pentru copii cu handicap</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Prin H.C.G.M.B. nr. 292/2017, completată prin H.C.G.M.B. nr. 297/2018 privind stabilirea unor condiții de acordare a stimulentelor financiare, s-a aprobat acordarea unui stimulent financiar pentru copiii cu handicap, în cuantum de 1.000 lei/lună.</w:t>
      </w:r>
    </w:p>
    <w:p w:rsidR="009A31C0" w:rsidRPr="00E64932" w:rsidRDefault="009A31C0" w:rsidP="009A31C0">
      <w:pPr>
        <w:pStyle w:val="Listparagraf1"/>
        <w:spacing w:after="0" w:line="240" w:lineRule="auto"/>
        <w:ind w:left="0" w:firstLine="720"/>
        <w:jc w:val="both"/>
        <w:rPr>
          <w:rFonts w:ascii="Times New Roman" w:hAnsi="Times New Roman"/>
          <w:color w:val="000000"/>
          <w:sz w:val="24"/>
          <w:szCs w:val="24"/>
        </w:rPr>
      </w:pPr>
      <w:r w:rsidRPr="00E64932">
        <w:rPr>
          <w:rFonts w:ascii="Times New Roman" w:hAnsi="Times New Roman"/>
          <w:color w:val="000000"/>
          <w:sz w:val="24"/>
          <w:szCs w:val="24"/>
        </w:rPr>
        <w:t>Pentru 2018: total beneficiari unici în plată – 5030, total sumă plătită - 56.616.000 lei</w:t>
      </w:r>
    </w:p>
    <w:p w:rsidR="009A31C0" w:rsidRPr="00E64932" w:rsidRDefault="009A31C0" w:rsidP="009A31C0">
      <w:pPr>
        <w:pStyle w:val="Listparagraf1"/>
        <w:spacing w:after="0" w:line="240" w:lineRule="auto"/>
        <w:ind w:left="0"/>
        <w:jc w:val="both"/>
        <w:rPr>
          <w:rFonts w:ascii="Times New Roman" w:hAnsi="Times New Roman"/>
          <w:b/>
          <w:sz w:val="24"/>
          <w:szCs w:val="24"/>
        </w:rPr>
      </w:pPr>
      <w:r w:rsidRPr="00E64932">
        <w:rPr>
          <w:rFonts w:ascii="Times New Roman" w:hAnsi="Times New Roman"/>
          <w:b/>
          <w:color w:val="000000"/>
          <w:sz w:val="24"/>
          <w:szCs w:val="24"/>
        </w:rPr>
        <w:t xml:space="preserve">   ● </w:t>
      </w:r>
      <w:r w:rsidRPr="00E64932">
        <w:rPr>
          <w:rFonts w:ascii="Times New Roman" w:hAnsi="Times New Roman"/>
          <w:b/>
          <w:sz w:val="24"/>
          <w:szCs w:val="24"/>
        </w:rPr>
        <w:t>Ajutor social comunitar lunar pentru familia monoparentală</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Prin H.C.G.M.B. nr.492/2017, completată prin H.C.G.M.B. nr.297/2018 privind stabilirea unor condiții de acordare a stimulentelor financiare și H.C.G.M.B. nr.516/2018, s-a aprobat acordarea unui ajutor social comunitar pentru familia monoparentală.</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Cuantumul ajutorului social comunitar lunar pentru familia monoparentală este: - pentru familia monoparentală, al cărei venit net mediu lunar pe membru de familie se situează până la 200 lei inclusiv, după cum urmează: 300 lei pentru familia cu un copil, 600 lei pentru familia cu 2 copii, 900 lei pentru familia cu 3 copii și 1200 lei pentru familia cu 4 sau mai multi copii; - pentru familia monoparentală, al cărei venit net mediu lunar pe membru de familie se situează peste 201 lei şi până la 530 lei inclusiv, după cum urmează: 200 lei pentru familia cu un copil, 400 lei pentru familia cu 2 copii, 600 lei pentru familia cu 3 copii și 800 lei pentru familia cu 4 sau mai mulți copii.</w:t>
      </w:r>
    </w:p>
    <w:p w:rsidR="009A31C0" w:rsidRPr="00E64932" w:rsidRDefault="009A31C0" w:rsidP="009A31C0">
      <w:pPr>
        <w:pStyle w:val="Listparagraf1"/>
        <w:spacing w:after="0" w:line="240" w:lineRule="auto"/>
        <w:ind w:left="0" w:firstLine="720"/>
        <w:jc w:val="both"/>
        <w:rPr>
          <w:rFonts w:ascii="Times New Roman" w:hAnsi="Times New Roman"/>
          <w:color w:val="000000"/>
          <w:sz w:val="24"/>
          <w:szCs w:val="24"/>
        </w:rPr>
      </w:pPr>
      <w:r w:rsidRPr="00E64932">
        <w:rPr>
          <w:rFonts w:ascii="Times New Roman" w:hAnsi="Times New Roman"/>
          <w:color w:val="000000"/>
          <w:sz w:val="24"/>
          <w:szCs w:val="24"/>
        </w:rPr>
        <w:t>Pentru 2018: număr de dosare depuse – 149, total sumă plătită - 222.000 lei</w:t>
      </w:r>
    </w:p>
    <w:p w:rsidR="009A31C0" w:rsidRPr="00E64932" w:rsidRDefault="009A31C0" w:rsidP="009A31C0">
      <w:pPr>
        <w:pStyle w:val="Listparagraf1"/>
        <w:spacing w:after="0" w:line="240" w:lineRule="auto"/>
        <w:ind w:left="0"/>
        <w:jc w:val="both"/>
        <w:rPr>
          <w:rFonts w:ascii="Times New Roman" w:hAnsi="Times New Roman"/>
          <w:b/>
          <w:sz w:val="24"/>
          <w:szCs w:val="24"/>
        </w:rPr>
      </w:pPr>
      <w:r w:rsidRPr="00E64932">
        <w:rPr>
          <w:rFonts w:ascii="Times New Roman" w:hAnsi="Times New Roman"/>
          <w:b/>
          <w:color w:val="000000"/>
          <w:sz w:val="24"/>
          <w:szCs w:val="24"/>
        </w:rPr>
        <w:t xml:space="preserve">   ● </w:t>
      </w:r>
      <w:r w:rsidRPr="00E64932">
        <w:rPr>
          <w:rFonts w:ascii="Times New Roman" w:hAnsi="Times New Roman"/>
          <w:b/>
          <w:sz w:val="24"/>
          <w:szCs w:val="24"/>
        </w:rPr>
        <w:t>Sprijin financiar pentru prevenirea abandonului școlar în Municipiul București</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Prin H.C.G.M.B. nr.482/2018 s-a aprobat acordarea unui sprijin financiar pentru prevenirea abandonului școlar în Municipiul București.</w:t>
      </w:r>
    </w:p>
    <w:p w:rsidR="009A31C0" w:rsidRPr="00E64932" w:rsidRDefault="009A31C0" w:rsidP="009A31C0">
      <w:pPr>
        <w:pStyle w:val="Listparagraf1"/>
        <w:spacing w:after="0" w:line="240" w:lineRule="auto"/>
        <w:ind w:left="0" w:firstLine="720"/>
        <w:jc w:val="both"/>
        <w:rPr>
          <w:rFonts w:ascii="Times New Roman" w:hAnsi="Times New Roman"/>
          <w:color w:val="000000"/>
          <w:sz w:val="24"/>
          <w:szCs w:val="24"/>
        </w:rPr>
      </w:pPr>
      <w:r w:rsidRPr="00E64932">
        <w:rPr>
          <w:rFonts w:ascii="Times New Roman" w:hAnsi="Times New Roman"/>
          <w:color w:val="000000"/>
          <w:sz w:val="24"/>
          <w:szCs w:val="24"/>
        </w:rPr>
        <w:t>Pentru 2018: număr de dosare depuse – 452, total sumă plătită – 1.168.779,30 lei</w:t>
      </w:r>
    </w:p>
    <w:p w:rsidR="009A31C0" w:rsidRPr="00E64932" w:rsidRDefault="009A31C0" w:rsidP="009A31C0">
      <w:pPr>
        <w:pStyle w:val="Listparagraf1"/>
        <w:spacing w:after="0" w:line="240" w:lineRule="auto"/>
        <w:ind w:left="0"/>
        <w:jc w:val="both"/>
        <w:rPr>
          <w:rFonts w:ascii="Times New Roman" w:hAnsi="Times New Roman"/>
          <w:color w:val="000000"/>
          <w:sz w:val="24"/>
          <w:szCs w:val="24"/>
        </w:rPr>
      </w:pPr>
      <w:r w:rsidRPr="00E64932">
        <w:rPr>
          <w:rFonts w:ascii="Times New Roman" w:hAnsi="Times New Roman"/>
          <w:b/>
          <w:color w:val="000000"/>
          <w:sz w:val="24"/>
          <w:szCs w:val="24"/>
        </w:rPr>
        <w:t xml:space="preserve"> </w:t>
      </w:r>
    </w:p>
    <w:p w:rsidR="009A31C0" w:rsidRPr="00E64932" w:rsidRDefault="009A31C0" w:rsidP="009A31C0">
      <w:pPr>
        <w:pStyle w:val="Listparagraf1"/>
        <w:spacing w:after="0" w:line="240" w:lineRule="auto"/>
        <w:ind w:left="0"/>
        <w:jc w:val="both"/>
        <w:rPr>
          <w:rFonts w:ascii="Times New Roman" w:hAnsi="Times New Roman"/>
          <w:b/>
          <w:color w:val="000000"/>
          <w:sz w:val="24"/>
          <w:szCs w:val="24"/>
        </w:rPr>
      </w:pPr>
      <w:r w:rsidRPr="00E64932">
        <w:rPr>
          <w:rFonts w:ascii="Times New Roman" w:hAnsi="Times New Roman"/>
          <w:b/>
          <w:color w:val="000000"/>
          <w:sz w:val="24"/>
          <w:szCs w:val="24"/>
        </w:rPr>
        <w:t>► Proiectului ”O șansă la integrare socială pentru tinerii care părăsesc sistemul de protecție a copilului din municipiul București”</w:t>
      </w:r>
    </w:p>
    <w:p w:rsidR="009A31C0" w:rsidRPr="00E64932" w:rsidRDefault="009A31C0" w:rsidP="009A31C0">
      <w:pPr>
        <w:pStyle w:val="Listparagraf1"/>
        <w:spacing w:after="0" w:line="240" w:lineRule="auto"/>
        <w:ind w:left="0" w:firstLine="720"/>
        <w:jc w:val="both"/>
        <w:rPr>
          <w:rFonts w:ascii="Times New Roman" w:hAnsi="Times New Roman"/>
          <w:color w:val="000000"/>
          <w:sz w:val="24"/>
          <w:szCs w:val="24"/>
        </w:rPr>
      </w:pPr>
      <w:r w:rsidRPr="00E64932">
        <w:rPr>
          <w:rFonts w:ascii="Times New Roman" w:hAnsi="Times New Roman"/>
          <w:color w:val="000000"/>
          <w:sz w:val="24"/>
          <w:szCs w:val="24"/>
        </w:rPr>
        <w:t>Potrivit prevederilor H.C.G.M.B. nr.483/23.08.2018, D.G.A.S.M.B. va înregistra cererile depuse de tineri, urmând să le acorde consiliere voațională și să îi acompanieze în vederea angajării în cadrul Companiilor Municipale, în baza Protocoalelor de Colaborare și a listelor cu locurile vacante transmise, lunar, de către Companii.</w:t>
      </w:r>
    </w:p>
    <w:p w:rsidR="009A31C0" w:rsidRPr="00E64932" w:rsidRDefault="009A31C0" w:rsidP="009A31C0">
      <w:pPr>
        <w:pStyle w:val="Listparagraf1"/>
        <w:spacing w:after="0" w:line="240" w:lineRule="auto"/>
        <w:ind w:left="0" w:firstLine="720"/>
        <w:jc w:val="both"/>
        <w:rPr>
          <w:rFonts w:ascii="Times New Roman" w:hAnsi="Times New Roman"/>
          <w:color w:val="000000"/>
          <w:sz w:val="24"/>
          <w:szCs w:val="24"/>
        </w:rPr>
      </w:pPr>
    </w:p>
    <w:p w:rsidR="009A31C0" w:rsidRPr="00E64932" w:rsidRDefault="009A31C0" w:rsidP="009A31C0">
      <w:pPr>
        <w:pStyle w:val="Listparagraf1"/>
        <w:spacing w:after="0" w:line="240" w:lineRule="auto"/>
        <w:ind w:left="0"/>
        <w:jc w:val="both"/>
        <w:rPr>
          <w:rFonts w:ascii="Times New Roman" w:hAnsi="Times New Roman"/>
          <w:b/>
          <w:color w:val="000000"/>
          <w:sz w:val="24"/>
          <w:szCs w:val="24"/>
        </w:rPr>
      </w:pPr>
      <w:r w:rsidRPr="00E64932">
        <w:rPr>
          <w:rFonts w:ascii="Times New Roman" w:hAnsi="Times New Roman"/>
          <w:b/>
          <w:color w:val="000000"/>
          <w:sz w:val="24"/>
          <w:szCs w:val="24"/>
        </w:rPr>
        <w:t xml:space="preserve">► Centre de zi </w:t>
      </w:r>
    </w:p>
    <w:p w:rsidR="009A31C0" w:rsidRPr="00E64932" w:rsidRDefault="009A31C0" w:rsidP="009A31C0">
      <w:pPr>
        <w:pStyle w:val="Listparagraf1"/>
        <w:spacing w:after="0" w:line="240" w:lineRule="auto"/>
        <w:ind w:left="0"/>
        <w:jc w:val="both"/>
        <w:rPr>
          <w:rFonts w:ascii="Times New Roman" w:hAnsi="Times New Roman"/>
          <w:b/>
          <w:sz w:val="24"/>
          <w:szCs w:val="24"/>
        </w:rPr>
      </w:pPr>
      <w:r w:rsidRPr="00E64932">
        <w:rPr>
          <w:rFonts w:ascii="Times New Roman" w:hAnsi="Times New Roman"/>
          <w:b/>
          <w:color w:val="000000"/>
          <w:sz w:val="24"/>
          <w:szCs w:val="24"/>
        </w:rPr>
        <w:t xml:space="preserve">   ● </w:t>
      </w:r>
      <w:r w:rsidRPr="00E64932">
        <w:rPr>
          <w:rFonts w:ascii="Times New Roman" w:hAnsi="Times New Roman"/>
          <w:b/>
          <w:sz w:val="24"/>
          <w:szCs w:val="24"/>
        </w:rPr>
        <w:t>Centrului de zi pentru copiii cu autism</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Funcționează în cadrul Complexului Ominis. Protocol de colaborare cu Asociatia Învingem Autismul.</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Asociația are un număr de 20 de beneficiari, copii cu autism, care vin zilnic la activități,</w:t>
      </w:r>
    </w:p>
    <w:p w:rsidR="009A31C0" w:rsidRPr="00E64932" w:rsidRDefault="009A31C0" w:rsidP="009A31C0">
      <w:pPr>
        <w:pStyle w:val="Listparagraf1"/>
        <w:spacing w:after="0" w:line="240" w:lineRule="auto"/>
        <w:ind w:left="180"/>
        <w:jc w:val="both"/>
        <w:rPr>
          <w:rFonts w:ascii="Times New Roman" w:hAnsi="Times New Roman"/>
          <w:sz w:val="24"/>
          <w:szCs w:val="24"/>
        </w:rPr>
      </w:pPr>
      <w:r w:rsidRPr="00E64932">
        <w:rPr>
          <w:rFonts w:ascii="Times New Roman" w:hAnsi="Times New Roman"/>
          <w:b/>
          <w:color w:val="000000"/>
          <w:sz w:val="24"/>
          <w:szCs w:val="24"/>
        </w:rPr>
        <w:t xml:space="preserve">● Joy Place -  Loc de joacă pentru copii cu dizabilităţi </w:t>
      </w:r>
      <w:r w:rsidRPr="00E64932">
        <w:rPr>
          <w:rFonts w:ascii="Times New Roman" w:hAnsi="Times New Roman"/>
          <w:b/>
          <w:color w:val="000000"/>
          <w:sz w:val="24"/>
          <w:szCs w:val="24"/>
        </w:rPr>
        <w:tab/>
      </w:r>
      <w:r w:rsidRPr="00E64932">
        <w:rPr>
          <w:rFonts w:ascii="Times New Roman" w:hAnsi="Times New Roman"/>
          <w:b/>
          <w:color w:val="000000"/>
          <w:sz w:val="24"/>
          <w:szCs w:val="24"/>
        </w:rPr>
        <w:tab/>
      </w:r>
      <w:r w:rsidRPr="00E64932">
        <w:rPr>
          <w:rFonts w:ascii="Times New Roman" w:hAnsi="Times New Roman"/>
          <w:b/>
          <w:color w:val="000000"/>
          <w:sz w:val="24"/>
          <w:szCs w:val="24"/>
        </w:rPr>
        <w:tab/>
      </w:r>
      <w:r w:rsidRPr="00E64932">
        <w:rPr>
          <w:rFonts w:ascii="Times New Roman" w:hAnsi="Times New Roman"/>
          <w:b/>
          <w:color w:val="000000"/>
          <w:sz w:val="24"/>
          <w:szCs w:val="24"/>
        </w:rPr>
        <w:tab/>
      </w:r>
      <w:r w:rsidRPr="00E64932">
        <w:rPr>
          <w:rFonts w:ascii="Times New Roman" w:hAnsi="Times New Roman"/>
          <w:b/>
          <w:color w:val="000000"/>
          <w:sz w:val="24"/>
          <w:szCs w:val="24"/>
        </w:rPr>
        <w:tab/>
        <w:t xml:space="preserve">  </w:t>
      </w:r>
      <w:r w:rsidRPr="00E64932">
        <w:rPr>
          <w:rFonts w:ascii="Times New Roman" w:hAnsi="Times New Roman"/>
          <w:sz w:val="24"/>
          <w:szCs w:val="24"/>
        </w:rPr>
        <w:t>Protocol de colaborare cu Asociaţia Vreau şi eu să merg. În cadrul Joy Place, sunt organizate evenimente, seminarii, ateliere, petreceri pentru copiii cu dizabilităţi din Municipiul Bucureşti.</w:t>
      </w:r>
    </w:p>
    <w:p w:rsidR="009A31C0" w:rsidRPr="00E64932" w:rsidRDefault="009A31C0" w:rsidP="009A31C0">
      <w:pPr>
        <w:pStyle w:val="Listparagraf1"/>
        <w:spacing w:after="0" w:line="240" w:lineRule="auto"/>
        <w:ind w:left="0"/>
        <w:jc w:val="both"/>
        <w:rPr>
          <w:rFonts w:ascii="Times New Roman" w:hAnsi="Times New Roman"/>
          <w:b/>
          <w:color w:val="FF0000"/>
          <w:sz w:val="24"/>
          <w:szCs w:val="24"/>
        </w:rPr>
      </w:pPr>
    </w:p>
    <w:p w:rsidR="00284A40" w:rsidRDefault="00284A40" w:rsidP="00A77970">
      <w:pPr>
        <w:jc w:val="both"/>
        <w:rPr>
          <w:b/>
        </w:rPr>
      </w:pPr>
    </w:p>
    <w:p w:rsidR="000E61E1" w:rsidRDefault="009C3100" w:rsidP="00A77970">
      <w:pPr>
        <w:jc w:val="both"/>
        <w:rPr>
          <w:b/>
        </w:rPr>
      </w:pPr>
      <w:r>
        <w:rPr>
          <w:b/>
          <w:kern w:val="28"/>
          <w:lang w:val="en-US" w:eastAsia="en-US"/>
        </w:rPr>
        <w:t>P</w:t>
      </w:r>
      <w:r w:rsidRPr="001A0ECE">
        <w:rPr>
          <w:b/>
          <w:kern w:val="28"/>
          <w:lang w:val="en-US" w:eastAsia="en-US"/>
        </w:rPr>
        <w:t xml:space="preserve">rincipalele realizări </w:t>
      </w:r>
      <w:r>
        <w:rPr>
          <w:b/>
          <w:kern w:val="28"/>
          <w:lang w:val="en-US" w:eastAsia="en-US"/>
        </w:rPr>
        <w:t xml:space="preserve">ale </w:t>
      </w:r>
      <w:r>
        <w:rPr>
          <w:b/>
        </w:rPr>
        <w:t>Direcției pentru Sport și Tineret a Municipiului București</w:t>
      </w:r>
    </w:p>
    <w:p w:rsidR="009C3100" w:rsidRDefault="009C3100" w:rsidP="00A77970">
      <w:pPr>
        <w:jc w:val="both"/>
        <w:rPr>
          <w:b/>
          <w:kern w:val="28"/>
          <w:lang w:val="en-US" w:eastAsia="en-US"/>
        </w:rPr>
      </w:pPr>
    </w:p>
    <w:p w:rsidR="000E61E1" w:rsidRPr="00256F5C" w:rsidRDefault="00256F5C" w:rsidP="00A77970">
      <w:pPr>
        <w:jc w:val="both"/>
        <w:rPr>
          <w:b/>
          <w:i/>
          <w:iCs/>
          <w:lang w:val="en-US"/>
        </w:rPr>
      </w:pPr>
      <w:r w:rsidRPr="00256F5C">
        <w:rPr>
          <w:b/>
          <w:i/>
          <w:iCs/>
          <w:lang w:val="en-US"/>
        </w:rPr>
        <w:t xml:space="preserve">TABERE </w:t>
      </w:r>
      <w:r w:rsidRPr="00256F5C">
        <w:rPr>
          <w:b/>
          <w:i/>
        </w:rPr>
        <w:t>PENTRU COPII ȘI TINERI, PROVENIȚI DIN MEDII DEFAVORIZATE SOCIAL ȘI A TABERELOR PENTRU PERSOANE CU DIZABILITĂȚI</w:t>
      </w:r>
    </w:p>
    <w:p w:rsidR="000E61E1" w:rsidRPr="000E0AEE" w:rsidRDefault="000E61E1" w:rsidP="00A77970">
      <w:pPr>
        <w:ind w:firstLine="709"/>
        <w:jc w:val="both"/>
      </w:pPr>
      <w:r w:rsidRPr="000E0AEE">
        <w:rPr>
          <w:iCs/>
          <w:lang w:val="en-US"/>
        </w:rPr>
        <w:t>DSTMB a reușit trimiterea în tabere a unui</w:t>
      </w:r>
      <w:r w:rsidRPr="000E0AEE">
        <w:t xml:space="preserve"> număr de </w:t>
      </w:r>
      <w:r w:rsidR="007A478C">
        <w:t>179</w:t>
      </w:r>
      <w:r w:rsidRPr="000E0AEE">
        <w:t xml:space="preserve"> de </w:t>
      </w:r>
      <w:r w:rsidR="007A478C">
        <w:t>persoane,</w:t>
      </w:r>
      <w:r w:rsidRPr="000E0AEE">
        <w:t xml:space="preserve"> dintre care:</w:t>
      </w:r>
    </w:p>
    <w:p w:rsidR="000E61E1" w:rsidRPr="000E0AEE" w:rsidRDefault="004B6AD1" w:rsidP="00980D72">
      <w:pPr>
        <w:numPr>
          <w:ilvl w:val="0"/>
          <w:numId w:val="17"/>
        </w:numPr>
        <w:spacing w:after="200"/>
        <w:ind w:left="1134" w:hanging="425"/>
        <w:contextualSpacing/>
        <w:jc w:val="both"/>
        <w:rPr>
          <w:rFonts w:eastAsia="Calibri"/>
          <w:lang w:eastAsia="en-US"/>
        </w:rPr>
      </w:pPr>
      <w:r>
        <w:rPr>
          <w:rFonts w:eastAsia="Calibri"/>
          <w:lang w:eastAsia="en-US"/>
        </w:rPr>
        <w:t>88</w:t>
      </w:r>
      <w:r w:rsidR="000E61E1" w:rsidRPr="000E0AEE">
        <w:rPr>
          <w:rFonts w:eastAsia="Calibri"/>
          <w:lang w:eastAsia="en-US"/>
        </w:rPr>
        <w:t xml:space="preserve"> participanți în tabere pentru persoane cu dizabilități</w:t>
      </w:r>
      <w:r w:rsidR="007A478C">
        <w:rPr>
          <w:rFonts w:eastAsia="Calibri"/>
          <w:lang w:eastAsia="en-US"/>
        </w:rPr>
        <w:t>;</w:t>
      </w:r>
    </w:p>
    <w:p w:rsidR="000E61E1" w:rsidRPr="000E0AEE" w:rsidRDefault="004B6AD1" w:rsidP="00980D72">
      <w:pPr>
        <w:numPr>
          <w:ilvl w:val="0"/>
          <w:numId w:val="17"/>
        </w:numPr>
        <w:spacing w:after="200"/>
        <w:ind w:left="1134" w:hanging="425"/>
        <w:contextualSpacing/>
        <w:jc w:val="both"/>
        <w:rPr>
          <w:rFonts w:eastAsia="Calibri"/>
          <w:lang w:eastAsia="en-US"/>
        </w:rPr>
      </w:pPr>
      <w:r>
        <w:rPr>
          <w:rFonts w:eastAsia="Calibri"/>
          <w:lang w:eastAsia="en-US"/>
        </w:rPr>
        <w:t>91</w:t>
      </w:r>
      <w:r w:rsidR="000E61E1" w:rsidRPr="000E0AEE">
        <w:rPr>
          <w:rFonts w:eastAsia="Calibri"/>
          <w:lang w:eastAsia="en-US"/>
        </w:rPr>
        <w:t xml:space="preserve"> participanți în tabere sociale pentru persoane defavorizate</w:t>
      </w:r>
      <w:r w:rsidR="007A478C">
        <w:rPr>
          <w:rFonts w:eastAsia="Calibri"/>
          <w:lang w:eastAsia="en-US"/>
        </w:rPr>
        <w:t>;</w:t>
      </w:r>
    </w:p>
    <w:p w:rsidR="000E61E1" w:rsidRPr="000E0AEE" w:rsidRDefault="000E61E1" w:rsidP="00980D72">
      <w:pPr>
        <w:numPr>
          <w:ilvl w:val="0"/>
          <w:numId w:val="17"/>
        </w:numPr>
        <w:tabs>
          <w:tab w:val="left" w:pos="1134"/>
        </w:tabs>
        <w:spacing w:after="200"/>
        <w:ind w:left="425" w:firstLine="284"/>
        <w:contextualSpacing/>
        <w:jc w:val="both"/>
        <w:rPr>
          <w:rFonts w:eastAsia="Calibri"/>
          <w:lang w:eastAsia="en-US"/>
        </w:rPr>
      </w:pPr>
      <w:r w:rsidRPr="000E0AEE">
        <w:rPr>
          <w:rFonts w:eastAsia="Calibri"/>
          <w:lang w:eastAsia="en-US"/>
        </w:rPr>
        <w:t>0 participanți în tabere pentru copii părinților deținători de certificate de revoluționari.</w:t>
      </w:r>
    </w:p>
    <w:p w:rsidR="000E61E1" w:rsidRPr="000E0AEE" w:rsidRDefault="000E61E1" w:rsidP="00A77970">
      <w:pPr>
        <w:ind w:firstLine="567"/>
        <w:jc w:val="both"/>
      </w:pPr>
      <w:r w:rsidRPr="000E0AEE">
        <w:t>Având în vedere normele metodologice emise de către MTS privind organizarea taberelor pentru copii și tineri, proveniți din medii defavorizate social și a taberelor pentru persoane cu dizabilități, menționăm următoarele:</w:t>
      </w:r>
    </w:p>
    <w:p w:rsidR="000E61E1" w:rsidRPr="000E0AEE" w:rsidRDefault="000E61E1" w:rsidP="00980D72">
      <w:pPr>
        <w:numPr>
          <w:ilvl w:val="0"/>
          <w:numId w:val="18"/>
        </w:numPr>
        <w:tabs>
          <w:tab w:val="left" w:pos="540"/>
        </w:tabs>
        <w:spacing w:after="200"/>
        <w:ind w:left="0" w:firstLine="0"/>
        <w:contextualSpacing/>
        <w:jc w:val="both"/>
        <w:rPr>
          <w:rFonts w:eastAsia="Calibri"/>
          <w:lang w:eastAsia="en-US"/>
        </w:rPr>
      </w:pPr>
      <w:r w:rsidRPr="000E0AEE">
        <w:rPr>
          <w:rFonts w:eastAsia="Calibri"/>
          <w:b/>
          <w:bCs/>
          <w:lang w:eastAsia="en-US"/>
        </w:rPr>
        <w:t>Tabere  cu caracter social pentru persoane defavorizate</w:t>
      </w:r>
    </w:p>
    <w:p w:rsidR="004B6AD1" w:rsidRPr="00F43616" w:rsidRDefault="00256F5C" w:rsidP="00256F5C">
      <w:pPr>
        <w:tabs>
          <w:tab w:val="left" w:pos="540"/>
        </w:tabs>
        <w:jc w:val="both"/>
      </w:pPr>
      <w:r>
        <w:tab/>
      </w:r>
      <w:r w:rsidR="004B6AD1" w:rsidRPr="00F43616">
        <w:t>Ministerul Tineretului și Sportului a aprobat un număr total de 91</w:t>
      </w:r>
      <w:r w:rsidR="004B6AD1" w:rsidRPr="004B6AD1">
        <w:t xml:space="preserve"> </w:t>
      </w:r>
      <w:r w:rsidR="004B6AD1" w:rsidRPr="00F43616">
        <w:t xml:space="preserve">locuri, din care au fost ocupate un număr de 91 locuri, iar din bugetul total de 64.500 lei (cazare+masă + transport) alocat, au fost cheltuiți </w:t>
      </w:r>
      <w:r w:rsidR="004B6AD1" w:rsidRPr="004B6AD1">
        <w:t xml:space="preserve">42.029,15 </w:t>
      </w:r>
      <w:r w:rsidR="004B6AD1" w:rsidRPr="00F43616">
        <w:t>lei, diferența fiind restituită ordonatorului principal de credite (MTS).</w:t>
      </w:r>
    </w:p>
    <w:p w:rsidR="000E61E1" w:rsidRPr="004B6AD1" w:rsidRDefault="000E61E1" w:rsidP="00980D72">
      <w:pPr>
        <w:numPr>
          <w:ilvl w:val="0"/>
          <w:numId w:val="18"/>
        </w:numPr>
        <w:tabs>
          <w:tab w:val="left" w:pos="540"/>
        </w:tabs>
        <w:spacing w:after="200"/>
        <w:ind w:left="0" w:firstLine="0"/>
        <w:contextualSpacing/>
        <w:jc w:val="both"/>
        <w:rPr>
          <w:rFonts w:eastAsia="Calibri"/>
          <w:b/>
          <w:bCs/>
          <w:lang w:eastAsia="en-US"/>
        </w:rPr>
      </w:pPr>
      <w:r w:rsidRPr="000E0AEE">
        <w:rPr>
          <w:rFonts w:eastAsia="Calibri"/>
          <w:b/>
          <w:bCs/>
          <w:lang w:eastAsia="en-US"/>
        </w:rPr>
        <w:t xml:space="preserve">Tabere pentru persoane cu dizabilități </w:t>
      </w:r>
    </w:p>
    <w:p w:rsidR="000E61E1" w:rsidRPr="004B6AD1" w:rsidRDefault="00256F5C" w:rsidP="00256F5C">
      <w:pPr>
        <w:tabs>
          <w:tab w:val="left" w:pos="540"/>
        </w:tabs>
        <w:jc w:val="both"/>
      </w:pPr>
      <w:r>
        <w:tab/>
      </w:r>
      <w:r w:rsidR="004B6AD1" w:rsidRPr="004B6AD1">
        <w:t xml:space="preserve">Ministerul Tineretului și Sportului a aprobat un număr de 88 locuri, din care au fost ocupate 88 de locuri, iar din bugetul total de 40.000 lei, au fost cheltuiți 35.200 lei, diferența fiind restituită ordonatorului principal de credite (MTS).  </w:t>
      </w:r>
    </w:p>
    <w:p w:rsidR="000E61E1" w:rsidRDefault="004B6AD1" w:rsidP="00A77970">
      <w:pPr>
        <w:ind w:left="284"/>
        <w:jc w:val="both"/>
        <w:rPr>
          <w:rFonts w:ascii="Trebuchet MS" w:hAnsi="Trebuchet MS"/>
          <w:sz w:val="22"/>
          <w:szCs w:val="22"/>
        </w:rPr>
      </w:pPr>
      <w:r w:rsidRPr="00F43616">
        <w:rPr>
          <w:rFonts w:eastAsia="Calibri"/>
          <w:noProof/>
        </w:rPr>
        <w:drawing>
          <wp:inline distT="0" distB="0" distL="0" distR="0">
            <wp:extent cx="4371975" cy="253365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E041F" w:rsidRDefault="00FE041F" w:rsidP="00A77970">
      <w:pPr>
        <w:ind w:left="284"/>
        <w:jc w:val="both"/>
        <w:rPr>
          <w:rFonts w:ascii="Trebuchet MS" w:hAnsi="Trebuchet MS"/>
          <w:sz w:val="22"/>
          <w:szCs w:val="22"/>
        </w:rPr>
      </w:pPr>
    </w:p>
    <w:p w:rsidR="009C3100" w:rsidRDefault="009C3100" w:rsidP="00A77970">
      <w:pPr>
        <w:ind w:left="284"/>
        <w:jc w:val="both"/>
        <w:rPr>
          <w:rFonts w:ascii="Trebuchet MS" w:hAnsi="Trebuchet MS"/>
          <w:sz w:val="22"/>
          <w:szCs w:val="22"/>
        </w:rPr>
      </w:pPr>
    </w:p>
    <w:p w:rsidR="00284A40" w:rsidRPr="000E61E1" w:rsidRDefault="00284A40" w:rsidP="00A77970">
      <w:pPr>
        <w:ind w:left="284"/>
        <w:jc w:val="both"/>
        <w:rPr>
          <w:rFonts w:ascii="Trebuchet MS" w:hAnsi="Trebuchet MS"/>
          <w:sz w:val="22"/>
          <w:szCs w:val="22"/>
        </w:rPr>
      </w:pPr>
    </w:p>
    <w:p w:rsidR="00855820" w:rsidRPr="00321AC5" w:rsidRDefault="00D65420" w:rsidP="00A77970">
      <w:pPr>
        <w:pStyle w:val="ListParagraph"/>
        <w:numPr>
          <w:ilvl w:val="1"/>
          <w:numId w:val="6"/>
        </w:numPr>
        <w:tabs>
          <w:tab w:val="left" w:pos="709"/>
        </w:tabs>
        <w:ind w:left="709" w:hanging="709"/>
        <w:jc w:val="both"/>
        <w:rPr>
          <w:b/>
        </w:rPr>
      </w:pPr>
      <w:r w:rsidRPr="007E172A">
        <w:rPr>
          <w:b/>
        </w:rPr>
        <w:t xml:space="preserve">Relații externe, cooperare regională și transfrontalieră, </w:t>
      </w:r>
      <w:r w:rsidRPr="00D65420">
        <w:rPr>
          <w:b/>
        </w:rPr>
        <w:t>programe și acțiuni cu finanțare externă</w:t>
      </w:r>
    </w:p>
    <w:p w:rsidR="00674BCC" w:rsidRDefault="00674BCC" w:rsidP="00A77970">
      <w:pPr>
        <w:tabs>
          <w:tab w:val="left" w:pos="993"/>
        </w:tabs>
        <w:jc w:val="both"/>
      </w:pPr>
    </w:p>
    <w:p w:rsidR="0064439C" w:rsidRPr="00521218" w:rsidRDefault="0064439C" w:rsidP="00A77970">
      <w:pPr>
        <w:jc w:val="both"/>
        <w:rPr>
          <w:shd w:val="clear" w:color="auto" w:fill="FFFFFF"/>
          <w:lang w:val="en-US" w:eastAsia="en-US"/>
        </w:rPr>
      </w:pPr>
      <w:r>
        <w:rPr>
          <w:lang w:val="en-US" w:eastAsia="en-US"/>
        </w:rPr>
        <w:tab/>
      </w:r>
      <w:r w:rsidRPr="00521218">
        <w:rPr>
          <w:lang w:val="en-US" w:eastAsia="en-US"/>
        </w:rPr>
        <w:t xml:space="preserve">Conform prevederilor art. 6, alin. (1), punctul 3, lit. a) din Hotărârea Guvernului nr. 460/2006 pentru aplicarea unor prevederi ale Legii nr. 340/2004 privind prefectul şi instituţia prefectului, </w:t>
      </w:r>
      <w:r w:rsidRPr="00521218">
        <w:rPr>
          <w:shd w:val="clear" w:color="auto" w:fill="FFFFFF"/>
          <w:lang w:val="en-US" w:eastAsia="en-US"/>
        </w:rPr>
        <w:t>structurile de specialitate ale instituţiei prefectului</w:t>
      </w:r>
      <w:r w:rsidR="00DA6F5C" w:rsidRPr="00521218">
        <w:rPr>
          <w:shd w:val="clear" w:color="auto" w:fill="FFFFFF"/>
          <w:lang w:val="en-US" w:eastAsia="en-US"/>
        </w:rPr>
        <w:t xml:space="preserve"> </w:t>
      </w:r>
      <w:r w:rsidRPr="00521218">
        <w:rPr>
          <w:shd w:val="clear" w:color="auto" w:fill="FFFFFF"/>
          <w:lang w:val="en-US" w:eastAsia="en-US"/>
        </w:rPr>
        <w:t xml:space="preserve">întocmesc anual </w:t>
      </w:r>
      <w:r w:rsidRPr="00521218">
        <w:rPr>
          <w:b/>
          <w:shd w:val="clear" w:color="auto" w:fill="FFFFFF"/>
          <w:lang w:val="en-US" w:eastAsia="en-US"/>
        </w:rPr>
        <w:t>planul de acţiuni pentru realizarea în judeţ, respectiv în municipiul Bucureşti, a politicilor naţionale, a politicilor de integrare europeană şi intensificare a relaţiilor externe</w:t>
      </w:r>
      <w:r w:rsidRPr="00521218">
        <w:rPr>
          <w:shd w:val="clear" w:color="auto" w:fill="FFFFFF"/>
          <w:lang w:val="en-US" w:eastAsia="en-US"/>
        </w:rPr>
        <w:t xml:space="preserve">, cu consultarea consiliului judeţean, respectiv a Consiliului General al Municipiului Bucureşti, şi a conducătorilor serviciilor publice deconcentrate. </w:t>
      </w:r>
      <w:r w:rsidRPr="00521218">
        <w:rPr>
          <w:rFonts w:eastAsiaTheme="minorEastAsia"/>
          <w:b/>
          <w:shd w:val="clear" w:color="auto" w:fill="FFFFFF"/>
          <w:lang w:val="en-US" w:eastAsia="en-US"/>
        </w:rPr>
        <w:t xml:space="preserve">Planul a fost </w:t>
      </w:r>
      <w:r w:rsidRPr="00521218">
        <w:rPr>
          <w:rFonts w:eastAsiaTheme="minorEastAsia"/>
          <w:b/>
          <w:color w:val="000000"/>
          <w:lang w:val="en-US" w:eastAsia="en-US"/>
        </w:rPr>
        <w:t>aprobat prin Hotărârea Colegiului Prefectural nr. 03/</w:t>
      </w:r>
      <w:r w:rsidR="0030748B" w:rsidRPr="00521218">
        <w:rPr>
          <w:rFonts w:eastAsiaTheme="minorEastAsia"/>
          <w:b/>
          <w:color w:val="000000"/>
          <w:lang w:val="en-US" w:eastAsia="en-US"/>
        </w:rPr>
        <w:t>27.04.2018</w:t>
      </w:r>
      <w:r w:rsidRPr="00521218">
        <w:rPr>
          <w:rFonts w:eastAsiaTheme="minorEastAsia"/>
          <w:b/>
          <w:color w:val="000000"/>
          <w:lang w:val="en-US" w:eastAsia="en-US"/>
        </w:rPr>
        <w:t xml:space="preserve"> și publicat pe site-ul Instituţiei Prefectului Municipiului Bucureşti.</w:t>
      </w:r>
    </w:p>
    <w:p w:rsidR="00674BCC" w:rsidRPr="009C3100" w:rsidRDefault="0064439C" w:rsidP="00A77970">
      <w:pPr>
        <w:contextualSpacing/>
        <w:jc w:val="both"/>
        <w:rPr>
          <w:rFonts w:eastAsiaTheme="minorEastAsia"/>
          <w:b/>
          <w:color w:val="000000"/>
          <w:shd w:val="clear" w:color="auto" w:fill="FFFFFF"/>
          <w:lang w:val="en-US" w:eastAsia="en-US"/>
        </w:rPr>
      </w:pPr>
      <w:r w:rsidRPr="00521218">
        <w:rPr>
          <w:rFonts w:eastAsiaTheme="minorEastAsia"/>
          <w:color w:val="000000"/>
          <w:shd w:val="clear" w:color="auto" w:fill="FFFFFF"/>
          <w:lang w:val="en-US" w:eastAsia="en-US"/>
        </w:rPr>
        <w:lastRenderedPageBreak/>
        <w:tab/>
        <w:t xml:space="preserve">Potrivit prevederilor </w:t>
      </w:r>
      <w:r w:rsidRPr="00521218">
        <w:rPr>
          <w:lang w:val="en-US" w:eastAsia="en-US"/>
        </w:rPr>
        <w:t xml:space="preserve">art. 6, alin. (1), punctul 3, lit. b) din Hotărârea Guvernului nr. 460/2006 pentru aplicarea unor prevederi ale Legii nr. 340/2004 privind prefectul şi instituţia prefectului, </w:t>
      </w:r>
      <w:r w:rsidRPr="00521218">
        <w:rPr>
          <w:rFonts w:eastAsiaTheme="minorEastAsia"/>
          <w:color w:val="000000"/>
          <w:shd w:val="clear" w:color="auto" w:fill="FFFFFF"/>
          <w:lang w:val="en-US" w:eastAsia="en-US"/>
        </w:rPr>
        <w:t>structurile de specialitate ale instituţiei prefectului</w:t>
      </w:r>
      <w:r w:rsidRPr="00521218">
        <w:rPr>
          <w:rFonts w:eastAsiaTheme="minorEastAsia"/>
          <w:color w:val="000000"/>
          <w:lang w:val="en-US" w:eastAsia="en-US"/>
        </w:rPr>
        <w:t xml:space="preserve"> elaborează, în colaborare cu reprezentanţi ai consiliului judeţean, respectiv ai Consiliului General al Municipiului Bucureşti, ai serviciilor publice deconcentrate, ai autorităţilor administraţiei publice locale, precum şi ai societăţii civile, </w:t>
      </w:r>
      <w:r w:rsidRPr="00521218">
        <w:rPr>
          <w:rFonts w:eastAsiaTheme="minorEastAsia"/>
          <w:b/>
          <w:color w:val="000000"/>
          <w:lang w:val="en-US" w:eastAsia="en-US"/>
        </w:rPr>
        <w:t>Planul de măsuri al municipiului Bucureşti, în conformitate cu documentele programatice referitoare la integrarea europeană</w:t>
      </w:r>
      <w:r w:rsidRPr="00521218">
        <w:rPr>
          <w:rFonts w:eastAsiaTheme="minorEastAsia"/>
          <w:color w:val="000000"/>
          <w:lang w:val="en-US" w:eastAsia="en-US"/>
        </w:rPr>
        <w:t>.</w:t>
      </w:r>
      <w:r w:rsidRPr="00521218">
        <w:rPr>
          <w:rFonts w:eastAsiaTheme="minorEastAsia"/>
          <w:color w:val="000000"/>
          <w:shd w:val="clear" w:color="auto" w:fill="FFFFFF"/>
          <w:lang w:val="en-US" w:eastAsia="en-US"/>
        </w:rPr>
        <w:t xml:space="preserve"> </w:t>
      </w:r>
      <w:r w:rsidRPr="00521218">
        <w:rPr>
          <w:rFonts w:eastAsiaTheme="minorEastAsia"/>
          <w:b/>
          <w:color w:val="000000"/>
          <w:lang w:val="en-US" w:eastAsia="en-US"/>
        </w:rPr>
        <w:t>Planul a fost aprobat prin Hotărârea Colegiului Prefectural nr. 04/</w:t>
      </w:r>
      <w:r w:rsidR="0030748B" w:rsidRPr="00521218">
        <w:rPr>
          <w:rFonts w:eastAsiaTheme="minorEastAsia"/>
          <w:b/>
          <w:color w:val="000000"/>
          <w:lang w:val="en-US" w:eastAsia="en-US"/>
        </w:rPr>
        <w:t>27.04.2018</w:t>
      </w:r>
      <w:r w:rsidRPr="00521218">
        <w:rPr>
          <w:rFonts w:eastAsiaTheme="minorEastAsia"/>
          <w:b/>
          <w:color w:val="000000"/>
          <w:shd w:val="clear" w:color="auto" w:fill="FFFFFF"/>
          <w:lang w:val="en-US" w:eastAsia="en-US"/>
        </w:rPr>
        <w:t xml:space="preserve"> și publicat </w:t>
      </w:r>
      <w:r w:rsidRPr="00521218">
        <w:rPr>
          <w:rFonts w:eastAsiaTheme="minorEastAsia"/>
          <w:b/>
          <w:color w:val="000000"/>
          <w:lang w:val="en-US" w:eastAsia="en-US"/>
        </w:rPr>
        <w:t>pe site-ul Instituţiei Prefectului Municipiului Bucureşti</w:t>
      </w:r>
    </w:p>
    <w:p w:rsidR="00284A40" w:rsidRDefault="00284A40" w:rsidP="00A77970">
      <w:pPr>
        <w:spacing w:after="200"/>
        <w:contextualSpacing/>
        <w:rPr>
          <w:rFonts w:eastAsia="MS Mincho"/>
          <w:b/>
        </w:rPr>
      </w:pPr>
    </w:p>
    <w:p w:rsidR="003B6DC5" w:rsidRDefault="002E5576" w:rsidP="00A77970">
      <w:pPr>
        <w:spacing w:after="200"/>
        <w:contextualSpacing/>
        <w:rPr>
          <w:rFonts w:eastAsia="MS Mincho"/>
          <w:b/>
        </w:rPr>
      </w:pPr>
      <w:r>
        <w:rPr>
          <w:rFonts w:eastAsia="MS Mincho"/>
          <w:b/>
        </w:rPr>
        <w:t>PRIMĂRIA MUNICIPIULUI BUCUREȘTI</w:t>
      </w:r>
      <w:r w:rsidR="00DA6F5C">
        <w:rPr>
          <w:rFonts w:eastAsia="MS Mincho"/>
          <w:b/>
        </w:rPr>
        <w:t xml:space="preserve"> </w:t>
      </w:r>
    </w:p>
    <w:p w:rsidR="009C6A35" w:rsidRPr="00E64932" w:rsidRDefault="009C6A35" w:rsidP="009C6A35">
      <w:pPr>
        <w:pStyle w:val="Listparagraf1"/>
        <w:spacing w:after="0" w:line="240" w:lineRule="auto"/>
        <w:ind w:left="0"/>
        <w:jc w:val="both"/>
        <w:rPr>
          <w:rFonts w:ascii="Times New Roman" w:hAnsi="Times New Roman"/>
          <w:b/>
          <w:sz w:val="24"/>
          <w:szCs w:val="24"/>
        </w:rPr>
      </w:pPr>
      <w:r w:rsidRPr="00E64932">
        <w:rPr>
          <w:rFonts w:ascii="Times New Roman" w:hAnsi="Times New Roman"/>
          <w:b/>
          <w:sz w:val="24"/>
          <w:szCs w:val="24"/>
        </w:rPr>
        <w:t>P.M.B. – Direcția Relații Externe și Protocol</w:t>
      </w:r>
    </w:p>
    <w:p w:rsidR="009C6A35" w:rsidRPr="00E64932" w:rsidRDefault="009C6A35" w:rsidP="009C6A35">
      <w:pPr>
        <w:pStyle w:val="Listparagraf1"/>
        <w:spacing w:after="0" w:line="240" w:lineRule="auto"/>
        <w:ind w:left="0"/>
        <w:jc w:val="both"/>
        <w:rPr>
          <w:rFonts w:ascii="Times New Roman" w:hAnsi="Times New Roman"/>
          <w:color w:val="FF0000"/>
          <w:sz w:val="24"/>
          <w:szCs w:val="24"/>
        </w:rPr>
      </w:pPr>
    </w:p>
    <w:p w:rsidR="009C6A35" w:rsidRPr="00E64932" w:rsidRDefault="009C6A35" w:rsidP="009C6A35">
      <w:pPr>
        <w:pStyle w:val="Listparagraf1"/>
        <w:spacing w:after="0" w:line="240" w:lineRule="auto"/>
        <w:ind w:left="0"/>
        <w:jc w:val="both"/>
        <w:rPr>
          <w:rFonts w:ascii="Times New Roman" w:eastAsia="Calibri" w:hAnsi="Times New Roman"/>
          <w:b/>
          <w:sz w:val="24"/>
          <w:szCs w:val="24"/>
        </w:rPr>
      </w:pPr>
      <w:r w:rsidRPr="00E64932">
        <w:rPr>
          <w:rFonts w:ascii="Times New Roman" w:hAnsi="Times New Roman"/>
          <w:b/>
          <w:color w:val="000000"/>
          <w:sz w:val="24"/>
          <w:szCs w:val="24"/>
        </w:rPr>
        <w:t>► P</w:t>
      </w:r>
      <w:r w:rsidRPr="00E64932">
        <w:rPr>
          <w:rFonts w:ascii="Times New Roman" w:eastAsia="Calibri" w:hAnsi="Times New Roman"/>
          <w:b/>
          <w:sz w:val="24"/>
          <w:szCs w:val="24"/>
        </w:rPr>
        <w:t>romovare și intensificare a relațiilor externe ale Municipiului București</w:t>
      </w:r>
    </w:p>
    <w:p w:rsidR="009C6A35" w:rsidRPr="00E64932" w:rsidRDefault="009C6A35" w:rsidP="009C6A35">
      <w:pPr>
        <w:pStyle w:val="Listparagraf1"/>
        <w:spacing w:after="0" w:line="240" w:lineRule="auto"/>
        <w:ind w:left="0"/>
        <w:jc w:val="both"/>
        <w:rPr>
          <w:rFonts w:ascii="Times New Roman" w:eastAsia="Calibri" w:hAnsi="Times New Roman"/>
          <w:b/>
          <w:sz w:val="24"/>
          <w:szCs w:val="24"/>
        </w:rPr>
      </w:pPr>
      <w:r w:rsidRPr="00E64932">
        <w:rPr>
          <w:rFonts w:ascii="Times New Roman" w:hAnsi="Times New Roman"/>
          <w:b/>
          <w:color w:val="000000"/>
          <w:sz w:val="24"/>
          <w:szCs w:val="24"/>
        </w:rPr>
        <w:t xml:space="preserve">   ● </w:t>
      </w:r>
      <w:r w:rsidRPr="00E64932">
        <w:rPr>
          <w:rFonts w:ascii="Times New Roman" w:eastAsia="Calibri" w:hAnsi="Times New Roman"/>
          <w:b/>
          <w:sz w:val="24"/>
          <w:szCs w:val="24"/>
        </w:rPr>
        <w:t>Întărire cooperare București - Chișinău</w:t>
      </w:r>
    </w:p>
    <w:p w:rsidR="009C6A35" w:rsidRPr="00E64932" w:rsidRDefault="009C6A35" w:rsidP="009C6A35">
      <w:pPr>
        <w:pStyle w:val="Listparagraf1"/>
        <w:spacing w:after="0" w:line="240" w:lineRule="auto"/>
        <w:ind w:left="0" w:firstLine="720"/>
        <w:jc w:val="both"/>
        <w:rPr>
          <w:rFonts w:ascii="Times New Roman" w:eastAsia="Calibri" w:hAnsi="Times New Roman"/>
          <w:sz w:val="24"/>
          <w:szCs w:val="24"/>
        </w:rPr>
      </w:pPr>
      <w:r w:rsidRPr="00E64932">
        <w:rPr>
          <w:rFonts w:ascii="Times New Roman" w:eastAsia="Calibri" w:hAnsi="Times New Roman"/>
          <w:sz w:val="24"/>
          <w:szCs w:val="24"/>
        </w:rPr>
        <w:t>Au avut loc două întâlniri bilaterale între cei doi Primari Generali, una la București, una la Chișinău.</w:t>
      </w:r>
    </w:p>
    <w:p w:rsidR="009C6A35" w:rsidRPr="00E64932" w:rsidRDefault="009C6A35" w:rsidP="009C6A35">
      <w:pPr>
        <w:pStyle w:val="Listparagraf1"/>
        <w:spacing w:after="0" w:line="240" w:lineRule="auto"/>
        <w:ind w:left="0" w:firstLine="720"/>
        <w:jc w:val="both"/>
        <w:rPr>
          <w:rFonts w:ascii="Times New Roman" w:eastAsia="Calibri" w:hAnsi="Times New Roman"/>
          <w:sz w:val="24"/>
          <w:szCs w:val="24"/>
        </w:rPr>
      </w:pPr>
      <w:r w:rsidRPr="00E64932">
        <w:rPr>
          <w:rFonts w:ascii="Times New Roman" w:eastAsia="Calibri" w:hAnsi="Times New Roman"/>
          <w:sz w:val="24"/>
          <w:szCs w:val="24"/>
        </w:rPr>
        <w:t>De asemenea, a fost semnat un Program de Cooperare între cele două capitale.</w:t>
      </w:r>
    </w:p>
    <w:p w:rsidR="009C6A35" w:rsidRPr="00E64932" w:rsidRDefault="009C6A35" w:rsidP="009C6A35">
      <w:pPr>
        <w:pStyle w:val="Listparagraf1"/>
        <w:spacing w:after="0" w:line="240" w:lineRule="auto"/>
        <w:ind w:left="0"/>
        <w:jc w:val="both"/>
        <w:rPr>
          <w:rFonts w:ascii="Times New Roman" w:eastAsia="Calibri" w:hAnsi="Times New Roman"/>
          <w:b/>
          <w:sz w:val="24"/>
          <w:szCs w:val="24"/>
        </w:rPr>
      </w:pPr>
      <w:r w:rsidRPr="00E64932">
        <w:rPr>
          <w:rFonts w:ascii="Times New Roman" w:hAnsi="Times New Roman"/>
          <w:b/>
          <w:color w:val="000000"/>
          <w:sz w:val="24"/>
          <w:szCs w:val="24"/>
        </w:rPr>
        <w:t xml:space="preserve">   ● </w:t>
      </w:r>
      <w:r w:rsidRPr="00E64932">
        <w:rPr>
          <w:rFonts w:ascii="Times New Roman" w:eastAsia="Calibri" w:hAnsi="Times New Roman"/>
          <w:b/>
          <w:sz w:val="24"/>
          <w:szCs w:val="24"/>
        </w:rPr>
        <w:t>Întărire cooperare București - Madrid</w:t>
      </w:r>
    </w:p>
    <w:p w:rsidR="009C6A35" w:rsidRPr="00E64932" w:rsidRDefault="009C6A35" w:rsidP="009C6A35">
      <w:pPr>
        <w:pStyle w:val="Listparagraf1"/>
        <w:spacing w:after="0" w:line="240" w:lineRule="auto"/>
        <w:ind w:left="0" w:firstLine="720"/>
        <w:jc w:val="both"/>
        <w:rPr>
          <w:rFonts w:ascii="Times New Roman" w:eastAsia="Calibri" w:hAnsi="Times New Roman"/>
          <w:b/>
          <w:sz w:val="24"/>
          <w:szCs w:val="24"/>
        </w:rPr>
      </w:pPr>
      <w:r w:rsidRPr="00E64932">
        <w:rPr>
          <w:rFonts w:ascii="Times New Roman" w:eastAsia="Calibri" w:hAnsi="Times New Roman"/>
          <w:sz w:val="24"/>
          <w:szCs w:val="24"/>
        </w:rPr>
        <w:t>Pe data de 6 noiembrie 2018 a fost semnată Înțelegerea de cooperare București – Madrid.</w:t>
      </w:r>
    </w:p>
    <w:p w:rsidR="009C6A35" w:rsidRDefault="009C6A35" w:rsidP="009A31C0">
      <w:pPr>
        <w:pStyle w:val="Listparagraf1"/>
        <w:spacing w:after="0" w:line="240" w:lineRule="auto"/>
        <w:ind w:left="0"/>
        <w:jc w:val="both"/>
        <w:rPr>
          <w:rFonts w:ascii="Times New Roman" w:hAnsi="Times New Roman"/>
          <w:b/>
          <w:sz w:val="24"/>
          <w:szCs w:val="24"/>
        </w:rPr>
      </w:pPr>
    </w:p>
    <w:p w:rsidR="009C6A35" w:rsidRDefault="009C6A35" w:rsidP="009A31C0">
      <w:pPr>
        <w:pStyle w:val="Listparagraf1"/>
        <w:spacing w:after="0" w:line="240" w:lineRule="auto"/>
        <w:ind w:left="0"/>
        <w:jc w:val="both"/>
        <w:rPr>
          <w:rFonts w:ascii="Times New Roman" w:hAnsi="Times New Roman"/>
          <w:b/>
          <w:sz w:val="24"/>
          <w:szCs w:val="24"/>
        </w:rPr>
      </w:pPr>
    </w:p>
    <w:p w:rsidR="009A31C0" w:rsidRPr="00E64932" w:rsidRDefault="009A31C0" w:rsidP="009A31C0">
      <w:pPr>
        <w:pStyle w:val="Listparagraf1"/>
        <w:spacing w:after="0" w:line="240" w:lineRule="auto"/>
        <w:ind w:left="0"/>
        <w:jc w:val="both"/>
        <w:rPr>
          <w:rFonts w:ascii="Times New Roman" w:hAnsi="Times New Roman"/>
          <w:b/>
          <w:sz w:val="24"/>
          <w:szCs w:val="24"/>
        </w:rPr>
      </w:pPr>
      <w:r w:rsidRPr="00E64932">
        <w:rPr>
          <w:rFonts w:ascii="Times New Roman" w:hAnsi="Times New Roman"/>
          <w:b/>
          <w:sz w:val="24"/>
          <w:szCs w:val="24"/>
        </w:rPr>
        <w:t>P.M.B. – Direcția Generală Infrastructură</w:t>
      </w:r>
    </w:p>
    <w:p w:rsidR="009A31C0" w:rsidRPr="00E64932" w:rsidRDefault="009A31C0" w:rsidP="009A31C0">
      <w:pPr>
        <w:pStyle w:val="Listparagraf1"/>
        <w:spacing w:after="0" w:line="240" w:lineRule="auto"/>
        <w:ind w:left="0"/>
        <w:jc w:val="both"/>
        <w:rPr>
          <w:rFonts w:ascii="Times New Roman" w:hAnsi="Times New Roman"/>
          <w:b/>
          <w:sz w:val="24"/>
          <w:szCs w:val="24"/>
        </w:rPr>
      </w:pPr>
    </w:p>
    <w:p w:rsidR="009A31C0" w:rsidRPr="00E64932" w:rsidRDefault="009A31C0" w:rsidP="009A31C0">
      <w:pPr>
        <w:pStyle w:val="Listparagraf1"/>
        <w:spacing w:after="0" w:line="240" w:lineRule="auto"/>
        <w:ind w:left="0"/>
        <w:jc w:val="both"/>
        <w:rPr>
          <w:rFonts w:ascii="Times New Roman" w:hAnsi="Times New Roman"/>
          <w:b/>
          <w:sz w:val="24"/>
          <w:szCs w:val="24"/>
        </w:rPr>
      </w:pPr>
      <w:r w:rsidRPr="00E64932">
        <w:rPr>
          <w:rFonts w:ascii="Times New Roman" w:hAnsi="Times New Roman"/>
          <w:b/>
          <w:color w:val="000000"/>
          <w:sz w:val="24"/>
          <w:szCs w:val="24"/>
        </w:rPr>
        <w:t xml:space="preserve">► </w:t>
      </w:r>
      <w:r w:rsidRPr="00E64932">
        <w:rPr>
          <w:rFonts w:ascii="Times New Roman" w:hAnsi="Times New Roman"/>
          <w:b/>
          <w:sz w:val="24"/>
          <w:szCs w:val="24"/>
        </w:rPr>
        <w:t>Mobilitate Durabilă, Reducerea Congestiei, Strategii şi Politici Locale, Cooperare Regională, Eficienţă Avansată în Transporturi</w:t>
      </w:r>
    </w:p>
    <w:p w:rsidR="009A31C0" w:rsidRPr="00E64932" w:rsidRDefault="009A31C0" w:rsidP="009A31C0">
      <w:pPr>
        <w:pStyle w:val="Listparagraf1"/>
        <w:spacing w:after="0" w:line="240" w:lineRule="auto"/>
        <w:ind w:left="0"/>
        <w:jc w:val="both"/>
        <w:rPr>
          <w:rFonts w:ascii="Times New Roman" w:hAnsi="Times New Roman"/>
          <w:b/>
          <w:sz w:val="24"/>
          <w:szCs w:val="24"/>
        </w:rPr>
      </w:pPr>
      <w:r w:rsidRPr="00E64932">
        <w:rPr>
          <w:rFonts w:ascii="Times New Roman" w:hAnsi="Times New Roman"/>
          <w:b/>
          <w:sz w:val="24"/>
          <w:szCs w:val="24"/>
        </w:rPr>
        <w:t xml:space="preserve">   ● Proiect CREATE (Congestion Reduction in Europe: Advancing Transport Efficiency- Diminuarea Congestiei în Europa: Eficienţă Avansată în Transporturi)</w:t>
      </w:r>
    </w:p>
    <w:p w:rsidR="009A31C0" w:rsidRPr="00E64932" w:rsidRDefault="009A31C0" w:rsidP="009A31C0">
      <w:pPr>
        <w:pStyle w:val="Listparagraf1"/>
        <w:spacing w:after="0" w:line="240" w:lineRule="auto"/>
        <w:ind w:left="0"/>
        <w:jc w:val="both"/>
        <w:rPr>
          <w:rFonts w:ascii="Times New Roman" w:hAnsi="Times New Roman"/>
          <w:sz w:val="24"/>
          <w:szCs w:val="24"/>
        </w:rPr>
      </w:pPr>
      <w:r w:rsidRPr="00E64932">
        <w:rPr>
          <w:rFonts w:ascii="Times New Roman" w:hAnsi="Times New Roman"/>
          <w:sz w:val="24"/>
          <w:szCs w:val="24"/>
        </w:rPr>
        <w:tab/>
        <w:t>Grant acordat în cadrul Programului Horizon2020, fonduri 100% nerambursabile.</w:t>
      </w:r>
    </w:p>
    <w:p w:rsidR="009A31C0" w:rsidRPr="00E64932" w:rsidRDefault="009A31C0" w:rsidP="009A31C0">
      <w:pPr>
        <w:pStyle w:val="Listparagraf1"/>
        <w:spacing w:after="0" w:line="240" w:lineRule="auto"/>
        <w:ind w:left="0"/>
        <w:jc w:val="both"/>
        <w:rPr>
          <w:rFonts w:ascii="Times New Roman" w:hAnsi="Times New Roman"/>
          <w:sz w:val="24"/>
          <w:szCs w:val="24"/>
        </w:rPr>
      </w:pPr>
      <w:r w:rsidRPr="00E64932">
        <w:rPr>
          <w:rFonts w:ascii="Times New Roman" w:hAnsi="Times New Roman"/>
          <w:sz w:val="24"/>
          <w:szCs w:val="24"/>
        </w:rPr>
        <w:tab/>
        <w:t>În 2018 au avut loc activităţi în continuare în derularea proiectului. 31 mai 2018 – data încheierii oficiale a proiectului. Urmare a clarificărilor solicitate de Comisia Europeană, raportul periodic final a fost aprobat în noiembrie / decembrie 2018,</w:t>
      </w:r>
    </w:p>
    <w:p w:rsidR="009A31C0" w:rsidRPr="00E64932" w:rsidRDefault="009A31C0" w:rsidP="009A31C0">
      <w:pPr>
        <w:pStyle w:val="Listparagraf1"/>
        <w:spacing w:after="0" w:line="240" w:lineRule="auto"/>
        <w:ind w:left="0"/>
        <w:jc w:val="both"/>
        <w:rPr>
          <w:rFonts w:ascii="Times New Roman" w:hAnsi="Times New Roman"/>
          <w:sz w:val="24"/>
          <w:szCs w:val="24"/>
        </w:rPr>
      </w:pPr>
    </w:p>
    <w:p w:rsidR="009A31C0" w:rsidRPr="00E64932" w:rsidRDefault="009A31C0" w:rsidP="009A31C0">
      <w:pPr>
        <w:pStyle w:val="Listparagraf1"/>
        <w:spacing w:after="0" w:line="240" w:lineRule="auto"/>
        <w:ind w:left="0"/>
        <w:jc w:val="both"/>
        <w:rPr>
          <w:rFonts w:ascii="Times New Roman" w:hAnsi="Times New Roman"/>
          <w:sz w:val="24"/>
          <w:szCs w:val="24"/>
        </w:rPr>
      </w:pPr>
    </w:p>
    <w:p w:rsidR="009A31C0" w:rsidRPr="00E64932" w:rsidRDefault="009A31C0" w:rsidP="009A31C0">
      <w:pPr>
        <w:pStyle w:val="Listparagraf1"/>
        <w:spacing w:after="0" w:line="240" w:lineRule="auto"/>
        <w:ind w:left="0"/>
        <w:jc w:val="both"/>
        <w:rPr>
          <w:rFonts w:ascii="Times New Roman" w:hAnsi="Times New Roman"/>
          <w:b/>
          <w:sz w:val="24"/>
          <w:szCs w:val="24"/>
        </w:rPr>
      </w:pPr>
      <w:r w:rsidRPr="00E64932">
        <w:rPr>
          <w:rFonts w:ascii="Times New Roman" w:hAnsi="Times New Roman"/>
          <w:b/>
          <w:sz w:val="24"/>
          <w:szCs w:val="24"/>
        </w:rPr>
        <w:t>P.M.B. – Direcţia Generală Management Proiecte cu Finanţare Externă</w:t>
      </w:r>
    </w:p>
    <w:p w:rsidR="009A31C0" w:rsidRPr="00E64932" w:rsidRDefault="009A31C0" w:rsidP="009A31C0">
      <w:pPr>
        <w:pStyle w:val="Listparagraf1"/>
        <w:spacing w:after="0" w:line="240" w:lineRule="auto"/>
        <w:ind w:left="0"/>
        <w:jc w:val="both"/>
        <w:rPr>
          <w:rFonts w:ascii="Times New Roman" w:hAnsi="Times New Roman"/>
          <w:b/>
          <w:sz w:val="24"/>
          <w:szCs w:val="24"/>
        </w:rPr>
      </w:pPr>
    </w:p>
    <w:p w:rsidR="009A31C0" w:rsidRPr="00E64932" w:rsidRDefault="009A31C0" w:rsidP="009A31C0">
      <w:pPr>
        <w:pStyle w:val="Listparagraf1"/>
        <w:spacing w:after="0" w:line="240" w:lineRule="auto"/>
        <w:ind w:left="0"/>
        <w:jc w:val="both"/>
        <w:rPr>
          <w:rFonts w:ascii="Times New Roman" w:hAnsi="Times New Roman"/>
          <w:b/>
          <w:sz w:val="24"/>
          <w:szCs w:val="24"/>
        </w:rPr>
      </w:pPr>
      <w:r w:rsidRPr="00E64932">
        <w:rPr>
          <w:rFonts w:ascii="Times New Roman" w:hAnsi="Times New Roman"/>
          <w:b/>
          <w:color w:val="000000"/>
          <w:sz w:val="24"/>
          <w:szCs w:val="24"/>
        </w:rPr>
        <w:t xml:space="preserve">► </w:t>
      </w:r>
      <w:r w:rsidRPr="00E64932">
        <w:rPr>
          <w:rFonts w:ascii="Times New Roman" w:hAnsi="Times New Roman"/>
          <w:b/>
          <w:sz w:val="24"/>
          <w:szCs w:val="24"/>
        </w:rPr>
        <w:t>Achiziționarea de infrastructură electrică de transport în comun</w:t>
      </w:r>
    </w:p>
    <w:p w:rsidR="009A31C0" w:rsidRPr="00E64932" w:rsidRDefault="009A31C0" w:rsidP="009A31C0">
      <w:pPr>
        <w:pStyle w:val="Listparagraf1"/>
        <w:spacing w:after="0" w:line="240" w:lineRule="auto"/>
        <w:ind w:left="0"/>
        <w:jc w:val="both"/>
        <w:rPr>
          <w:rFonts w:ascii="Times New Roman" w:hAnsi="Times New Roman"/>
          <w:b/>
          <w:sz w:val="24"/>
          <w:szCs w:val="24"/>
        </w:rPr>
      </w:pPr>
      <w:r w:rsidRPr="00E64932">
        <w:rPr>
          <w:rFonts w:ascii="Times New Roman" w:hAnsi="Times New Roman"/>
          <w:b/>
          <w:sz w:val="24"/>
          <w:szCs w:val="24"/>
        </w:rPr>
        <w:t xml:space="preserve">      ● Pregătirea și depunerea unui număr de 13 cereri de finanțare în valoare cumulată de 1.296.791.606,43 lei, în vederea accesării de fonduri europene în cadrul Programului Operațional Regional 2014-2020, pentru următoarele proiecte:</w:t>
      </w:r>
    </w:p>
    <w:p w:rsidR="009A31C0" w:rsidRPr="00E64932" w:rsidRDefault="009A31C0" w:rsidP="009A31C0">
      <w:pPr>
        <w:pStyle w:val="Listparagraf1"/>
        <w:spacing w:after="0" w:line="240" w:lineRule="auto"/>
        <w:ind w:left="0" w:firstLine="720"/>
        <w:rPr>
          <w:rFonts w:ascii="Times New Roman" w:hAnsi="Times New Roman"/>
          <w:sz w:val="24"/>
          <w:szCs w:val="24"/>
        </w:rPr>
      </w:pPr>
      <w:r w:rsidRPr="00E64932">
        <w:rPr>
          <w:rFonts w:ascii="Times New Roman" w:hAnsi="Times New Roman"/>
          <w:sz w:val="24"/>
          <w:szCs w:val="24"/>
        </w:rPr>
        <w:t>- 8 proiecte care vizează</w:t>
      </w:r>
      <w:r w:rsidRPr="00E64932">
        <w:rPr>
          <w:rFonts w:ascii="Times New Roman" w:hAnsi="Times New Roman"/>
          <w:iCs/>
          <w:sz w:val="24"/>
          <w:szCs w:val="24"/>
        </w:rPr>
        <w:t xml:space="preserve"> achiziția a 100 de tramvaie noi din gama de 36 m (valoare totală proiecte 1.006.891.373,78 lei, din care fonduri nerambursabile 721.415.832,30 lei); </w:t>
      </w:r>
    </w:p>
    <w:p w:rsidR="009A31C0" w:rsidRPr="00E64932" w:rsidRDefault="009A31C0" w:rsidP="009A31C0">
      <w:pPr>
        <w:pStyle w:val="Listparagraf1"/>
        <w:spacing w:after="0" w:line="240" w:lineRule="auto"/>
        <w:ind w:left="0" w:firstLine="720"/>
        <w:rPr>
          <w:rFonts w:ascii="Times New Roman" w:hAnsi="Times New Roman"/>
          <w:sz w:val="24"/>
          <w:szCs w:val="24"/>
        </w:rPr>
      </w:pPr>
      <w:r w:rsidRPr="00E64932">
        <w:rPr>
          <w:rFonts w:ascii="Times New Roman" w:hAnsi="Times New Roman"/>
          <w:sz w:val="24"/>
          <w:szCs w:val="24"/>
        </w:rPr>
        <w:t>- 4 proiecte care vizează</w:t>
      </w:r>
      <w:r w:rsidRPr="00E64932">
        <w:rPr>
          <w:rFonts w:ascii="Times New Roman" w:hAnsi="Times New Roman"/>
          <w:iCs/>
          <w:sz w:val="24"/>
          <w:szCs w:val="24"/>
        </w:rPr>
        <w:t xml:space="preserve"> </w:t>
      </w:r>
      <w:r w:rsidRPr="00E64932">
        <w:rPr>
          <w:rFonts w:ascii="Times New Roman" w:hAnsi="Times New Roman"/>
          <w:sz w:val="24"/>
          <w:szCs w:val="24"/>
        </w:rPr>
        <w:t xml:space="preserve">achiziția a 100 de autobuze electrice noi (valoare totală proiecte 261.843.722,44 lei, din care </w:t>
      </w:r>
      <w:r w:rsidRPr="00E64932">
        <w:rPr>
          <w:rFonts w:ascii="Times New Roman" w:hAnsi="Times New Roman"/>
          <w:iCs/>
          <w:sz w:val="24"/>
          <w:szCs w:val="24"/>
        </w:rPr>
        <w:t xml:space="preserve">fonduri nerambursabile </w:t>
      </w:r>
      <w:r w:rsidRPr="00E64932">
        <w:rPr>
          <w:rFonts w:ascii="Times New Roman" w:hAnsi="Times New Roman"/>
          <w:sz w:val="24"/>
          <w:szCs w:val="24"/>
        </w:rPr>
        <w:t xml:space="preserve">215.722.691,14 lei); </w:t>
      </w:r>
    </w:p>
    <w:p w:rsidR="009A31C0" w:rsidRPr="00E64932" w:rsidRDefault="009A31C0" w:rsidP="009A31C0">
      <w:pPr>
        <w:pStyle w:val="Listparagraf1"/>
        <w:spacing w:after="0" w:line="240" w:lineRule="auto"/>
        <w:ind w:left="0" w:firstLine="720"/>
        <w:rPr>
          <w:rFonts w:ascii="Times New Roman" w:hAnsi="Times New Roman"/>
          <w:sz w:val="24"/>
          <w:szCs w:val="24"/>
        </w:rPr>
      </w:pPr>
      <w:r w:rsidRPr="00E64932">
        <w:rPr>
          <w:rFonts w:ascii="Times New Roman" w:hAnsi="Times New Roman"/>
          <w:sz w:val="24"/>
          <w:szCs w:val="24"/>
        </w:rPr>
        <w:t>- 1 proiect care vizează</w:t>
      </w:r>
      <w:r w:rsidRPr="00E64932">
        <w:rPr>
          <w:rFonts w:ascii="Times New Roman" w:hAnsi="Times New Roman"/>
          <w:iCs/>
          <w:sz w:val="24"/>
          <w:szCs w:val="24"/>
        </w:rPr>
        <w:t xml:space="preserve"> </w:t>
      </w:r>
      <w:r w:rsidRPr="00E64932">
        <w:rPr>
          <w:rFonts w:ascii="Times New Roman" w:hAnsi="Times New Roman"/>
          <w:sz w:val="24"/>
          <w:szCs w:val="24"/>
        </w:rPr>
        <w:t xml:space="preserve">modernizarea unui tronson de linie de tramvai – de pe B-dul G-ral Vasile Milea (valoare totală proiect 28.056.510,21 lei, din care </w:t>
      </w:r>
      <w:r w:rsidRPr="00E64932">
        <w:rPr>
          <w:rFonts w:ascii="Times New Roman" w:hAnsi="Times New Roman"/>
          <w:iCs/>
          <w:sz w:val="24"/>
          <w:szCs w:val="24"/>
        </w:rPr>
        <w:t xml:space="preserve">fonduri nerambursabile </w:t>
      </w:r>
      <w:r w:rsidRPr="00E64932">
        <w:rPr>
          <w:rFonts w:ascii="Times New Roman" w:hAnsi="Times New Roman"/>
          <w:sz w:val="24"/>
          <w:szCs w:val="24"/>
        </w:rPr>
        <w:t>27.474.854,89 lei).</w:t>
      </w:r>
    </w:p>
    <w:p w:rsidR="009A31C0" w:rsidRPr="00E64932" w:rsidRDefault="009A31C0" w:rsidP="009A31C0">
      <w:pPr>
        <w:pStyle w:val="Listparagraf1"/>
        <w:spacing w:after="0" w:line="240" w:lineRule="auto"/>
        <w:ind w:left="0" w:firstLine="720"/>
        <w:rPr>
          <w:rFonts w:ascii="Times New Roman" w:hAnsi="Times New Roman"/>
          <w:sz w:val="24"/>
          <w:szCs w:val="24"/>
        </w:rPr>
      </w:pPr>
    </w:p>
    <w:p w:rsidR="009A31C0" w:rsidRPr="00E64932" w:rsidRDefault="009A31C0" w:rsidP="009A31C0">
      <w:pPr>
        <w:pStyle w:val="Listparagraf1"/>
        <w:spacing w:after="0" w:line="240" w:lineRule="auto"/>
        <w:ind w:left="0"/>
        <w:rPr>
          <w:rFonts w:ascii="Times New Roman" w:hAnsi="Times New Roman"/>
          <w:sz w:val="24"/>
          <w:szCs w:val="24"/>
        </w:rPr>
      </w:pPr>
      <w:r w:rsidRPr="00E64932">
        <w:rPr>
          <w:rFonts w:ascii="Times New Roman" w:hAnsi="Times New Roman"/>
          <w:b/>
          <w:color w:val="000000"/>
          <w:sz w:val="24"/>
          <w:szCs w:val="24"/>
        </w:rPr>
        <w:t xml:space="preserve">► </w:t>
      </w:r>
      <w:r w:rsidRPr="00E64932">
        <w:rPr>
          <w:rFonts w:ascii="Times New Roman" w:hAnsi="Times New Roman"/>
          <w:b/>
          <w:sz w:val="24"/>
          <w:szCs w:val="24"/>
        </w:rPr>
        <w:t>Reabilitarea sistemului de termoficare al municipiului București</w:t>
      </w:r>
    </w:p>
    <w:p w:rsidR="009A31C0" w:rsidRPr="00E64932" w:rsidRDefault="009A31C0" w:rsidP="009A31C0">
      <w:pPr>
        <w:pStyle w:val="Listparagraf1"/>
        <w:spacing w:after="0" w:line="240" w:lineRule="auto"/>
        <w:ind w:left="0"/>
        <w:rPr>
          <w:rFonts w:ascii="Times New Roman" w:hAnsi="Times New Roman"/>
          <w:b/>
          <w:sz w:val="24"/>
          <w:szCs w:val="24"/>
        </w:rPr>
      </w:pPr>
      <w:r w:rsidRPr="00E64932">
        <w:rPr>
          <w:rFonts w:ascii="Times New Roman" w:hAnsi="Times New Roman"/>
          <w:b/>
          <w:sz w:val="24"/>
          <w:szCs w:val="24"/>
        </w:rPr>
        <w:t xml:space="preserve">      ● Proiectul “Reabilitarea sistemului de termoficare al municipiului București”</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Pe parcursul anului 2018, s-au realizat următoarele demersuri:</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lastRenderedPageBreak/>
        <w:t xml:space="preserve">- Pregătirea studiului de fezabilitate, parte integrantă a aplicației de finanțare, s-a derulat în perioada decembrie 2017 – octombrie 2018. </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Studiul de fezabilitate realizat include o prezentare a situației reale a sistemului de termoficare din capitală, inclusiv cererea de căldură, prezentarea sistemului, bilanțul energetic, pierderile de căldură și pierderile de apă de adaos, emisiile de noxe CO2, NOx. De asemenea, există multiple soluții identificate de proiectant, concretizate într-o analiză de opțiuni complexă și detaliată; prioritizarea tronsoanelor; a fost elaborat şi un document tehnic care să respecte prevederile europene şi care va face parte integrantă din aplicația aferentă cererii de finanțare. </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Până la sfârșitul anului 2018 au fost obținute un număr de 29 de avize.</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În data de 04.09.2018, Agenția pentru Protecția Mediului Bucureşti a emis Decizia etapei de evaluare inițială nr.128 prin care decide necesitatea declanșării procedurii de evaluare a impactului asupra mediului pentru proiectul „Reabilitarea sistemului de termoficare al Municipiului Bucureşti”.</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În data de 18.12.2018, Agenția pentru Protecția Mediului Bucureşti a emis Decizia etapei de încadrare nr.157 prin care decide, ca urmare a consultărilor desfășurate în cadrul ședințelor Comisiei de Analiză Tehnică din data de 29.11.2018 şi 06.12.2018, că proiectul „Reabilitarea sistemului de termoficare al Municipiului Bucureşti” propus a fi amplasat în Municipiul Bucureşti nu se supune evaluării impactului asupra mediului.</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Stabilirea programului de lucrări prioritare privind rețelele de termoficare a permis transmiterea studiului de fezabilitate la autoritatea de management la sfârșitul lunii octombrie 2018. </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În acest moment sunt în curs de elaborare, într-un stadiu avansat, următoarele documente: analiza instituțională, cererea de finanțare, clarificarea ajutorului de stat și documentația aferentă procedurilor de achiziție publică.</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Menționăm faptul că proiectul urmează să fie depus spre finanțare, după delegarea către Compania Municipală Energetica București a serviciului de transport și distribuție energie termică, astfel încât să fie îndeplinite toate condițiile cu privire la eligibilitatea solicitantului. Acest demers este în curs de desfășurare urmând ca până în luna martie a acestui an să se finalizeze.</w:t>
      </w:r>
    </w:p>
    <w:p w:rsidR="009A31C0" w:rsidRPr="00E64932" w:rsidRDefault="009A31C0" w:rsidP="009A31C0">
      <w:pPr>
        <w:pStyle w:val="Listparagraf1"/>
        <w:spacing w:after="0" w:line="240" w:lineRule="auto"/>
        <w:ind w:left="0"/>
        <w:jc w:val="both"/>
        <w:rPr>
          <w:rFonts w:ascii="Times New Roman" w:hAnsi="Times New Roman"/>
          <w:sz w:val="24"/>
          <w:szCs w:val="24"/>
        </w:rPr>
      </w:pPr>
    </w:p>
    <w:p w:rsidR="009A31C0" w:rsidRPr="00E64932" w:rsidRDefault="009A31C0" w:rsidP="009A31C0">
      <w:pPr>
        <w:pStyle w:val="Listparagraf1"/>
        <w:spacing w:after="0" w:line="240" w:lineRule="auto"/>
        <w:ind w:left="0"/>
        <w:jc w:val="both"/>
        <w:rPr>
          <w:rFonts w:ascii="Times New Roman" w:hAnsi="Times New Roman"/>
          <w:b/>
          <w:sz w:val="24"/>
          <w:szCs w:val="24"/>
        </w:rPr>
      </w:pPr>
      <w:r w:rsidRPr="00E64932">
        <w:rPr>
          <w:rFonts w:ascii="Times New Roman" w:hAnsi="Times New Roman"/>
          <w:b/>
          <w:sz w:val="24"/>
          <w:szCs w:val="24"/>
        </w:rPr>
        <w:t>► Reabilitarea infrastructurii de apă și apă uzată</w:t>
      </w:r>
    </w:p>
    <w:p w:rsidR="009A31C0" w:rsidRPr="00E64932" w:rsidRDefault="009A31C0" w:rsidP="009A31C0">
      <w:pPr>
        <w:pStyle w:val="Listparagraf1"/>
        <w:spacing w:after="0" w:line="240" w:lineRule="auto"/>
        <w:ind w:left="0"/>
        <w:jc w:val="both"/>
        <w:rPr>
          <w:rFonts w:ascii="Times New Roman" w:hAnsi="Times New Roman"/>
          <w:b/>
          <w:sz w:val="24"/>
          <w:szCs w:val="24"/>
        </w:rPr>
      </w:pPr>
      <w:r w:rsidRPr="00E64932">
        <w:rPr>
          <w:rFonts w:ascii="Times New Roman" w:hAnsi="Times New Roman"/>
          <w:b/>
          <w:sz w:val="24"/>
          <w:szCs w:val="24"/>
        </w:rPr>
        <w:t xml:space="preserve">   ● Proiectul „Extinderea și reabilitarea infrastructurii de apă și apă uzată în zonele Ghidigeni, Olteniței, Cheile Turzii și Henri Coandă – lotul 1 și lotul 2 din municipiul București”</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Primăria Municipiului București a demarat în anul 2013, prin Direcția Utilități Publice, proiectul „Extinderea și reabilitarea infrastructurii de apă și apă uzată în zonele Ghidigeni, Olteniței, Cheile Turzii și Henri Coandă – lotul 1 și lotul 2 din municipiul București”, care este structurat în patru obiecte, astfel:</w:t>
      </w:r>
    </w:p>
    <w:p w:rsidR="009A31C0" w:rsidRPr="00E64932" w:rsidRDefault="009A31C0" w:rsidP="00980D72">
      <w:pPr>
        <w:pStyle w:val="Listparagraf1"/>
        <w:numPr>
          <w:ilvl w:val="0"/>
          <w:numId w:val="33"/>
        </w:numPr>
        <w:spacing w:after="0" w:line="240" w:lineRule="auto"/>
        <w:jc w:val="both"/>
        <w:rPr>
          <w:rFonts w:ascii="Times New Roman" w:hAnsi="Times New Roman"/>
          <w:bCs/>
          <w:sz w:val="24"/>
          <w:szCs w:val="24"/>
        </w:rPr>
      </w:pPr>
      <w:r w:rsidRPr="00E64932">
        <w:rPr>
          <w:rFonts w:ascii="Times New Roman" w:hAnsi="Times New Roman"/>
          <w:iCs/>
          <w:sz w:val="24"/>
          <w:szCs w:val="24"/>
        </w:rPr>
        <w:t xml:space="preserve">Obiectul nr. 1 </w:t>
      </w:r>
      <w:r w:rsidRPr="00E64932">
        <w:rPr>
          <w:rFonts w:ascii="Times New Roman" w:hAnsi="Times New Roman"/>
          <w:sz w:val="24"/>
          <w:szCs w:val="24"/>
        </w:rPr>
        <w:t xml:space="preserve">– </w:t>
      </w:r>
      <w:r w:rsidRPr="00E64932">
        <w:rPr>
          <w:rFonts w:ascii="Times New Roman" w:hAnsi="Times New Roman"/>
          <w:bCs/>
          <w:iCs/>
          <w:sz w:val="24"/>
          <w:szCs w:val="24"/>
        </w:rPr>
        <w:t>„Extinderea rețelelor de apa potabilă şi canalizare şi reabilitare apeducte din zona de Sud – Vest a Municipiului București (Strada Ghidigeni), sector 5” (achiziția contractului de proiectare și execuție va fi demarată în cursul anului 2019)</w:t>
      </w:r>
    </w:p>
    <w:p w:rsidR="009A31C0" w:rsidRPr="00E64932" w:rsidRDefault="009A31C0" w:rsidP="00980D72">
      <w:pPr>
        <w:pStyle w:val="Listparagraf1"/>
        <w:numPr>
          <w:ilvl w:val="0"/>
          <w:numId w:val="33"/>
        </w:numPr>
        <w:spacing w:after="0" w:line="240" w:lineRule="auto"/>
        <w:jc w:val="both"/>
        <w:rPr>
          <w:rFonts w:ascii="Times New Roman" w:hAnsi="Times New Roman"/>
          <w:bCs/>
          <w:sz w:val="24"/>
          <w:szCs w:val="24"/>
        </w:rPr>
      </w:pPr>
      <w:r w:rsidRPr="00E64932">
        <w:rPr>
          <w:rFonts w:ascii="Times New Roman" w:hAnsi="Times New Roman"/>
          <w:iCs/>
          <w:sz w:val="24"/>
          <w:szCs w:val="24"/>
        </w:rPr>
        <w:t>Obiectul nr. 2</w:t>
      </w:r>
      <w:r w:rsidRPr="00E64932">
        <w:rPr>
          <w:rFonts w:ascii="Times New Roman" w:hAnsi="Times New Roman"/>
          <w:sz w:val="24"/>
          <w:szCs w:val="24"/>
        </w:rPr>
        <w:t xml:space="preserve"> – </w:t>
      </w:r>
      <w:r w:rsidRPr="00E64932">
        <w:rPr>
          <w:rFonts w:ascii="Times New Roman" w:hAnsi="Times New Roman"/>
          <w:bCs/>
          <w:iCs/>
          <w:sz w:val="24"/>
          <w:szCs w:val="24"/>
        </w:rPr>
        <w:t>„Construire canal interceptor nou pe str. Olteniței între colectoarele A1 – A3” (achiziția contractului de proiectare și execuție va fi demarată în cursul anului 2019)</w:t>
      </w:r>
    </w:p>
    <w:p w:rsidR="009A31C0" w:rsidRPr="00E64932" w:rsidRDefault="009A31C0" w:rsidP="00980D72">
      <w:pPr>
        <w:pStyle w:val="Listparagraf1"/>
        <w:numPr>
          <w:ilvl w:val="0"/>
          <w:numId w:val="33"/>
        </w:numPr>
        <w:spacing w:after="0" w:line="240" w:lineRule="auto"/>
        <w:jc w:val="both"/>
        <w:rPr>
          <w:rFonts w:ascii="Times New Roman" w:hAnsi="Times New Roman"/>
          <w:bCs/>
          <w:sz w:val="24"/>
          <w:szCs w:val="24"/>
        </w:rPr>
      </w:pPr>
      <w:r w:rsidRPr="00E64932">
        <w:rPr>
          <w:rFonts w:ascii="Times New Roman" w:hAnsi="Times New Roman"/>
          <w:iCs/>
          <w:sz w:val="24"/>
          <w:szCs w:val="24"/>
        </w:rPr>
        <w:t xml:space="preserve">Obiectul nr. 3 - </w:t>
      </w:r>
      <w:r w:rsidRPr="00E64932">
        <w:rPr>
          <w:rFonts w:ascii="Times New Roman" w:hAnsi="Times New Roman"/>
          <w:bCs/>
          <w:sz w:val="24"/>
          <w:szCs w:val="24"/>
        </w:rPr>
        <w:t>,,</w:t>
      </w:r>
      <w:r w:rsidRPr="00E64932">
        <w:rPr>
          <w:rFonts w:ascii="Times New Roman" w:hAnsi="Times New Roman"/>
          <w:bCs/>
          <w:iCs/>
          <w:sz w:val="24"/>
          <w:szCs w:val="24"/>
        </w:rPr>
        <w:t xml:space="preserve">Canal colector Cheile Turzii fără bazine de retenție’’ (achiziția contractului de proiectare și execuție va fi demarată în cursul anului 2019) </w:t>
      </w:r>
    </w:p>
    <w:p w:rsidR="009A31C0" w:rsidRPr="00E64932" w:rsidRDefault="009A31C0" w:rsidP="00980D72">
      <w:pPr>
        <w:pStyle w:val="Listparagraf1"/>
        <w:numPr>
          <w:ilvl w:val="0"/>
          <w:numId w:val="33"/>
        </w:numPr>
        <w:spacing w:after="0" w:line="240" w:lineRule="auto"/>
        <w:jc w:val="both"/>
        <w:rPr>
          <w:rFonts w:ascii="Times New Roman" w:hAnsi="Times New Roman"/>
          <w:bCs/>
          <w:sz w:val="24"/>
          <w:szCs w:val="24"/>
        </w:rPr>
      </w:pPr>
      <w:r w:rsidRPr="00E64932">
        <w:rPr>
          <w:rFonts w:ascii="Times New Roman" w:hAnsi="Times New Roman"/>
          <w:iCs/>
          <w:sz w:val="24"/>
          <w:szCs w:val="24"/>
        </w:rPr>
        <w:t xml:space="preserve">Obiectul nr. 4 - </w:t>
      </w:r>
      <w:r w:rsidRPr="00E64932">
        <w:rPr>
          <w:rFonts w:ascii="Times New Roman" w:hAnsi="Times New Roman"/>
          <w:bCs/>
          <w:iCs/>
          <w:sz w:val="24"/>
          <w:szCs w:val="24"/>
        </w:rPr>
        <w:t>“Realizarea rețelelor publice de alimentare cu apă, canalizare, iluminat public, precum şi a drumurilor aferente Ansamblului de locuințe "Henri Coandă" sector 1 - 2 Loturi” (contracte de proiectare și execuție au fost semnate în luna Decembrie 2013, fiind în curs de desfășurare în anul 2018; pentru lotul 1 progresul fizic al lucrărilor a fost de 73,4% la data de 31.12.2018, iar pentru lotul II progresul fizic al lucrărilor a fost de 3,95% la data de 31.12.2018).</w:t>
      </w:r>
    </w:p>
    <w:p w:rsidR="009A31C0" w:rsidRPr="00E64932" w:rsidRDefault="009A31C0" w:rsidP="009A31C0">
      <w:pPr>
        <w:pStyle w:val="Listparagraf1"/>
        <w:spacing w:after="0" w:line="240" w:lineRule="auto"/>
        <w:ind w:left="0" w:firstLine="360"/>
        <w:jc w:val="both"/>
        <w:rPr>
          <w:rFonts w:ascii="Times New Roman" w:hAnsi="Times New Roman"/>
          <w:bCs/>
          <w:sz w:val="24"/>
          <w:szCs w:val="24"/>
        </w:rPr>
      </w:pPr>
      <w:r w:rsidRPr="00E64932">
        <w:rPr>
          <w:rFonts w:ascii="Times New Roman" w:hAnsi="Times New Roman"/>
          <w:sz w:val="24"/>
          <w:szCs w:val="24"/>
        </w:rPr>
        <w:t xml:space="preserve">Ținând cont de faptul că sumele aferente lucrărilor de alimentare cu apă și canalizare reprezintă costuri eligibile în cadrul Programului Operațional Infrastructură Mare (Axa prioritară 3 -  ”Dezvoltarea infrastructurii de mediu în condiții de management eficient al resurselor”, Obiectivul Specific 3.2 ”Creșterea nivelului de colectare și epurare a apelor uzate urbane, precum și a gradului de asigurare a alimentării cu apă potabilă a populației”), reprezentații Direcției Generale Management Proiecte cu </w:t>
      </w:r>
      <w:r w:rsidRPr="00E64932">
        <w:rPr>
          <w:rFonts w:ascii="Times New Roman" w:hAnsi="Times New Roman"/>
          <w:sz w:val="24"/>
          <w:szCs w:val="24"/>
        </w:rPr>
        <w:lastRenderedPageBreak/>
        <w:t>Finanțare Externă au colaborat cu cei ai Direcției Servicii Integrate pe parcursul anului 2018, în vederea pregătirii aplicației de finanțare pentru fonduri europene, astfel:</w:t>
      </w:r>
    </w:p>
    <w:p w:rsidR="009A31C0" w:rsidRPr="00E64932" w:rsidRDefault="009A31C0" w:rsidP="00980D72">
      <w:pPr>
        <w:pStyle w:val="Listparagraf1"/>
        <w:numPr>
          <w:ilvl w:val="0"/>
          <w:numId w:val="33"/>
        </w:numPr>
        <w:spacing w:after="0" w:line="240" w:lineRule="auto"/>
        <w:jc w:val="both"/>
        <w:rPr>
          <w:rFonts w:ascii="Times New Roman" w:hAnsi="Times New Roman"/>
          <w:sz w:val="24"/>
          <w:szCs w:val="24"/>
        </w:rPr>
      </w:pPr>
      <w:r w:rsidRPr="00E64932">
        <w:rPr>
          <w:rFonts w:ascii="Times New Roman" w:hAnsi="Times New Roman"/>
          <w:sz w:val="24"/>
          <w:szCs w:val="24"/>
        </w:rPr>
        <w:t>Î</w:t>
      </w:r>
      <w:r w:rsidRPr="00E64932">
        <w:rPr>
          <w:rFonts w:ascii="Times New Roman" w:hAnsi="Times New Roman"/>
          <w:bCs/>
          <w:sz w:val="24"/>
          <w:szCs w:val="24"/>
        </w:rPr>
        <w:t>n data de 14.09.2018 aplicația a fost redepusă la MDRAPFE-Direcția Generală Programe Europene Infrastructură Mare.</w:t>
      </w:r>
    </w:p>
    <w:p w:rsidR="009A31C0" w:rsidRPr="00E64932" w:rsidRDefault="009A31C0" w:rsidP="00980D72">
      <w:pPr>
        <w:pStyle w:val="Listparagraf1"/>
        <w:numPr>
          <w:ilvl w:val="0"/>
          <w:numId w:val="33"/>
        </w:numPr>
        <w:spacing w:after="0" w:line="240" w:lineRule="auto"/>
        <w:jc w:val="both"/>
        <w:rPr>
          <w:rFonts w:ascii="Times New Roman" w:hAnsi="Times New Roman"/>
          <w:bCs/>
          <w:sz w:val="24"/>
          <w:szCs w:val="24"/>
        </w:rPr>
      </w:pPr>
      <w:r w:rsidRPr="00E64932">
        <w:rPr>
          <w:rFonts w:ascii="Times New Roman" w:hAnsi="Times New Roman"/>
          <w:bCs/>
          <w:sz w:val="24"/>
          <w:szCs w:val="24"/>
        </w:rPr>
        <w:t xml:space="preserve">Prin HCGMB nr. 607/26.09.2018 s-au aprobat </w:t>
      </w:r>
      <w:r w:rsidRPr="00E64932">
        <w:rPr>
          <w:rFonts w:ascii="Times New Roman" w:hAnsi="Times New Roman"/>
          <w:bCs/>
          <w:iCs/>
          <w:sz w:val="24"/>
          <w:szCs w:val="24"/>
        </w:rPr>
        <w:t>Studiul de Fezabilitate și indicatorii tehnico - economici aferenți</w:t>
      </w:r>
      <w:r w:rsidRPr="00E64932">
        <w:rPr>
          <w:rFonts w:ascii="Times New Roman" w:hAnsi="Times New Roman"/>
          <w:sz w:val="24"/>
          <w:szCs w:val="24"/>
        </w:rPr>
        <w:t>.</w:t>
      </w:r>
    </w:p>
    <w:p w:rsidR="009A31C0" w:rsidRPr="00E64932" w:rsidRDefault="009A31C0" w:rsidP="00980D72">
      <w:pPr>
        <w:pStyle w:val="Listparagraf1"/>
        <w:numPr>
          <w:ilvl w:val="0"/>
          <w:numId w:val="33"/>
        </w:numPr>
        <w:spacing w:after="0" w:line="240" w:lineRule="auto"/>
        <w:jc w:val="both"/>
        <w:rPr>
          <w:rFonts w:ascii="Times New Roman" w:hAnsi="Times New Roman"/>
          <w:bCs/>
          <w:sz w:val="24"/>
          <w:szCs w:val="24"/>
        </w:rPr>
      </w:pPr>
      <w:r w:rsidRPr="00E64932">
        <w:rPr>
          <w:rFonts w:ascii="Times New Roman" w:hAnsi="Times New Roman"/>
          <w:sz w:val="24"/>
          <w:szCs w:val="24"/>
        </w:rPr>
        <w:t>În luna octombrie 2018 s-a transmis către AM POIM documentația revizuită, în vederea depunerii aplicației de finanțare iar in data de</w:t>
      </w:r>
      <w:r w:rsidRPr="00E64932">
        <w:rPr>
          <w:rFonts w:ascii="Times New Roman" w:hAnsi="Times New Roman"/>
          <w:bCs/>
          <w:sz w:val="24"/>
          <w:szCs w:val="24"/>
        </w:rPr>
        <w:t xml:space="preserve"> 06.11.2018 s-au primit observațiile în urma verificării aplicației. </w:t>
      </w:r>
    </w:p>
    <w:p w:rsidR="009A31C0" w:rsidRPr="00E64932" w:rsidRDefault="009A31C0" w:rsidP="00980D72">
      <w:pPr>
        <w:pStyle w:val="Listparagraf1"/>
        <w:numPr>
          <w:ilvl w:val="0"/>
          <w:numId w:val="33"/>
        </w:numPr>
        <w:spacing w:after="0" w:line="240" w:lineRule="auto"/>
        <w:jc w:val="both"/>
        <w:rPr>
          <w:rFonts w:ascii="Times New Roman" w:hAnsi="Times New Roman"/>
          <w:bCs/>
          <w:sz w:val="24"/>
          <w:szCs w:val="24"/>
        </w:rPr>
      </w:pPr>
      <w:r w:rsidRPr="00E64932">
        <w:rPr>
          <w:rFonts w:ascii="Times New Roman" w:hAnsi="Times New Roman"/>
          <w:sz w:val="24"/>
          <w:szCs w:val="24"/>
        </w:rPr>
        <w:t>La data de 29.11.2018 s-a înființat Unitatea de Implementare a Proiectului ”Extinderea și reabilitarea infrastructurii de apă și apă uzată în zonele Ghidigeni, Olteniței, Cheile Turzii și Henri Coandă din municipiul București”, prin Dispoziția Primarului General nr.2209.</w:t>
      </w:r>
    </w:p>
    <w:p w:rsidR="009A31C0" w:rsidRPr="00E64932" w:rsidRDefault="009A31C0" w:rsidP="009A31C0">
      <w:pPr>
        <w:pStyle w:val="Listparagraf1"/>
        <w:spacing w:after="0" w:line="240" w:lineRule="auto"/>
        <w:ind w:left="0" w:firstLine="360"/>
        <w:jc w:val="both"/>
        <w:rPr>
          <w:rFonts w:ascii="Times New Roman" w:hAnsi="Times New Roman"/>
          <w:sz w:val="24"/>
          <w:szCs w:val="24"/>
        </w:rPr>
      </w:pPr>
      <w:r w:rsidRPr="00E64932">
        <w:rPr>
          <w:rFonts w:ascii="Times New Roman" w:hAnsi="Times New Roman"/>
          <w:sz w:val="24"/>
          <w:szCs w:val="24"/>
        </w:rPr>
        <w:t>Datorită necesității revizuirii avizului de mediu conform noilor reglementări europene, depunerea aplicației a fost întârziată.</w:t>
      </w:r>
    </w:p>
    <w:p w:rsidR="009A31C0" w:rsidRPr="00E64932" w:rsidRDefault="009A31C0" w:rsidP="009A31C0">
      <w:pPr>
        <w:pStyle w:val="Listparagraf1"/>
        <w:spacing w:after="0" w:line="240" w:lineRule="auto"/>
        <w:ind w:left="0"/>
        <w:jc w:val="both"/>
        <w:rPr>
          <w:rFonts w:ascii="Times New Roman" w:hAnsi="Times New Roman"/>
          <w:b/>
          <w:sz w:val="24"/>
          <w:szCs w:val="24"/>
        </w:rPr>
      </w:pPr>
      <w:r w:rsidRPr="00E64932">
        <w:rPr>
          <w:rFonts w:ascii="Times New Roman" w:hAnsi="Times New Roman"/>
          <w:b/>
          <w:sz w:val="24"/>
          <w:szCs w:val="24"/>
        </w:rPr>
        <w:t xml:space="preserve">   ● Implementarea proiectului Finalizarea Stației de Epurare  Glina, reabilitarea principalelor colectoare de canalizare și a canalului colector Dâmbovița (Caseta) în Municipiul București – Etapa II</w:t>
      </w:r>
    </w:p>
    <w:p w:rsidR="009A31C0" w:rsidRPr="00E64932" w:rsidRDefault="009A31C0" w:rsidP="009A31C0">
      <w:pPr>
        <w:pStyle w:val="Listparagraf1"/>
        <w:spacing w:after="0" w:line="240" w:lineRule="auto"/>
        <w:ind w:left="0" w:firstLine="720"/>
        <w:jc w:val="both"/>
        <w:rPr>
          <w:rFonts w:ascii="Times New Roman" w:eastAsia="Calibri" w:hAnsi="Times New Roman"/>
          <w:sz w:val="24"/>
          <w:szCs w:val="24"/>
        </w:rPr>
      </w:pPr>
      <w:r w:rsidRPr="00E64932">
        <w:rPr>
          <w:rFonts w:ascii="Times New Roman" w:hAnsi="Times New Roman"/>
          <w:bCs/>
          <w:sz w:val="24"/>
          <w:szCs w:val="24"/>
        </w:rPr>
        <w:t xml:space="preserve">Prin acest contract se </w:t>
      </w:r>
      <w:r w:rsidRPr="00E64932">
        <w:rPr>
          <w:rFonts w:ascii="Times New Roman" w:eastAsia="Calibri" w:hAnsi="Times New Roman"/>
          <w:sz w:val="24"/>
          <w:szCs w:val="24"/>
        </w:rPr>
        <w:t xml:space="preserve">asigură capacității integrale de epurare avansată a apelor uzate din aglomerarea București, precum și procesarea superioară a nămolului prin introducerea treptei finale de incinerare. </w:t>
      </w:r>
    </w:p>
    <w:p w:rsidR="009A31C0" w:rsidRPr="00E64932" w:rsidRDefault="009A31C0" w:rsidP="009A31C0">
      <w:pPr>
        <w:pStyle w:val="Listparagraf1"/>
        <w:spacing w:after="0" w:line="240" w:lineRule="auto"/>
        <w:ind w:left="0"/>
        <w:jc w:val="both"/>
        <w:rPr>
          <w:rFonts w:ascii="Times New Roman" w:hAnsi="Times New Roman"/>
          <w:sz w:val="24"/>
          <w:szCs w:val="24"/>
        </w:rPr>
      </w:pPr>
      <w:r w:rsidRPr="00E64932">
        <w:rPr>
          <w:rFonts w:ascii="Times New Roman" w:hAnsi="Times New Roman"/>
          <w:color w:val="002060"/>
          <w:sz w:val="24"/>
          <w:szCs w:val="24"/>
        </w:rPr>
        <w:tab/>
      </w:r>
      <w:r w:rsidRPr="00E64932">
        <w:rPr>
          <w:rFonts w:ascii="Times New Roman" w:hAnsi="Times New Roman"/>
          <w:sz w:val="24"/>
          <w:szCs w:val="24"/>
        </w:rPr>
        <w:t>Proiectul are o valoare totală de 1.738.198.440 lei (inclusiv TVA), din care cheltuieli eligibile din Fondul de Coeziune în sumă de 874.695.929 lei.</w:t>
      </w:r>
    </w:p>
    <w:p w:rsidR="009A31C0" w:rsidRPr="00E64932" w:rsidRDefault="009A31C0" w:rsidP="009A31C0">
      <w:pPr>
        <w:pStyle w:val="Listparagraf1"/>
        <w:spacing w:after="0" w:line="240" w:lineRule="auto"/>
        <w:ind w:left="0" w:firstLine="720"/>
        <w:jc w:val="both"/>
        <w:rPr>
          <w:rFonts w:ascii="Times New Roman" w:hAnsi="Times New Roman"/>
          <w:b/>
          <w:sz w:val="24"/>
          <w:szCs w:val="24"/>
        </w:rPr>
      </w:pPr>
      <w:bookmarkStart w:id="44" w:name="_Hlk534644035"/>
      <w:r w:rsidRPr="00E64932">
        <w:rPr>
          <w:rFonts w:ascii="Times New Roman" w:hAnsi="Times New Roman"/>
          <w:sz w:val="24"/>
          <w:szCs w:val="24"/>
        </w:rPr>
        <w:t xml:space="preserve">În ceea ce privește sumele solicitate la rambursare, menționăm că </w:t>
      </w:r>
      <w:r w:rsidRPr="00E64932">
        <w:rPr>
          <w:rFonts w:ascii="Times New Roman" w:hAnsi="Times New Roman"/>
          <w:bCs/>
          <w:sz w:val="24"/>
          <w:szCs w:val="24"/>
        </w:rPr>
        <w:t>valoarea totală solicitată la rambursare până la 31.12.2018 este de 69.114.782,27 lei, iar s</w:t>
      </w:r>
      <w:r w:rsidRPr="00E64932">
        <w:rPr>
          <w:rFonts w:ascii="Times New Roman" w:hAnsi="Times New Roman"/>
          <w:sz w:val="24"/>
          <w:szCs w:val="24"/>
        </w:rPr>
        <w:t xml:space="preserve">uma totală rambursată până la sfârșitul anului 2018 este de 65.782.130,12 lei (din valoarea totală plătită de Municipiul București de </w:t>
      </w:r>
      <w:r w:rsidRPr="00E64932">
        <w:rPr>
          <w:rFonts w:ascii="Times New Roman" w:hAnsi="Times New Roman"/>
          <w:bCs/>
          <w:sz w:val="24"/>
          <w:szCs w:val="24"/>
        </w:rPr>
        <w:t>129.555.956,48 lei, inclusiv TVA</w:t>
      </w:r>
      <w:r w:rsidRPr="00E64932">
        <w:rPr>
          <w:rFonts w:ascii="Times New Roman" w:hAnsi="Times New Roman"/>
          <w:sz w:val="24"/>
          <w:szCs w:val="24"/>
        </w:rPr>
        <w:t>).</w:t>
      </w:r>
      <w:bookmarkEnd w:id="44"/>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Proiectul reprezintă o etapă semnificativă în cadrul reabilitării generale și extinderii infrastructurii de canalizare în Municipiul București și constă în următoarele măsuri:</w:t>
      </w:r>
    </w:p>
    <w:p w:rsidR="009A31C0" w:rsidRPr="00E64932" w:rsidRDefault="009A31C0" w:rsidP="00980D72">
      <w:pPr>
        <w:pStyle w:val="Listparagraf1"/>
        <w:numPr>
          <w:ilvl w:val="0"/>
          <w:numId w:val="33"/>
        </w:numPr>
        <w:spacing w:after="0" w:line="240" w:lineRule="auto"/>
        <w:jc w:val="both"/>
        <w:rPr>
          <w:rFonts w:ascii="Times New Roman" w:hAnsi="Times New Roman"/>
          <w:sz w:val="24"/>
          <w:szCs w:val="24"/>
        </w:rPr>
      </w:pPr>
      <w:r w:rsidRPr="00E64932">
        <w:rPr>
          <w:rFonts w:ascii="Times New Roman" w:hAnsi="Times New Roman"/>
          <w:sz w:val="24"/>
          <w:szCs w:val="24"/>
        </w:rPr>
        <w:t>Lucrări de reducere a infiltrațiilor de apă freatică în sistemul de canalizare al Municipiului București și Caseta de apă uzată – Dâmbovița;</w:t>
      </w:r>
    </w:p>
    <w:p w:rsidR="009A31C0" w:rsidRPr="00E64932" w:rsidRDefault="009A31C0" w:rsidP="00980D72">
      <w:pPr>
        <w:pStyle w:val="Listparagraf1"/>
        <w:numPr>
          <w:ilvl w:val="0"/>
          <w:numId w:val="33"/>
        </w:numPr>
        <w:spacing w:after="0" w:line="240" w:lineRule="auto"/>
        <w:jc w:val="both"/>
        <w:rPr>
          <w:rFonts w:ascii="Times New Roman" w:hAnsi="Times New Roman"/>
          <w:sz w:val="24"/>
          <w:szCs w:val="24"/>
        </w:rPr>
      </w:pPr>
      <w:r w:rsidRPr="00E64932">
        <w:rPr>
          <w:rFonts w:ascii="Times New Roman" w:hAnsi="Times New Roman"/>
          <w:sz w:val="24"/>
          <w:szCs w:val="24"/>
        </w:rPr>
        <w:t>Lucrări de extindere a stației de epurare a apelor uzate Glina – treapta secundară, treapta terțiară și linia de nămol;</w:t>
      </w:r>
    </w:p>
    <w:p w:rsidR="009A31C0" w:rsidRPr="00E64932" w:rsidRDefault="009A31C0" w:rsidP="00980D72">
      <w:pPr>
        <w:pStyle w:val="Listparagraf1"/>
        <w:numPr>
          <w:ilvl w:val="0"/>
          <w:numId w:val="33"/>
        </w:numPr>
        <w:spacing w:after="0" w:line="240" w:lineRule="auto"/>
        <w:jc w:val="both"/>
        <w:rPr>
          <w:rFonts w:ascii="Times New Roman" w:hAnsi="Times New Roman"/>
          <w:sz w:val="24"/>
          <w:szCs w:val="24"/>
        </w:rPr>
      </w:pPr>
      <w:r w:rsidRPr="00E64932">
        <w:rPr>
          <w:rFonts w:ascii="Times New Roman" w:hAnsi="Times New Roman"/>
          <w:sz w:val="24"/>
          <w:szCs w:val="24"/>
        </w:rPr>
        <w:t>Construcția unui incinerator de nămol rezultat din procesul de epurare;</w:t>
      </w:r>
    </w:p>
    <w:p w:rsidR="009A31C0" w:rsidRPr="00E64932" w:rsidRDefault="009A31C0" w:rsidP="00980D72">
      <w:pPr>
        <w:pStyle w:val="Listparagraf1"/>
        <w:numPr>
          <w:ilvl w:val="0"/>
          <w:numId w:val="33"/>
        </w:numPr>
        <w:spacing w:after="0" w:line="240" w:lineRule="auto"/>
        <w:jc w:val="both"/>
        <w:rPr>
          <w:rFonts w:ascii="Times New Roman" w:hAnsi="Times New Roman"/>
          <w:sz w:val="24"/>
          <w:szCs w:val="24"/>
        </w:rPr>
      </w:pPr>
      <w:r w:rsidRPr="00E64932">
        <w:rPr>
          <w:rFonts w:ascii="Times New Roman" w:hAnsi="Times New Roman"/>
          <w:sz w:val="24"/>
          <w:szCs w:val="24"/>
        </w:rPr>
        <w:t>Consultanță pentru managementul proiectului și supervizarea lucrărilor.</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De implementarea acestei investiții vor beneficia Municipiul București și alte localități din vecinătatea Municipiului București, incluse în Aglomerarea București, prin considerarea aportului de ape uzate al acestor localități în debitele de dimensionare a Stației de Epurare a Apelor Uzate Glina Faza II. Aceste localități sunt: Glina, Popești-Leordeni, Jilava, Chiajna, Chitila, Mogoșoaia, Voluntari, Dobroești, Pantelimon, Cernica (inclusiv satele Căldăraru și Tânganu), precum și Aeroportul "Henri Coandă" din Otopeni.</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În data de 05.07.2018, INSP a transmis "Studiul de impact asupra sănătății populației", prin care se stabilesc condiții obligatorii privind prevenirea factorilor de risc și protejarea sănătății populației. În baza acestui studiu, în data de 20.07.2018, Direcția de Sănătate Publică Ilfov a emis avizul prin Notificarea nr.1282. Între data solicitării elaborării Studiului de impact asupra sănătății populației (06.03.2018) și data finalizării acestuia (05.07.2018) au trecut patru luni de zile, perioadă în care a fost blocată și activitatea de obținere a avizului eliberat de Agenția Națională de Mediu, ce era condiționat de prezentarea notificării favorabile emise de Direcția de Sănătate Publică Ilfov. Obținerea avizului Direcției de Sănătate Publică Ilfov a durat opt luni de zile, respectiv între data de 09.11.2017 de depunere a solicitării de emitere a avizului și data de 20.07.2018 de emitere a notificării favorabile a DSP Ilfov.  </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lastRenderedPageBreak/>
        <w:t>Din cauza obținerii cu întârziere a avizelor, Autorizația de Construire (AC) pentru Incinerator a fost obținută în data de 12.11.2018, iar AC pentru SEAU în data de 03.12.2018.</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Avizul Agenției Naționale de Mediu a fost obținut în data de 12.09.2018, după cinci luni de analize și consultări privind procedura EIA de reglementare pentru modificările proiectului.</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Proiectul Tehnic pentru Incinerator a fost avizat în ședința CTE – Apa Nova din data de 10.10.2018, iar PT pentru SEAU a fost avizat în ședința CTE – Apa Nova din data de 04.12.2018. Ambele proiecte tehnice au fost aprobate în ședința CTE – PMB din data de 07.12.2018.</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În data de 11.12.2018, Municipiul București a transmis aprobarea specifică atât pentru Proiectul Tehnic privind extinderea Stației de Epurare Glina, cât și pentru Proiectul Tehnic privind construirea Incineratorului de Nămol. Menționăm că lucrările de organizare de șantier au fost realizate în perioada 14 martie - 20 iulie 2018.  </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În data de 23.10.2018 contractul de lucrări </w:t>
      </w:r>
      <w:r w:rsidRPr="00E64932">
        <w:rPr>
          <w:rFonts w:ascii="Times New Roman" w:eastAsia="Calibri" w:hAnsi="Times New Roman"/>
          <w:sz w:val="24"/>
          <w:szCs w:val="24"/>
        </w:rPr>
        <w:t xml:space="preserve">pentru "Construirea sistemului de drenare de la partea dreaptă a Casetei și alte lucrări la sistemul de canalizare de evacuare din lacurile Titan, Tineretului și Carol (CL 2)", </w:t>
      </w:r>
      <w:r w:rsidRPr="00E64932">
        <w:rPr>
          <w:rFonts w:ascii="Times New Roman" w:hAnsi="Times New Roman"/>
          <w:sz w:val="24"/>
          <w:szCs w:val="24"/>
        </w:rPr>
        <w:t xml:space="preserve">a fost reziliat din culpa antreprenorului, municipalitatea inițiind demersurile contractuale de recuperare a prejudiciilor. </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În luna septembrie 2018 a fost recepționat primul tronson de lucrări (A06) </w:t>
      </w:r>
      <w:r w:rsidRPr="00E64932">
        <w:rPr>
          <w:rFonts w:ascii="Times New Roman" w:eastAsia="Calibri" w:hAnsi="Times New Roman"/>
          <w:sz w:val="24"/>
          <w:szCs w:val="24"/>
        </w:rPr>
        <w:t>contractul "Reabilitarea colectoarelor principale de canalizare (A0 și B0) (CL 3)"</w:t>
      </w:r>
      <w:r w:rsidRPr="00E64932">
        <w:rPr>
          <w:rFonts w:ascii="Times New Roman" w:hAnsi="Times New Roman"/>
          <w:sz w:val="24"/>
          <w:szCs w:val="24"/>
        </w:rPr>
        <w:t xml:space="preserve">. În cursul lunii decembrie 2018 au fost finalizate lucrările pe alte trei tronsoane (A01, A02 și A03), urmând ca autoritatea contractantă să verifice execuția lucrărilor și să încheie procesul verbal de recepție la terminarea lucrărilor. </w:t>
      </w:r>
    </w:p>
    <w:p w:rsidR="009A31C0" w:rsidRPr="00E64932" w:rsidRDefault="009A31C0" w:rsidP="009A31C0">
      <w:pPr>
        <w:pStyle w:val="Listparagraf1"/>
        <w:spacing w:after="0" w:line="240" w:lineRule="auto"/>
        <w:ind w:left="0" w:firstLine="720"/>
        <w:jc w:val="both"/>
        <w:rPr>
          <w:rFonts w:ascii="Times New Roman" w:eastAsia="Calibri" w:hAnsi="Times New Roman"/>
          <w:sz w:val="24"/>
          <w:szCs w:val="24"/>
        </w:rPr>
      </w:pPr>
      <w:r w:rsidRPr="00E64932">
        <w:rPr>
          <w:rFonts w:ascii="Times New Roman" w:eastAsia="Calibri" w:hAnsi="Times New Roman"/>
          <w:sz w:val="24"/>
          <w:szCs w:val="24"/>
        </w:rPr>
        <w:t>Contractul de proiectare și execuție pentru "Reabilitarea Casetei și a sistemului sau principal de drenare pe partea stângă a Casetei (in sectoarele Ciurel-Unirii-Vitan) - CL 4" urmărește reducerea infiltrațiilor în CASETA amplasată sub albia amenajată a râului Dâmbovița pe sectorul menționat, provenite din albia amenajată și din pânza freatică, precum și consolidarea structurală și etanșarea unor tronsoane slăbite.</w:t>
      </w:r>
    </w:p>
    <w:p w:rsidR="009A31C0" w:rsidRPr="00E64932" w:rsidRDefault="009A31C0" w:rsidP="009A31C0">
      <w:pPr>
        <w:pStyle w:val="Listparagraf1"/>
        <w:spacing w:after="0" w:line="240" w:lineRule="auto"/>
        <w:ind w:left="0" w:firstLine="360"/>
        <w:jc w:val="both"/>
        <w:rPr>
          <w:rFonts w:ascii="Times New Roman" w:hAnsi="Times New Roman"/>
          <w:sz w:val="24"/>
          <w:szCs w:val="24"/>
        </w:rPr>
      </w:pPr>
      <w:r w:rsidRPr="00E64932">
        <w:rPr>
          <w:rFonts w:ascii="Times New Roman" w:eastAsia="Calibri" w:hAnsi="Times New Roman"/>
          <w:sz w:val="24"/>
          <w:szCs w:val="24"/>
        </w:rPr>
        <w:t xml:space="preserve">Referitor la </w:t>
      </w:r>
      <w:r w:rsidRPr="00E64932">
        <w:rPr>
          <w:rFonts w:ascii="Times New Roman" w:hAnsi="Times New Roman"/>
          <w:sz w:val="24"/>
          <w:szCs w:val="24"/>
        </w:rPr>
        <w:t>Contractul CL 4i: Lot 1 - "Reabilitarea Casetei și a sistemului său principal de drenare de pe partea stângă a Casetei în sectorul Ciurel-Unirii" și Lot 2 - "Reabilitarea Casetei și a sistemului său principal de drenare de pe partea stângă a Casetei în sectorul Unirii-Vitan":</w:t>
      </w:r>
    </w:p>
    <w:p w:rsidR="009A31C0" w:rsidRPr="00E64932" w:rsidRDefault="009A31C0" w:rsidP="00980D72">
      <w:pPr>
        <w:pStyle w:val="Listparagraf1"/>
        <w:numPr>
          <w:ilvl w:val="0"/>
          <w:numId w:val="33"/>
        </w:numPr>
        <w:spacing w:after="0" w:line="240" w:lineRule="auto"/>
        <w:jc w:val="both"/>
        <w:rPr>
          <w:rFonts w:ascii="Times New Roman" w:hAnsi="Times New Roman"/>
          <w:b/>
          <w:sz w:val="24"/>
          <w:szCs w:val="24"/>
        </w:rPr>
      </w:pPr>
      <w:r w:rsidRPr="00E64932">
        <w:rPr>
          <w:rFonts w:ascii="Times New Roman" w:hAnsi="Times New Roman"/>
          <w:sz w:val="24"/>
          <w:szCs w:val="24"/>
        </w:rPr>
        <w:t>Anunțul de participare la licitația deschisă nr. 183807 a fost publicat în 23.03.2018. Data de depunere a ofertelor a fost 22.06.2018, iar data limită de evaluare a ofertelor este 30.03.2019</w:t>
      </w:r>
      <w:r w:rsidRPr="00E64932">
        <w:rPr>
          <w:rFonts w:ascii="Times New Roman" w:hAnsi="Times New Roman"/>
          <w:b/>
          <w:sz w:val="24"/>
          <w:szCs w:val="24"/>
        </w:rPr>
        <w:t xml:space="preserve">.  </w:t>
      </w:r>
      <w:r w:rsidRPr="00E64932">
        <w:rPr>
          <w:rFonts w:ascii="Times New Roman" w:hAnsi="Times New Roman"/>
          <w:sz w:val="24"/>
          <w:szCs w:val="24"/>
        </w:rPr>
        <w:t xml:space="preserve">Durata contractului este de 2555 zile, din care 730 zile pentru finalizarea execuției lucrărilor și 1825 zile perioada minimă de notificare a defectelor. </w:t>
      </w:r>
    </w:p>
    <w:p w:rsidR="009A31C0" w:rsidRPr="00E64932" w:rsidRDefault="009A31C0" w:rsidP="009A31C0">
      <w:pPr>
        <w:pStyle w:val="Listparagraf1"/>
        <w:spacing w:after="0" w:line="240" w:lineRule="auto"/>
        <w:ind w:left="0"/>
        <w:jc w:val="both"/>
        <w:rPr>
          <w:rFonts w:ascii="Times New Roman" w:hAnsi="Times New Roman"/>
          <w:sz w:val="24"/>
          <w:szCs w:val="24"/>
        </w:rPr>
      </w:pPr>
      <w:r w:rsidRPr="00E64932">
        <w:rPr>
          <w:rFonts w:ascii="Times New Roman" w:eastAsia="Calibri" w:hAnsi="Times New Roman"/>
          <w:sz w:val="24"/>
          <w:szCs w:val="24"/>
        </w:rPr>
        <w:t xml:space="preserve">   Referitor la </w:t>
      </w:r>
      <w:r w:rsidRPr="00E64932">
        <w:rPr>
          <w:rFonts w:ascii="Times New Roman" w:hAnsi="Times New Roman"/>
          <w:sz w:val="24"/>
          <w:szCs w:val="24"/>
        </w:rPr>
        <w:t>Contractul CL 5: Lot 1 - "Reabilitarea Casetei și a sistemului de drenare de pe partea stângă în sectorul Vitan-NH Popești” și Lot 2 - "Reabilitarea Casetei în sectorul NH Popești-Glina”.</w:t>
      </w:r>
    </w:p>
    <w:p w:rsidR="009A31C0" w:rsidRPr="00E64932" w:rsidRDefault="009A31C0" w:rsidP="00980D72">
      <w:pPr>
        <w:pStyle w:val="Listparagraf1"/>
        <w:numPr>
          <w:ilvl w:val="0"/>
          <w:numId w:val="33"/>
        </w:numPr>
        <w:spacing w:after="0" w:line="240" w:lineRule="auto"/>
        <w:jc w:val="both"/>
        <w:rPr>
          <w:rFonts w:ascii="Times New Roman" w:eastAsia="Calibri" w:hAnsi="Times New Roman"/>
          <w:sz w:val="24"/>
          <w:szCs w:val="24"/>
        </w:rPr>
      </w:pPr>
      <w:r w:rsidRPr="00E64932">
        <w:rPr>
          <w:rFonts w:ascii="Times New Roman" w:hAnsi="Times New Roman"/>
          <w:sz w:val="24"/>
          <w:szCs w:val="24"/>
        </w:rPr>
        <w:t xml:space="preserve">Pentru lotul 1 al CL 5, după numeroase termene la Tribunalul București și Curtea de Apel, în luna iunie 2018 Curtea de Apel București a comunicat Decizia Civilă nr. 3379 din 06.06.2018 prin care s-a anulat în parte raportul procedurii, obligând autoritatea contractantă la reevaluarea ofertei operatorul economic desemnat câștigător.  Raportul procedurii în urma reevaluării ofertei pentru acest lot a fost semnat în 6 noiembrie 2018. </w:t>
      </w:r>
    </w:p>
    <w:p w:rsidR="009A31C0" w:rsidRPr="00E64932" w:rsidRDefault="009A31C0" w:rsidP="00980D72">
      <w:pPr>
        <w:pStyle w:val="Listparagraf1"/>
        <w:numPr>
          <w:ilvl w:val="0"/>
          <w:numId w:val="33"/>
        </w:numPr>
        <w:spacing w:after="0" w:line="240" w:lineRule="auto"/>
        <w:ind w:left="0" w:firstLine="360"/>
        <w:jc w:val="both"/>
        <w:rPr>
          <w:rFonts w:ascii="Times New Roman" w:hAnsi="Times New Roman"/>
          <w:sz w:val="24"/>
          <w:szCs w:val="24"/>
        </w:rPr>
      </w:pPr>
      <w:r w:rsidRPr="00E64932">
        <w:rPr>
          <w:rFonts w:ascii="Times New Roman" w:hAnsi="Times New Roman"/>
          <w:sz w:val="24"/>
          <w:szCs w:val="24"/>
        </w:rPr>
        <w:t>În litigiul privind lotul 2 al CL5, în anul 2018 Curtea de Apel București a trimis cauza spre rejudecare la Tribunalul București, această instanță pronunțându-se în data de 11 octombrie 2018 prin respingerea contestației pentru acest lot. Municipiul București a transmis invitațiile de semnare a contractelor pentru ambele loturi, estimându-se finalizarea procedurilor administrative și semnarea contractelor de lucrări după aprobarea bugetului local pe anul 2019.</w:t>
      </w:r>
    </w:p>
    <w:p w:rsidR="009A31C0" w:rsidRPr="00E64932" w:rsidRDefault="009A31C0" w:rsidP="009A31C0">
      <w:pPr>
        <w:pStyle w:val="Listparagraf1"/>
        <w:spacing w:after="0" w:line="240" w:lineRule="auto"/>
        <w:ind w:left="0"/>
        <w:jc w:val="both"/>
        <w:rPr>
          <w:rFonts w:ascii="Times New Roman" w:eastAsia="Calibri" w:hAnsi="Times New Roman"/>
          <w:sz w:val="24"/>
          <w:szCs w:val="24"/>
        </w:rPr>
      </w:pPr>
      <w:r w:rsidRPr="00E64932">
        <w:rPr>
          <w:rFonts w:ascii="Times New Roman" w:eastAsia="Calibri" w:hAnsi="Times New Roman"/>
          <w:sz w:val="24"/>
          <w:szCs w:val="24"/>
        </w:rPr>
        <w:t xml:space="preserve">   Referitor la Contract de proiectare și execuție pentru "Reabilitarea / înlocuirea rețelei de canalizare în zonele Cotroceni, Regina Maria și Tineretului (CL 6)":</w:t>
      </w:r>
    </w:p>
    <w:p w:rsidR="009A31C0" w:rsidRPr="00E64932" w:rsidRDefault="009A31C0" w:rsidP="00980D72">
      <w:pPr>
        <w:pStyle w:val="Listparagraf1"/>
        <w:numPr>
          <w:ilvl w:val="0"/>
          <w:numId w:val="33"/>
        </w:numPr>
        <w:spacing w:after="0" w:line="240" w:lineRule="auto"/>
        <w:jc w:val="both"/>
        <w:rPr>
          <w:rFonts w:ascii="Times New Roman" w:hAnsi="Times New Roman"/>
          <w:sz w:val="24"/>
          <w:szCs w:val="24"/>
        </w:rPr>
      </w:pPr>
      <w:r w:rsidRPr="00E64932">
        <w:rPr>
          <w:rFonts w:ascii="Times New Roman" w:hAnsi="Times New Roman"/>
          <w:sz w:val="24"/>
          <w:szCs w:val="24"/>
        </w:rPr>
        <w:t xml:space="preserve">Urmare rezilierii contractului de lucrări CL2 din culpa Antreprenorului în data de 23.10.2018, este necesară preluarea obiectelor 4 și 5 din acest contract în scopul contractului CL6.  În prezent, Autoritatea Contractantă actualizează documentația de atribuire, analizând o serie de informații recente furnizate de Apa Nova București privind debitele drenate în aria contractului și poziționarea spațială a acestora, necesare în vederea elaborării unei documentații complete care </w:t>
      </w:r>
      <w:r w:rsidRPr="00E64932">
        <w:rPr>
          <w:rFonts w:ascii="Times New Roman" w:hAnsi="Times New Roman"/>
          <w:sz w:val="24"/>
          <w:szCs w:val="24"/>
        </w:rPr>
        <w:lastRenderedPageBreak/>
        <w:t xml:space="preserve">să contribuie la atingerea obiectivelor proiectului. Demararea procedurii de atribuire fiind condiționată de aprobarea bugetului local pe anul 2019 și a noilor indicatori tehnico-economici ai proiectului.  </w:t>
      </w:r>
    </w:p>
    <w:p w:rsidR="009A31C0" w:rsidRPr="00E64932" w:rsidRDefault="009A31C0" w:rsidP="009A31C0">
      <w:pPr>
        <w:pStyle w:val="Listparagraf1"/>
        <w:spacing w:after="0" w:line="240" w:lineRule="auto"/>
        <w:ind w:left="0"/>
        <w:jc w:val="both"/>
        <w:rPr>
          <w:rFonts w:ascii="Times New Roman" w:eastAsia="Calibri" w:hAnsi="Times New Roman"/>
          <w:sz w:val="24"/>
          <w:szCs w:val="24"/>
        </w:rPr>
      </w:pPr>
      <w:r w:rsidRPr="00E64932">
        <w:rPr>
          <w:rFonts w:ascii="Times New Roman" w:eastAsia="Calibri" w:hAnsi="Times New Roman"/>
          <w:sz w:val="24"/>
          <w:szCs w:val="24"/>
        </w:rPr>
        <w:t>Contractele de servicii incluse în proiect:</w:t>
      </w:r>
    </w:p>
    <w:p w:rsidR="009A31C0" w:rsidRPr="00E64932" w:rsidRDefault="009A31C0" w:rsidP="009A31C0">
      <w:pPr>
        <w:pStyle w:val="Listparagraf1"/>
        <w:spacing w:after="0" w:line="240" w:lineRule="auto"/>
        <w:ind w:left="0" w:firstLine="720"/>
        <w:jc w:val="both"/>
        <w:rPr>
          <w:rFonts w:ascii="Times New Roman" w:eastAsia="Calibri" w:hAnsi="Times New Roman"/>
          <w:sz w:val="24"/>
          <w:szCs w:val="24"/>
        </w:rPr>
      </w:pPr>
      <w:r w:rsidRPr="00E64932">
        <w:rPr>
          <w:rFonts w:ascii="Times New Roman" w:eastAsia="Calibri" w:hAnsi="Times New Roman"/>
          <w:sz w:val="24"/>
          <w:szCs w:val="24"/>
        </w:rPr>
        <w:t xml:space="preserve">1) Contract de servicii pentru Asistență Tehnică pentru Managementul proiectului (CS 1), ce are drept scop asigurarea asistenței tehnice pentru managementul întregului proiect, activitățile principale vizând: managementul general al proiectului; suport în pregătirea, licitarea și implementarea contractelor de lucrări și de servicii; informarea publicului și publicitatea proiectului; actualizarea strategiei de investiții pe termen mediu; suport în derularea activității UIP și raportare. </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Asistența tehnică privind managementul proiectului este asigurată prin încheierea contractului de servicii nr. 469/15.05.2012 între Municipiul București și ASOCIEREA S.C. AECOM INGINERIA SRL și S.C. ROMCAPITAL INVEST SA, lider de asociere AECOM INGINERIA SRL. </w:t>
      </w:r>
      <w:r w:rsidRPr="00E64932">
        <w:rPr>
          <w:rFonts w:ascii="Times New Roman" w:eastAsia="Calibri" w:hAnsi="Times New Roman"/>
          <w:sz w:val="24"/>
          <w:szCs w:val="24"/>
        </w:rPr>
        <w:t>Valoarea contractului este de 31.518.150 lei (exclusiv TVA), acesta acoperind ambele etape de finanțare (POS Mediu și POIM).</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Durata contractului este de 83 de luni de la data ordinului de începere (06.06.2012), cu termen de finalizare 5 aprilie 2019. </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Având în vedere faptul că contractele de lucrări și servicii pot fi finalizate până la data de 31.10.2020 (data încheierii contractului de finanțare), este necesară încheierea unui nou contract de servicii prin care se va asigura managementul extern al proiectului, în conformitate cu obligațiile asumate prin contractul de finanțare nr.12/21.12.2016. Estimăm  finalizarea documentației de atribuire pentru noul contract de servicii de asistență tehnică pentru managementul proiectului în primul trimestru al anului 2019, urmând ca data de lansare a procedurii de atribuire să fie ulterioară aprobării bugetului local pentru anul 2019. </w:t>
      </w:r>
    </w:p>
    <w:p w:rsidR="009A31C0" w:rsidRPr="00E64932" w:rsidRDefault="009A31C0" w:rsidP="009A31C0">
      <w:pPr>
        <w:pStyle w:val="Listparagraf1"/>
        <w:spacing w:after="0" w:line="240" w:lineRule="auto"/>
        <w:ind w:left="0" w:firstLine="720"/>
        <w:jc w:val="both"/>
        <w:rPr>
          <w:rFonts w:ascii="Times New Roman" w:eastAsia="Calibri" w:hAnsi="Times New Roman"/>
          <w:sz w:val="24"/>
          <w:szCs w:val="24"/>
        </w:rPr>
      </w:pPr>
      <w:r w:rsidRPr="00E64932">
        <w:rPr>
          <w:rFonts w:ascii="Times New Roman" w:eastAsia="Calibri" w:hAnsi="Times New Roman"/>
          <w:sz w:val="24"/>
          <w:szCs w:val="24"/>
        </w:rPr>
        <w:t>2) Contract de servicii de "Asistență Tehnică pentru Supervizarea lucrărilor din cadrul proiectului (CS 2)" are drept scop asigurarea supervizării contractelor de lucrări pentru întregul proiect, acoperind ambele etape de finanțare (POS Mediu și POIM).</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Asistența tehnică pentru supervizarea lucrărilor în cadrul proiectului este asigurată prin încheierea contractului de servicii nr. 429/05.10.2015 între Municipiul București și Asocierea Eptisa Romania S.R.L. &amp; Eptisa Servicios de Ingenieria SL &amp; S.C. Konsent S.A., lider asociere Eptisa Romania S.R.L.</w:t>
      </w:r>
      <w:r w:rsidRPr="00E64932">
        <w:rPr>
          <w:rFonts w:ascii="Times New Roman" w:eastAsia="Calibri" w:hAnsi="Times New Roman"/>
          <w:sz w:val="24"/>
          <w:szCs w:val="24"/>
        </w:rPr>
        <w:t xml:space="preserve"> Valoarea contractului este de 15.881.550 lei, exclusiv TVA</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Durata contractului este de 47 de luni de la data ordinului  de începere (12.10.2015), respectiv până la data de 12.09.2019. </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Având în vedere obligațiile asumate prin contractul de finanțare nr.12/21.12.2016 și contractul de împrumut încheiat cu Banca Europeană de Investiții, ținând cont de faptul că termenele de finalizare a execuției lucrărilor aferente contractelor CL4, CL5 și CL6 depășesc data de finalizare a contractului de servicii menționat, municipalitatea va iniția o nouă procedură de atribuire pentru un contract de servicii de asistența tehnică pentru supervizarea lucrărilor în cadrul proiectului.  </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Supervizarea lucrărilor din cadrul proiectului este necesară având în vedere faptul că acesta reprezintă pe de o parte, mecanismul ferm de control și acțiune oferit de către Condițiile de Contract de Lucrări de tip FIDIC, iar pe de altă parte, pârghiile de  control rezultate din obligativitatea respectării cu strictețe a legislației naționale privind asigurarea calității în construcții.</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Importanța asigurării supervizării lucrărilor rezidă din cadrul definit de condițiile de contract FIDIC definitorii pentru contractele de lucrări din cadrul proiectului. Astfel, Consultantul de Supervizare (în calitate de "Inginer") administrează, controlează, supraveghează și se asigură ca rezultatul activității Antreprenorilor să fie în conformitate cu Cerințele / Specificațiile Tehnice stabilite de către Autoritatea Contractantă. De asemenea, prin asumarea responsabilităților ce rezultă din aplicarea legislației naționale privind calitatea în construcții, Consultantul de Supervizare acționează ca "diriginte de șantier" în sprijinul Autorității Contractante. </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lastRenderedPageBreak/>
        <w:t xml:space="preserve">Estimăm finalizarea documentației de atribuire pentru noul contract de servicii de asistența tehnică pentru supervizarea lucrărilor în primul trimestru al anului 2019, urmând ca data de lansare a procedurii de atribuire să fie ulterioară aprobării bugetului local pentru anul 2019. </w:t>
      </w:r>
    </w:p>
    <w:p w:rsidR="009A31C0" w:rsidRPr="00E64932" w:rsidRDefault="009A31C0" w:rsidP="009A31C0">
      <w:pPr>
        <w:pStyle w:val="Listparagraf1"/>
        <w:spacing w:after="0" w:line="240" w:lineRule="auto"/>
        <w:ind w:left="0" w:firstLine="720"/>
        <w:jc w:val="both"/>
        <w:rPr>
          <w:rFonts w:ascii="Times New Roman" w:eastAsia="Calibri" w:hAnsi="Times New Roman"/>
          <w:sz w:val="24"/>
          <w:szCs w:val="24"/>
        </w:rPr>
      </w:pPr>
      <w:r w:rsidRPr="00E64932">
        <w:rPr>
          <w:rFonts w:ascii="Times New Roman" w:eastAsia="Calibri" w:hAnsi="Times New Roman"/>
          <w:sz w:val="24"/>
          <w:szCs w:val="24"/>
        </w:rPr>
        <w:t>3)</w:t>
      </w:r>
      <w:r w:rsidRPr="00E64932">
        <w:rPr>
          <w:rFonts w:ascii="Times New Roman" w:eastAsia="Calibri" w:hAnsi="Times New Roman"/>
          <w:b/>
          <w:sz w:val="24"/>
          <w:szCs w:val="24"/>
        </w:rPr>
        <w:t xml:space="preserve"> </w:t>
      </w:r>
      <w:r w:rsidRPr="00E64932">
        <w:rPr>
          <w:rFonts w:ascii="Times New Roman" w:eastAsia="Calibri" w:hAnsi="Times New Roman"/>
          <w:sz w:val="24"/>
          <w:szCs w:val="24"/>
        </w:rPr>
        <w:t xml:space="preserve">Contractul de Servicii de Audit al proiectului (CS 3) are ca scop auditarea proiectului, respectiv a cererilor de rambursare întocmite. </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 xml:space="preserve">Serviciile de audit al proiectului sunt asigurate prin contractul de servicii nr. 208/19.05.2014 încheiat între Municipiul București și SC DELOITTE AUDIT SRL, prestarea serviciilor fiind asigurată până la finalizarea implementării proiectului. </w:t>
      </w:r>
      <w:r w:rsidRPr="00E64932">
        <w:rPr>
          <w:rFonts w:ascii="Times New Roman" w:eastAsia="Calibri" w:hAnsi="Times New Roman"/>
          <w:sz w:val="24"/>
          <w:szCs w:val="24"/>
        </w:rPr>
        <w:t>Valoarea contractului este de 427.632 lei (exclusiv TVA), acesta acoperind ambele etape de finanțare ale proiectului (POS Mediu și POIM).</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eastAsia="Calibri" w:hAnsi="Times New Roman"/>
          <w:sz w:val="24"/>
          <w:szCs w:val="24"/>
        </w:rPr>
        <w:t xml:space="preserve">Abordarea integrată a proiectului </w:t>
      </w:r>
      <w:r w:rsidRPr="00E64932">
        <w:rPr>
          <w:rFonts w:ascii="Times New Roman" w:hAnsi="Times New Roman"/>
          <w:sz w:val="24"/>
          <w:szCs w:val="24"/>
        </w:rPr>
        <w:t>"Finalizarea Stației de Epurare Glina, reabilitarea principalelor colectoare de canalizare și a canalului colector Dâmbovița (Caseta) în Municipiul București – Etapa II”,</w:t>
      </w:r>
      <w:r w:rsidRPr="00E64932">
        <w:rPr>
          <w:rFonts w:ascii="Times New Roman" w:eastAsia="Calibri" w:hAnsi="Times New Roman"/>
          <w:sz w:val="24"/>
          <w:szCs w:val="24"/>
        </w:rPr>
        <w:t xml:space="preserve"> cu măsuri atât în rețeaua de canalizare (prin contractele de lucrări CL2-CL6) cât și în stația de epurare (prin contractul de lucrări CL1), </w:t>
      </w:r>
      <w:r w:rsidRPr="00E64932">
        <w:rPr>
          <w:rFonts w:ascii="Times New Roman" w:hAnsi="Times New Roman"/>
          <w:sz w:val="24"/>
          <w:szCs w:val="24"/>
        </w:rPr>
        <w:t xml:space="preserve">va asigura epurarea completă a apelor uzate din sistemul de canalizare București, asigurând o calitate a efluentului conformă cu prevederile Directivei 91/271/CEE și NTPA 011 referitoare la descărcarea efluentului în zone sensibile. </w:t>
      </w:r>
    </w:p>
    <w:p w:rsidR="009A31C0" w:rsidRPr="00E64932" w:rsidRDefault="009A31C0" w:rsidP="009A31C0">
      <w:pPr>
        <w:pStyle w:val="Listparagraf1"/>
        <w:spacing w:after="0" w:line="240" w:lineRule="auto"/>
        <w:ind w:left="0"/>
        <w:jc w:val="both"/>
        <w:rPr>
          <w:rFonts w:ascii="Times New Roman" w:eastAsia="Calibri" w:hAnsi="Times New Roman"/>
          <w:sz w:val="24"/>
          <w:szCs w:val="24"/>
        </w:rPr>
      </w:pPr>
    </w:p>
    <w:p w:rsidR="009A31C0" w:rsidRPr="00E64932" w:rsidRDefault="009A31C0" w:rsidP="009A31C0">
      <w:pPr>
        <w:pStyle w:val="Listparagraf1"/>
        <w:spacing w:after="0" w:line="240" w:lineRule="auto"/>
        <w:ind w:left="0"/>
        <w:jc w:val="both"/>
        <w:rPr>
          <w:rFonts w:ascii="Times New Roman" w:hAnsi="Times New Roman"/>
          <w:b/>
          <w:color w:val="000000"/>
          <w:sz w:val="24"/>
          <w:szCs w:val="24"/>
        </w:rPr>
      </w:pPr>
      <w:r w:rsidRPr="00E64932">
        <w:rPr>
          <w:rFonts w:ascii="Times New Roman" w:hAnsi="Times New Roman"/>
          <w:b/>
          <w:color w:val="000000"/>
          <w:sz w:val="24"/>
          <w:szCs w:val="24"/>
        </w:rPr>
        <w:t>P.M.B. - Direcţia Cultură, Învățământ, Turism</w:t>
      </w:r>
    </w:p>
    <w:p w:rsidR="009A31C0" w:rsidRPr="00E64932" w:rsidRDefault="009A31C0" w:rsidP="009A31C0">
      <w:pPr>
        <w:pStyle w:val="Listparagraf1"/>
        <w:spacing w:after="0" w:line="240" w:lineRule="auto"/>
        <w:ind w:left="0"/>
        <w:jc w:val="both"/>
        <w:rPr>
          <w:rFonts w:ascii="Times New Roman" w:hAnsi="Times New Roman"/>
          <w:b/>
          <w:color w:val="FF0000"/>
          <w:sz w:val="24"/>
          <w:szCs w:val="24"/>
        </w:rPr>
      </w:pPr>
    </w:p>
    <w:p w:rsidR="009A31C0" w:rsidRPr="00E64932" w:rsidRDefault="009A31C0" w:rsidP="009A31C0">
      <w:pPr>
        <w:pStyle w:val="Listparagraf1"/>
        <w:spacing w:after="0" w:line="240" w:lineRule="auto"/>
        <w:ind w:left="0"/>
        <w:jc w:val="both"/>
        <w:rPr>
          <w:rFonts w:ascii="Times New Roman" w:hAnsi="Times New Roman"/>
          <w:b/>
          <w:sz w:val="24"/>
          <w:szCs w:val="24"/>
        </w:rPr>
      </w:pPr>
      <w:r w:rsidRPr="00E64932">
        <w:rPr>
          <w:rFonts w:ascii="Times New Roman" w:hAnsi="Times New Roman"/>
          <w:b/>
          <w:sz w:val="24"/>
          <w:szCs w:val="24"/>
        </w:rPr>
        <w:t>● Proiect ce are ca obiectiv promovarea unui cadru educaţional comun pentru sistemul public de învăţământ, care să poată susţine şi promova noile obiectivele de dezvoltare durabilă - Agenda 2030 (Walk the Global Walk).</w:t>
      </w:r>
    </w:p>
    <w:p w:rsidR="009A31C0" w:rsidRPr="00E64932" w:rsidRDefault="009A31C0" w:rsidP="009A31C0">
      <w:pPr>
        <w:pStyle w:val="Listparagraf1"/>
        <w:spacing w:after="0" w:line="240" w:lineRule="auto"/>
        <w:ind w:left="0" w:firstLine="720"/>
        <w:jc w:val="both"/>
        <w:rPr>
          <w:rFonts w:ascii="Times New Roman" w:hAnsi="Times New Roman"/>
          <w:sz w:val="24"/>
          <w:szCs w:val="24"/>
        </w:rPr>
      </w:pPr>
      <w:r w:rsidRPr="00E64932">
        <w:rPr>
          <w:rFonts w:ascii="Times New Roman" w:hAnsi="Times New Roman"/>
          <w:sz w:val="24"/>
          <w:szCs w:val="24"/>
        </w:rPr>
        <w:t>Bugetulul estimat al proiectului fiind de 318.223 Euro pentru o perioadă de 36 de luni.</w:t>
      </w:r>
    </w:p>
    <w:p w:rsidR="009A31C0" w:rsidRPr="00E64932" w:rsidRDefault="009A31C0" w:rsidP="009A31C0">
      <w:pPr>
        <w:pStyle w:val="Listparagraf1"/>
        <w:spacing w:after="0" w:line="240" w:lineRule="auto"/>
        <w:ind w:left="0"/>
        <w:jc w:val="both"/>
        <w:rPr>
          <w:rFonts w:ascii="Times New Roman" w:hAnsi="Times New Roman"/>
          <w:sz w:val="24"/>
          <w:szCs w:val="24"/>
          <w:shd w:val="clear" w:color="auto" w:fill="FFFFFF"/>
        </w:rPr>
      </w:pPr>
      <w:r w:rsidRPr="00E64932">
        <w:rPr>
          <w:rFonts w:ascii="Times New Roman" w:hAnsi="Times New Roman"/>
          <w:sz w:val="24"/>
          <w:szCs w:val="24"/>
        </w:rPr>
        <w:tab/>
      </w:r>
      <w:r w:rsidRPr="00E64932">
        <w:rPr>
          <w:rFonts w:ascii="Times New Roman" w:hAnsi="Times New Roman"/>
          <w:sz w:val="24"/>
          <w:szCs w:val="24"/>
          <w:shd w:val="clear" w:color="auto" w:fill="FFFFFF"/>
        </w:rPr>
        <w:t xml:space="preserve">H.C.G.M.B. nr.38/2018 privind participarea municipiului Bucuresti, in calitate de partener, </w:t>
      </w:r>
      <w:r w:rsidRPr="00E64932">
        <w:rPr>
          <w:rFonts w:ascii="Times New Roman" w:hAnsi="Times New Roman"/>
          <w:sz w:val="24"/>
          <w:szCs w:val="24"/>
        </w:rPr>
        <w:t>alături de organizaţia Asociaţia de Asistenţă şi Programe pentru Dezvoltare Durabilă - Agenda 21,</w:t>
      </w:r>
      <w:r w:rsidRPr="00E64932">
        <w:rPr>
          <w:rFonts w:ascii="Times New Roman" w:hAnsi="Times New Roman"/>
          <w:sz w:val="24"/>
          <w:szCs w:val="24"/>
          <w:shd w:val="clear" w:color="auto" w:fill="FFFFFF"/>
        </w:rPr>
        <w:t xml:space="preserve"> la proiectul cu finanțare nerambursabilă "Walk the (Global) Walk", în cadrul apelului de proiecte EuropeAid/151103/DH/ACT/MULTI-4.</w:t>
      </w:r>
    </w:p>
    <w:p w:rsidR="003B6DC5" w:rsidRDefault="003B6DC5" w:rsidP="00A77970">
      <w:pPr>
        <w:tabs>
          <w:tab w:val="left" w:pos="993"/>
        </w:tabs>
        <w:jc w:val="both"/>
        <w:rPr>
          <w:b/>
        </w:rPr>
      </w:pPr>
    </w:p>
    <w:p w:rsidR="00CB51B1" w:rsidRDefault="00CB51B1" w:rsidP="00A77970">
      <w:pPr>
        <w:tabs>
          <w:tab w:val="left" w:pos="993"/>
        </w:tabs>
        <w:jc w:val="both"/>
        <w:rPr>
          <w:b/>
        </w:rPr>
      </w:pPr>
    </w:p>
    <w:p w:rsidR="00CB51B1" w:rsidRDefault="00CB51B1" w:rsidP="00A77970">
      <w:pPr>
        <w:tabs>
          <w:tab w:val="left" w:pos="993"/>
        </w:tabs>
        <w:jc w:val="both"/>
        <w:rPr>
          <w:b/>
        </w:rPr>
      </w:pPr>
    </w:p>
    <w:p w:rsidR="00CB51B1" w:rsidRDefault="00CB51B1" w:rsidP="00A77970">
      <w:pPr>
        <w:tabs>
          <w:tab w:val="left" w:pos="993"/>
        </w:tabs>
        <w:jc w:val="both"/>
        <w:rPr>
          <w:b/>
        </w:rPr>
      </w:pPr>
    </w:p>
    <w:p w:rsidR="00CB51B1" w:rsidRDefault="00CB51B1" w:rsidP="00A77970">
      <w:pPr>
        <w:tabs>
          <w:tab w:val="left" w:pos="993"/>
        </w:tabs>
        <w:jc w:val="both"/>
        <w:rPr>
          <w:b/>
        </w:rPr>
      </w:pPr>
    </w:p>
    <w:p w:rsidR="00CB51B1" w:rsidRDefault="00CB51B1" w:rsidP="00A77970">
      <w:pPr>
        <w:tabs>
          <w:tab w:val="left" w:pos="993"/>
        </w:tabs>
        <w:jc w:val="both"/>
        <w:rPr>
          <w:b/>
        </w:rPr>
      </w:pPr>
    </w:p>
    <w:p w:rsidR="00674BCC" w:rsidRDefault="009F4081" w:rsidP="00A77970">
      <w:pPr>
        <w:tabs>
          <w:tab w:val="left" w:pos="993"/>
        </w:tabs>
        <w:jc w:val="both"/>
        <w:rPr>
          <w:b/>
        </w:rPr>
      </w:pPr>
      <w:r>
        <w:rPr>
          <w:b/>
        </w:rPr>
        <w:t>Ș</w:t>
      </w:r>
      <w:r w:rsidR="002935EE">
        <w:rPr>
          <w:b/>
        </w:rPr>
        <w:t>ef serviciu strategii guvernamentale și servicii publice deconcentrate</w:t>
      </w:r>
    </w:p>
    <w:p w:rsidR="00CB51B1" w:rsidRPr="00674BCC" w:rsidRDefault="00CB51B1" w:rsidP="00A77970">
      <w:pPr>
        <w:tabs>
          <w:tab w:val="left" w:pos="993"/>
        </w:tabs>
        <w:jc w:val="both"/>
        <w:rPr>
          <w:b/>
        </w:rPr>
      </w:pPr>
    </w:p>
    <w:p w:rsidR="00674BCC" w:rsidRPr="00674BCC" w:rsidRDefault="00674BCC" w:rsidP="00A77970">
      <w:pPr>
        <w:tabs>
          <w:tab w:val="left" w:pos="993"/>
        </w:tabs>
        <w:jc w:val="both"/>
        <w:rPr>
          <w:b/>
        </w:rPr>
      </w:pPr>
      <w:r w:rsidRPr="00674BCC">
        <w:rPr>
          <w:b/>
        </w:rPr>
        <w:t>Liviu CRIVEI</w:t>
      </w:r>
    </w:p>
    <w:p w:rsidR="00674BCC" w:rsidRDefault="00674BCC" w:rsidP="00A77970">
      <w:pPr>
        <w:tabs>
          <w:tab w:val="left" w:pos="993"/>
        </w:tabs>
        <w:jc w:val="both"/>
      </w:pPr>
    </w:p>
    <w:p w:rsidR="00284A40" w:rsidRDefault="00674BCC" w:rsidP="00A77970">
      <w:pPr>
        <w:tabs>
          <w:tab w:val="left" w:pos="993"/>
        </w:tabs>
        <w:jc w:val="right"/>
      </w:pPr>
      <w:r w:rsidRPr="00674BCC">
        <w:t>Întocmit</w:t>
      </w:r>
      <w:r>
        <w:t>,</w:t>
      </w:r>
    </w:p>
    <w:p w:rsidR="00CB51B1" w:rsidRDefault="00674BCC" w:rsidP="00A77970">
      <w:pPr>
        <w:tabs>
          <w:tab w:val="left" w:pos="993"/>
        </w:tabs>
        <w:jc w:val="right"/>
      </w:pPr>
      <w:r w:rsidRPr="00674BCC">
        <w:t>Consilier asistent</w:t>
      </w:r>
      <w:r w:rsidR="00284A40">
        <w:t xml:space="preserve"> </w:t>
      </w:r>
    </w:p>
    <w:p w:rsidR="00674BCC" w:rsidRDefault="00674BCC" w:rsidP="00A77970">
      <w:pPr>
        <w:tabs>
          <w:tab w:val="left" w:pos="993"/>
        </w:tabs>
        <w:jc w:val="right"/>
      </w:pPr>
      <w:r w:rsidRPr="00674BCC">
        <w:t>Iulia DUMITRU</w:t>
      </w:r>
    </w:p>
    <w:p w:rsidR="00CB51B1" w:rsidRDefault="00CB51B1" w:rsidP="00CB51B1">
      <w:pPr>
        <w:pStyle w:val="Caption"/>
        <w:ind w:left="0"/>
        <w:jc w:val="both"/>
        <w:rPr>
          <w:bCs/>
          <w:i w:val="0"/>
          <w:iCs/>
          <w:szCs w:val="24"/>
        </w:rPr>
      </w:pPr>
    </w:p>
    <w:p w:rsidR="00CB51B1" w:rsidRDefault="00CB51B1" w:rsidP="00CB51B1">
      <w:pPr>
        <w:pStyle w:val="Caption"/>
        <w:ind w:left="0"/>
        <w:jc w:val="both"/>
        <w:rPr>
          <w:bCs/>
          <w:i w:val="0"/>
          <w:iCs/>
          <w:szCs w:val="24"/>
        </w:rPr>
      </w:pPr>
    </w:p>
    <w:p w:rsidR="00CB51B1" w:rsidRDefault="00CB51B1" w:rsidP="00CB51B1">
      <w:pPr>
        <w:pStyle w:val="Caption"/>
        <w:ind w:left="0"/>
        <w:jc w:val="both"/>
        <w:rPr>
          <w:bCs/>
          <w:i w:val="0"/>
          <w:iCs/>
          <w:szCs w:val="24"/>
        </w:rPr>
      </w:pPr>
    </w:p>
    <w:p w:rsidR="00CB51B1" w:rsidRDefault="00CB51B1" w:rsidP="00CB51B1">
      <w:pPr>
        <w:pStyle w:val="Caption"/>
        <w:ind w:left="0"/>
        <w:jc w:val="both"/>
        <w:rPr>
          <w:bCs/>
          <w:i w:val="0"/>
          <w:iCs/>
          <w:szCs w:val="24"/>
        </w:rPr>
      </w:pPr>
    </w:p>
    <w:p w:rsidR="00CB51B1" w:rsidRDefault="00CB51B1" w:rsidP="00CB51B1">
      <w:pPr>
        <w:pStyle w:val="Caption"/>
        <w:ind w:left="0"/>
        <w:jc w:val="both"/>
        <w:rPr>
          <w:bCs/>
          <w:i w:val="0"/>
          <w:iCs/>
          <w:szCs w:val="24"/>
        </w:rPr>
      </w:pPr>
    </w:p>
    <w:p w:rsidR="00CB51B1" w:rsidRPr="00CB51B1" w:rsidRDefault="00CB51B1" w:rsidP="00CB51B1">
      <w:pPr>
        <w:pStyle w:val="Caption"/>
        <w:ind w:left="0"/>
        <w:jc w:val="both"/>
        <w:rPr>
          <w:b/>
          <w:bCs/>
          <w:i w:val="0"/>
          <w:iCs/>
          <w:szCs w:val="24"/>
        </w:rPr>
      </w:pPr>
      <w:r w:rsidRPr="00CB51B1">
        <w:rPr>
          <w:b/>
          <w:bCs/>
          <w:i w:val="0"/>
          <w:iCs/>
          <w:szCs w:val="24"/>
        </w:rPr>
        <w:t xml:space="preserve">NOTĂ: </w:t>
      </w:r>
    </w:p>
    <w:p w:rsidR="00CB51B1" w:rsidRPr="00CB51B1" w:rsidRDefault="00CB51B1" w:rsidP="00CB51B1">
      <w:pPr>
        <w:pStyle w:val="Caption"/>
        <w:ind w:left="0"/>
        <w:jc w:val="both"/>
        <w:rPr>
          <w:bCs/>
          <w:i w:val="0"/>
          <w:iCs/>
          <w:szCs w:val="24"/>
        </w:rPr>
      </w:pPr>
      <w:r w:rsidRPr="00C00F1E">
        <w:rPr>
          <w:bCs/>
          <w:i w:val="0"/>
          <w:iCs/>
          <w:szCs w:val="24"/>
        </w:rPr>
        <w:t>Prezentul raport a fost întocmit în baza datelor statistice furnizate de Direcția Regională de Statistică a M</w:t>
      </w:r>
      <w:r>
        <w:rPr>
          <w:bCs/>
          <w:i w:val="0"/>
          <w:iCs/>
          <w:szCs w:val="24"/>
        </w:rPr>
        <w:t>unicipiulu</w:t>
      </w:r>
      <w:r w:rsidRPr="00C00F1E">
        <w:rPr>
          <w:bCs/>
          <w:i w:val="0"/>
          <w:iCs/>
          <w:szCs w:val="24"/>
        </w:rPr>
        <w:t>i Bucure</w:t>
      </w:r>
      <w:r>
        <w:rPr>
          <w:bCs/>
          <w:i w:val="0"/>
          <w:iCs/>
          <w:szCs w:val="24"/>
        </w:rPr>
        <w:t>ști și a informațiilor primite</w:t>
      </w:r>
      <w:r w:rsidRPr="00C00F1E">
        <w:rPr>
          <w:bCs/>
          <w:i w:val="0"/>
          <w:iCs/>
          <w:szCs w:val="24"/>
        </w:rPr>
        <w:t xml:space="preserve"> din partea autorităților administrației publice </w:t>
      </w:r>
      <w:r>
        <w:rPr>
          <w:bCs/>
          <w:i w:val="0"/>
          <w:iCs/>
          <w:szCs w:val="24"/>
        </w:rPr>
        <w:t xml:space="preserve">locale </w:t>
      </w:r>
      <w:r w:rsidRPr="00C00F1E">
        <w:rPr>
          <w:bCs/>
          <w:i w:val="0"/>
          <w:iCs/>
          <w:szCs w:val="24"/>
        </w:rPr>
        <w:t xml:space="preserve">din municipiul București, servicilor publice deconcentrate, </w:t>
      </w:r>
      <w:r>
        <w:rPr>
          <w:bCs/>
          <w:i w:val="0"/>
          <w:iCs/>
          <w:szCs w:val="24"/>
        </w:rPr>
        <w:t xml:space="preserve">regiilor, </w:t>
      </w:r>
      <w:r w:rsidRPr="00C00F1E">
        <w:rPr>
          <w:bCs/>
          <w:i w:val="0"/>
          <w:iCs/>
          <w:szCs w:val="24"/>
        </w:rPr>
        <w:t>instituțiilor publice, agenților și operatorilor economici care prestează servicii de gospodărie comunală</w:t>
      </w:r>
      <w:r>
        <w:rPr>
          <w:bCs/>
          <w:i w:val="0"/>
          <w:iCs/>
          <w:szCs w:val="24"/>
        </w:rPr>
        <w:t>.</w:t>
      </w:r>
    </w:p>
    <w:sectPr w:rsidR="00CB51B1" w:rsidRPr="00CB51B1" w:rsidSect="00D853B3">
      <w:type w:val="continuous"/>
      <w:pgSz w:w="11906" w:h="16838"/>
      <w:pgMar w:top="1440" w:right="709" w:bottom="1440"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2B79" w:rsidRDefault="00452B79" w:rsidP="00DC48A4">
      <w:r>
        <w:separator/>
      </w:r>
    </w:p>
  </w:endnote>
  <w:endnote w:type="continuationSeparator" w:id="0">
    <w:p w:rsidR="00452B79" w:rsidRDefault="00452B79" w:rsidP="00DC48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Microsoft JhengHei Light"/>
    <w:charset w:val="02"/>
    <w:family w:val="auto"/>
    <w:pitch w:val="default"/>
    <w:sig w:usb0="00000000" w:usb1="00000000" w:usb2="00000000" w:usb3="00000000" w:csb0="0004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rebuchet MS">
    <w:panose1 w:val="020B0603020202020204"/>
    <w:charset w:val="EE"/>
    <w:family w:val="swiss"/>
    <w:pitch w:val="variable"/>
    <w:sig w:usb0="00000287" w:usb1="00000003"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Palatino Linotype">
    <w:panose1 w:val="02040502050505030304"/>
    <w:charset w:val="EE"/>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icrosoft Sans Serif">
    <w:panose1 w:val="020B0604020202020204"/>
    <w:charset w:val="EE"/>
    <w:family w:val="swiss"/>
    <w:pitch w:val="variable"/>
    <w:sig w:usb0="E1002AFF" w:usb1="C0000002" w:usb2="00000008"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1334799"/>
      <w:docPartObj>
        <w:docPartGallery w:val="Page Numbers (Bottom of Page)"/>
        <w:docPartUnique/>
      </w:docPartObj>
    </w:sdtPr>
    <w:sdtContent>
      <w:p w:rsidR="00DC0C5F" w:rsidRDefault="00021BC8">
        <w:pPr>
          <w:pStyle w:val="Footer"/>
          <w:jc w:val="right"/>
        </w:pPr>
        <w:fldSimple w:instr=" PAGE   \* MERGEFORMAT ">
          <w:r w:rsidR="00CB51B1">
            <w:rPr>
              <w:noProof/>
            </w:rPr>
            <w:t>131</w:t>
          </w:r>
        </w:fldSimple>
      </w:p>
    </w:sdtContent>
  </w:sdt>
  <w:p w:rsidR="00DC0C5F" w:rsidRDefault="00DC0C5F">
    <w:pPr>
      <w:pStyle w:val="Footer"/>
    </w:pPr>
  </w:p>
  <w:p w:rsidR="00DC0C5F" w:rsidRDefault="00DC0C5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2B79" w:rsidRDefault="00452B79" w:rsidP="00DC48A4">
      <w:r>
        <w:separator/>
      </w:r>
    </w:p>
  </w:footnote>
  <w:footnote w:type="continuationSeparator" w:id="0">
    <w:p w:rsidR="00452B79" w:rsidRDefault="00452B79" w:rsidP="00DC48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8F839B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8"/>
    <w:multiLevelType w:val="multilevel"/>
    <w:tmpl w:val="00000008"/>
    <w:name w:val="WW8Num8"/>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2">
    <w:nsid w:val="02831A18"/>
    <w:multiLevelType w:val="hybridMultilevel"/>
    <w:tmpl w:val="9DAE82C2"/>
    <w:lvl w:ilvl="0" w:tplc="04180019">
      <w:numFmt w:val="bullet"/>
      <w:lvlText w:val="-"/>
      <w:lvlJc w:val="left"/>
      <w:pPr>
        <w:ind w:left="720" w:hanging="360"/>
      </w:pPr>
      <w:rPr>
        <w:rFonts w:ascii="Times New Roman" w:eastAsia="Times New Roman" w:hAnsi="Times New Roman" w:cs="Times New Roman"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38E2106"/>
    <w:multiLevelType w:val="multilevel"/>
    <w:tmpl w:val="02A84C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244A51"/>
    <w:multiLevelType w:val="hybridMultilevel"/>
    <w:tmpl w:val="5F0CCEF2"/>
    <w:lvl w:ilvl="0" w:tplc="525E4B0C">
      <w:start w:val="18"/>
      <w:numFmt w:val="bullet"/>
      <w:lvlText w:val="-"/>
      <w:lvlJc w:val="left"/>
      <w:pPr>
        <w:tabs>
          <w:tab w:val="num" w:pos="1899"/>
        </w:tabs>
        <w:ind w:left="1899"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0B905037"/>
    <w:multiLevelType w:val="hybridMultilevel"/>
    <w:tmpl w:val="3F8401A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03F0064"/>
    <w:multiLevelType w:val="hybridMultilevel"/>
    <w:tmpl w:val="2B523A1E"/>
    <w:lvl w:ilvl="0" w:tplc="E6DE744C">
      <w:start w:val="1"/>
      <w:numFmt w:val="bullet"/>
      <w:lvlText w:val="-"/>
      <w:lvlJc w:val="left"/>
      <w:pPr>
        <w:ind w:left="786" w:hanging="360"/>
      </w:pPr>
      <w:rPr>
        <w:rFonts w:ascii="Times New Roman" w:hAnsi="Times New Roman" w:cs="Times New Roman" w:hint="default"/>
      </w:rPr>
    </w:lvl>
    <w:lvl w:ilvl="1" w:tplc="200823D8">
      <w:start w:val="1"/>
      <w:numFmt w:val="bullet"/>
      <w:lvlText w:val="o"/>
      <w:lvlJc w:val="left"/>
      <w:pPr>
        <w:ind w:left="1440" w:hanging="360"/>
      </w:pPr>
      <w:rPr>
        <w:rFonts w:ascii="Courier New" w:hAnsi="Courier New" w:cs="Courier New" w:hint="default"/>
      </w:rPr>
    </w:lvl>
    <w:lvl w:ilvl="2" w:tplc="8D64DBAC">
      <w:start w:val="1"/>
      <w:numFmt w:val="bullet"/>
      <w:lvlText w:val=""/>
      <w:lvlJc w:val="left"/>
      <w:pPr>
        <w:ind w:left="1495" w:hanging="360"/>
      </w:pPr>
      <w:rPr>
        <w:rFonts w:ascii="Wingdings" w:hAnsi="Wingdings" w:hint="default"/>
      </w:rPr>
    </w:lvl>
    <w:lvl w:ilvl="3" w:tplc="17C439EE" w:tentative="1">
      <w:start w:val="1"/>
      <w:numFmt w:val="bullet"/>
      <w:lvlText w:val=""/>
      <w:lvlJc w:val="left"/>
      <w:pPr>
        <w:ind w:left="2880" w:hanging="360"/>
      </w:pPr>
      <w:rPr>
        <w:rFonts w:ascii="Symbol" w:hAnsi="Symbol" w:hint="default"/>
      </w:rPr>
    </w:lvl>
    <w:lvl w:ilvl="4" w:tplc="B600CF16" w:tentative="1">
      <w:start w:val="1"/>
      <w:numFmt w:val="bullet"/>
      <w:lvlText w:val="o"/>
      <w:lvlJc w:val="left"/>
      <w:pPr>
        <w:ind w:left="3600" w:hanging="360"/>
      </w:pPr>
      <w:rPr>
        <w:rFonts w:ascii="Courier New" w:hAnsi="Courier New" w:cs="Courier New" w:hint="default"/>
      </w:rPr>
    </w:lvl>
    <w:lvl w:ilvl="5" w:tplc="32CE5EE6" w:tentative="1">
      <w:start w:val="1"/>
      <w:numFmt w:val="bullet"/>
      <w:lvlText w:val=""/>
      <w:lvlJc w:val="left"/>
      <w:pPr>
        <w:ind w:left="4320" w:hanging="360"/>
      </w:pPr>
      <w:rPr>
        <w:rFonts w:ascii="Wingdings" w:hAnsi="Wingdings" w:hint="default"/>
      </w:rPr>
    </w:lvl>
    <w:lvl w:ilvl="6" w:tplc="0F5C83A0" w:tentative="1">
      <w:start w:val="1"/>
      <w:numFmt w:val="bullet"/>
      <w:lvlText w:val=""/>
      <w:lvlJc w:val="left"/>
      <w:pPr>
        <w:ind w:left="5040" w:hanging="360"/>
      </w:pPr>
      <w:rPr>
        <w:rFonts w:ascii="Symbol" w:hAnsi="Symbol" w:hint="default"/>
      </w:rPr>
    </w:lvl>
    <w:lvl w:ilvl="7" w:tplc="045CAFA8" w:tentative="1">
      <w:start w:val="1"/>
      <w:numFmt w:val="bullet"/>
      <w:lvlText w:val="o"/>
      <w:lvlJc w:val="left"/>
      <w:pPr>
        <w:ind w:left="5760" w:hanging="360"/>
      </w:pPr>
      <w:rPr>
        <w:rFonts w:ascii="Courier New" w:hAnsi="Courier New" w:cs="Courier New" w:hint="default"/>
      </w:rPr>
    </w:lvl>
    <w:lvl w:ilvl="8" w:tplc="2D800138" w:tentative="1">
      <w:start w:val="1"/>
      <w:numFmt w:val="bullet"/>
      <w:lvlText w:val=""/>
      <w:lvlJc w:val="left"/>
      <w:pPr>
        <w:ind w:left="6480" w:hanging="360"/>
      </w:pPr>
      <w:rPr>
        <w:rFonts w:ascii="Wingdings" w:hAnsi="Wingdings" w:hint="default"/>
      </w:rPr>
    </w:lvl>
  </w:abstractNum>
  <w:abstractNum w:abstractNumId="7">
    <w:nsid w:val="12CB39D0"/>
    <w:multiLevelType w:val="hybridMultilevel"/>
    <w:tmpl w:val="CE20603E"/>
    <w:lvl w:ilvl="0" w:tplc="23E80598">
      <w:start w:val="16"/>
      <w:numFmt w:val="bullet"/>
      <w:lvlText w:val="-"/>
      <w:lvlJc w:val="left"/>
      <w:pPr>
        <w:ind w:left="720" w:hanging="360"/>
      </w:pPr>
      <w:rPr>
        <w:rFonts w:ascii="Arial" w:eastAsia="MS Mincho" w:hAnsi="Arial" w:cs="Arial" w:hint="default"/>
      </w:rPr>
    </w:lvl>
    <w:lvl w:ilvl="1" w:tplc="23E80598">
      <w:start w:val="16"/>
      <w:numFmt w:val="bullet"/>
      <w:lvlText w:val="-"/>
      <w:lvlJc w:val="left"/>
      <w:pPr>
        <w:ind w:left="1440" w:hanging="360"/>
      </w:pPr>
      <w:rPr>
        <w:rFonts w:ascii="Arial" w:eastAsia="MS Mincho" w:hAnsi="Arial" w:cs="Aria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147A4A71"/>
    <w:multiLevelType w:val="hybridMultilevel"/>
    <w:tmpl w:val="08CA997A"/>
    <w:lvl w:ilvl="0" w:tplc="5FD4C456">
      <w:start w:val="1"/>
      <w:numFmt w:val="bullet"/>
      <w:lvlText w:val=""/>
      <w:lvlJc w:val="left"/>
      <w:pPr>
        <w:tabs>
          <w:tab w:val="num" w:pos="720"/>
        </w:tabs>
        <w:ind w:left="720" w:hanging="360"/>
      </w:pPr>
      <w:rPr>
        <w:rFonts w:ascii="Wingdings" w:hAnsi="Wingdings" w:hint="default"/>
      </w:rPr>
    </w:lvl>
    <w:lvl w:ilvl="1" w:tplc="B0FE964A" w:tentative="1">
      <w:start w:val="1"/>
      <w:numFmt w:val="bullet"/>
      <w:lvlText w:val=""/>
      <w:lvlJc w:val="left"/>
      <w:pPr>
        <w:tabs>
          <w:tab w:val="num" w:pos="1440"/>
        </w:tabs>
        <w:ind w:left="1440" w:hanging="360"/>
      </w:pPr>
      <w:rPr>
        <w:rFonts w:ascii="Wingdings" w:hAnsi="Wingdings" w:hint="default"/>
      </w:rPr>
    </w:lvl>
    <w:lvl w:ilvl="2" w:tplc="FBB02C6E" w:tentative="1">
      <w:start w:val="1"/>
      <w:numFmt w:val="bullet"/>
      <w:lvlText w:val=""/>
      <w:lvlJc w:val="left"/>
      <w:pPr>
        <w:tabs>
          <w:tab w:val="num" w:pos="2160"/>
        </w:tabs>
        <w:ind w:left="2160" w:hanging="360"/>
      </w:pPr>
      <w:rPr>
        <w:rFonts w:ascii="Wingdings" w:hAnsi="Wingdings" w:hint="default"/>
      </w:rPr>
    </w:lvl>
    <w:lvl w:ilvl="3" w:tplc="CF3600E2" w:tentative="1">
      <w:start w:val="1"/>
      <w:numFmt w:val="bullet"/>
      <w:lvlText w:val=""/>
      <w:lvlJc w:val="left"/>
      <w:pPr>
        <w:tabs>
          <w:tab w:val="num" w:pos="2880"/>
        </w:tabs>
        <w:ind w:left="2880" w:hanging="360"/>
      </w:pPr>
      <w:rPr>
        <w:rFonts w:ascii="Wingdings" w:hAnsi="Wingdings" w:hint="default"/>
      </w:rPr>
    </w:lvl>
    <w:lvl w:ilvl="4" w:tplc="5400D4E8" w:tentative="1">
      <w:start w:val="1"/>
      <w:numFmt w:val="bullet"/>
      <w:lvlText w:val=""/>
      <w:lvlJc w:val="left"/>
      <w:pPr>
        <w:tabs>
          <w:tab w:val="num" w:pos="3600"/>
        </w:tabs>
        <w:ind w:left="3600" w:hanging="360"/>
      </w:pPr>
      <w:rPr>
        <w:rFonts w:ascii="Wingdings" w:hAnsi="Wingdings" w:hint="default"/>
      </w:rPr>
    </w:lvl>
    <w:lvl w:ilvl="5" w:tplc="8718055A" w:tentative="1">
      <w:start w:val="1"/>
      <w:numFmt w:val="bullet"/>
      <w:lvlText w:val=""/>
      <w:lvlJc w:val="left"/>
      <w:pPr>
        <w:tabs>
          <w:tab w:val="num" w:pos="4320"/>
        </w:tabs>
        <w:ind w:left="4320" w:hanging="360"/>
      </w:pPr>
      <w:rPr>
        <w:rFonts w:ascii="Wingdings" w:hAnsi="Wingdings" w:hint="default"/>
      </w:rPr>
    </w:lvl>
    <w:lvl w:ilvl="6" w:tplc="BDA61ABC" w:tentative="1">
      <w:start w:val="1"/>
      <w:numFmt w:val="bullet"/>
      <w:lvlText w:val=""/>
      <w:lvlJc w:val="left"/>
      <w:pPr>
        <w:tabs>
          <w:tab w:val="num" w:pos="5040"/>
        </w:tabs>
        <w:ind w:left="5040" w:hanging="360"/>
      </w:pPr>
      <w:rPr>
        <w:rFonts w:ascii="Wingdings" w:hAnsi="Wingdings" w:hint="default"/>
      </w:rPr>
    </w:lvl>
    <w:lvl w:ilvl="7" w:tplc="12C68238" w:tentative="1">
      <w:start w:val="1"/>
      <w:numFmt w:val="bullet"/>
      <w:lvlText w:val=""/>
      <w:lvlJc w:val="left"/>
      <w:pPr>
        <w:tabs>
          <w:tab w:val="num" w:pos="5760"/>
        </w:tabs>
        <w:ind w:left="5760" w:hanging="360"/>
      </w:pPr>
      <w:rPr>
        <w:rFonts w:ascii="Wingdings" w:hAnsi="Wingdings" w:hint="default"/>
      </w:rPr>
    </w:lvl>
    <w:lvl w:ilvl="8" w:tplc="3F3C6DE0" w:tentative="1">
      <w:start w:val="1"/>
      <w:numFmt w:val="bullet"/>
      <w:lvlText w:val=""/>
      <w:lvlJc w:val="left"/>
      <w:pPr>
        <w:tabs>
          <w:tab w:val="num" w:pos="6480"/>
        </w:tabs>
        <w:ind w:left="6480" w:hanging="360"/>
      </w:pPr>
      <w:rPr>
        <w:rFonts w:ascii="Wingdings" w:hAnsi="Wingdings" w:hint="default"/>
      </w:rPr>
    </w:lvl>
  </w:abstractNum>
  <w:abstractNum w:abstractNumId="9">
    <w:nsid w:val="168239CF"/>
    <w:multiLevelType w:val="hybridMultilevel"/>
    <w:tmpl w:val="DFBA696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1C6F78C1"/>
    <w:multiLevelType w:val="hybridMultilevel"/>
    <w:tmpl w:val="9AD2033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1CC72CD2"/>
    <w:multiLevelType w:val="hybridMultilevel"/>
    <w:tmpl w:val="192AC7CC"/>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1CFE7CC3"/>
    <w:multiLevelType w:val="hybridMultilevel"/>
    <w:tmpl w:val="CC6258E4"/>
    <w:lvl w:ilvl="0" w:tplc="B4FEE870">
      <w:start w:val="1"/>
      <w:numFmt w:val="lowerLetter"/>
      <w:lvlText w:val="%1)"/>
      <w:lvlJc w:val="left"/>
      <w:pPr>
        <w:tabs>
          <w:tab w:val="num" w:pos="540"/>
        </w:tabs>
        <w:ind w:left="540" w:hanging="360"/>
      </w:pPr>
      <w:rPr>
        <w:rFonts w:ascii="Times New Roman" w:eastAsia="Times New Roman" w:hAnsi="Times New Roman" w:cs="Times New Roman" w:hint="default"/>
        <w:b/>
        <w:sz w:val="24"/>
        <w:szCs w:val="24"/>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3">
    <w:nsid w:val="1D2D08C7"/>
    <w:multiLevelType w:val="hybridMultilevel"/>
    <w:tmpl w:val="1374994C"/>
    <w:lvl w:ilvl="0" w:tplc="9B1855D8">
      <w:numFmt w:val="bullet"/>
      <w:lvlText w:val="-"/>
      <w:lvlJc w:val="left"/>
      <w:pPr>
        <w:ind w:left="81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40CD9"/>
    <w:multiLevelType w:val="hybridMultilevel"/>
    <w:tmpl w:val="281ADC44"/>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24E929A8"/>
    <w:multiLevelType w:val="hybridMultilevel"/>
    <w:tmpl w:val="25CA3392"/>
    <w:lvl w:ilvl="0" w:tplc="18586BB4">
      <w:start w:val="1"/>
      <w:numFmt w:val="lowerLetter"/>
      <w:lvlText w:val="%1)"/>
      <w:lvlJc w:val="left"/>
      <w:pPr>
        <w:ind w:left="720" w:hanging="360"/>
      </w:pPr>
      <w:rPr>
        <w:rFonts w:hint="default"/>
      </w:rPr>
    </w:lvl>
    <w:lvl w:ilvl="1" w:tplc="04180003" w:tentative="1">
      <w:start w:val="1"/>
      <w:numFmt w:val="lowerLetter"/>
      <w:lvlText w:val="%2."/>
      <w:lvlJc w:val="left"/>
      <w:pPr>
        <w:ind w:left="1440" w:hanging="360"/>
      </w:pPr>
    </w:lvl>
    <w:lvl w:ilvl="2" w:tplc="04180005" w:tentative="1">
      <w:start w:val="1"/>
      <w:numFmt w:val="lowerRoman"/>
      <w:lvlText w:val="%3."/>
      <w:lvlJc w:val="right"/>
      <w:pPr>
        <w:ind w:left="2160" w:hanging="180"/>
      </w:pPr>
    </w:lvl>
    <w:lvl w:ilvl="3" w:tplc="04180001" w:tentative="1">
      <w:start w:val="1"/>
      <w:numFmt w:val="decimal"/>
      <w:lvlText w:val="%4."/>
      <w:lvlJc w:val="left"/>
      <w:pPr>
        <w:ind w:left="2880" w:hanging="360"/>
      </w:pPr>
    </w:lvl>
    <w:lvl w:ilvl="4" w:tplc="04180003" w:tentative="1">
      <w:start w:val="1"/>
      <w:numFmt w:val="lowerLetter"/>
      <w:lvlText w:val="%5."/>
      <w:lvlJc w:val="left"/>
      <w:pPr>
        <w:ind w:left="3600" w:hanging="360"/>
      </w:pPr>
    </w:lvl>
    <w:lvl w:ilvl="5" w:tplc="04180005" w:tentative="1">
      <w:start w:val="1"/>
      <w:numFmt w:val="lowerRoman"/>
      <w:lvlText w:val="%6."/>
      <w:lvlJc w:val="right"/>
      <w:pPr>
        <w:ind w:left="4320" w:hanging="180"/>
      </w:pPr>
    </w:lvl>
    <w:lvl w:ilvl="6" w:tplc="04180001" w:tentative="1">
      <w:start w:val="1"/>
      <w:numFmt w:val="decimal"/>
      <w:lvlText w:val="%7."/>
      <w:lvlJc w:val="left"/>
      <w:pPr>
        <w:ind w:left="5040" w:hanging="360"/>
      </w:pPr>
    </w:lvl>
    <w:lvl w:ilvl="7" w:tplc="04180003" w:tentative="1">
      <w:start w:val="1"/>
      <w:numFmt w:val="lowerLetter"/>
      <w:lvlText w:val="%8."/>
      <w:lvlJc w:val="left"/>
      <w:pPr>
        <w:ind w:left="5760" w:hanging="360"/>
      </w:pPr>
    </w:lvl>
    <w:lvl w:ilvl="8" w:tplc="04180005" w:tentative="1">
      <w:start w:val="1"/>
      <w:numFmt w:val="lowerRoman"/>
      <w:lvlText w:val="%9."/>
      <w:lvlJc w:val="right"/>
      <w:pPr>
        <w:ind w:left="6480" w:hanging="180"/>
      </w:pPr>
    </w:lvl>
  </w:abstractNum>
  <w:abstractNum w:abstractNumId="16">
    <w:nsid w:val="27EE036F"/>
    <w:multiLevelType w:val="hybridMultilevel"/>
    <w:tmpl w:val="1E48327A"/>
    <w:lvl w:ilvl="0" w:tplc="0409000B">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7">
    <w:nsid w:val="2A2922FF"/>
    <w:multiLevelType w:val="hybridMultilevel"/>
    <w:tmpl w:val="7F9AD446"/>
    <w:lvl w:ilvl="0" w:tplc="8166840E">
      <w:start w:val="3"/>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8">
    <w:nsid w:val="2F3D0053"/>
    <w:multiLevelType w:val="hybridMultilevel"/>
    <w:tmpl w:val="66BCAF8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351530FE"/>
    <w:multiLevelType w:val="hybridMultilevel"/>
    <w:tmpl w:val="8AF68958"/>
    <w:lvl w:ilvl="0" w:tplc="1196EEA8">
      <w:start w:val="1"/>
      <w:numFmt w:val="lowerLetter"/>
      <w:lvlText w:val="%1)"/>
      <w:lvlJc w:val="left"/>
      <w:pPr>
        <w:ind w:left="720" w:hanging="360"/>
      </w:pPr>
    </w:lvl>
    <w:lvl w:ilvl="1" w:tplc="9AAE96B4">
      <w:numFmt w:val="bullet"/>
      <w:lvlText w:val="•"/>
      <w:lvlJc w:val="left"/>
      <w:pPr>
        <w:ind w:left="1785" w:hanging="705"/>
      </w:pPr>
      <w:rPr>
        <w:rFonts w:ascii="Times New Roman" w:eastAsia="Calibri" w:hAnsi="Times New Roman" w:cs="Times New Roman" w:hint="default"/>
      </w:rPr>
    </w:lvl>
    <w:lvl w:ilvl="2" w:tplc="8904D88C"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nsid w:val="35BB75E2"/>
    <w:multiLevelType w:val="hybridMultilevel"/>
    <w:tmpl w:val="EC88CF8A"/>
    <w:lvl w:ilvl="0" w:tplc="04180001">
      <w:start w:val="1"/>
      <w:numFmt w:val="bullet"/>
      <w:lvlText w:val=""/>
      <w:lvlJc w:val="left"/>
      <w:pPr>
        <w:ind w:left="720" w:hanging="360"/>
      </w:pPr>
      <w:rPr>
        <w:rFonts w:ascii="Symbol" w:hAnsi="Symbol" w:hint="default"/>
        <w:sz w:val="24"/>
        <w:szCs w:val="28"/>
      </w:rPr>
    </w:lvl>
    <w:lvl w:ilvl="1" w:tplc="04180019" w:tentative="1">
      <w:start w:val="1"/>
      <w:numFmt w:val="bullet"/>
      <w:lvlText w:val="o"/>
      <w:lvlJc w:val="left"/>
      <w:pPr>
        <w:ind w:left="1440" w:hanging="360"/>
      </w:pPr>
      <w:rPr>
        <w:rFonts w:ascii="Courier New" w:hAnsi="Courier New" w:cs="Courier New" w:hint="default"/>
      </w:rPr>
    </w:lvl>
    <w:lvl w:ilvl="2" w:tplc="0418001B" w:tentative="1">
      <w:start w:val="1"/>
      <w:numFmt w:val="bullet"/>
      <w:lvlText w:val=""/>
      <w:lvlJc w:val="left"/>
      <w:pPr>
        <w:ind w:left="2160" w:hanging="360"/>
      </w:pPr>
      <w:rPr>
        <w:rFonts w:ascii="Wingdings" w:hAnsi="Wingdings" w:hint="default"/>
      </w:rPr>
    </w:lvl>
    <w:lvl w:ilvl="3" w:tplc="0418000F" w:tentative="1">
      <w:start w:val="1"/>
      <w:numFmt w:val="bullet"/>
      <w:lvlText w:val=""/>
      <w:lvlJc w:val="left"/>
      <w:pPr>
        <w:ind w:left="2880" w:hanging="360"/>
      </w:pPr>
      <w:rPr>
        <w:rFonts w:ascii="Symbol" w:hAnsi="Symbol" w:hint="default"/>
      </w:rPr>
    </w:lvl>
    <w:lvl w:ilvl="4" w:tplc="04180019" w:tentative="1">
      <w:start w:val="1"/>
      <w:numFmt w:val="bullet"/>
      <w:lvlText w:val="o"/>
      <w:lvlJc w:val="left"/>
      <w:pPr>
        <w:ind w:left="3600" w:hanging="360"/>
      </w:pPr>
      <w:rPr>
        <w:rFonts w:ascii="Courier New" w:hAnsi="Courier New" w:cs="Courier New" w:hint="default"/>
      </w:rPr>
    </w:lvl>
    <w:lvl w:ilvl="5" w:tplc="0418001B" w:tentative="1">
      <w:start w:val="1"/>
      <w:numFmt w:val="bullet"/>
      <w:lvlText w:val=""/>
      <w:lvlJc w:val="left"/>
      <w:pPr>
        <w:ind w:left="4320" w:hanging="360"/>
      </w:pPr>
      <w:rPr>
        <w:rFonts w:ascii="Wingdings" w:hAnsi="Wingdings" w:hint="default"/>
      </w:rPr>
    </w:lvl>
    <w:lvl w:ilvl="6" w:tplc="0418000F" w:tentative="1">
      <w:start w:val="1"/>
      <w:numFmt w:val="bullet"/>
      <w:lvlText w:val=""/>
      <w:lvlJc w:val="left"/>
      <w:pPr>
        <w:ind w:left="5040" w:hanging="360"/>
      </w:pPr>
      <w:rPr>
        <w:rFonts w:ascii="Symbol" w:hAnsi="Symbol" w:hint="default"/>
      </w:rPr>
    </w:lvl>
    <w:lvl w:ilvl="7" w:tplc="04180019" w:tentative="1">
      <w:start w:val="1"/>
      <w:numFmt w:val="bullet"/>
      <w:lvlText w:val="o"/>
      <w:lvlJc w:val="left"/>
      <w:pPr>
        <w:ind w:left="5760" w:hanging="360"/>
      </w:pPr>
      <w:rPr>
        <w:rFonts w:ascii="Courier New" w:hAnsi="Courier New" w:cs="Courier New" w:hint="default"/>
      </w:rPr>
    </w:lvl>
    <w:lvl w:ilvl="8" w:tplc="0418001B" w:tentative="1">
      <w:start w:val="1"/>
      <w:numFmt w:val="bullet"/>
      <w:lvlText w:val=""/>
      <w:lvlJc w:val="left"/>
      <w:pPr>
        <w:ind w:left="6480" w:hanging="360"/>
      </w:pPr>
      <w:rPr>
        <w:rFonts w:ascii="Wingdings" w:hAnsi="Wingdings" w:hint="default"/>
      </w:rPr>
    </w:lvl>
  </w:abstractNum>
  <w:abstractNum w:abstractNumId="21">
    <w:nsid w:val="36CF5922"/>
    <w:multiLevelType w:val="hybridMultilevel"/>
    <w:tmpl w:val="8828F32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3A5E5933"/>
    <w:multiLevelType w:val="multilevel"/>
    <w:tmpl w:val="F334A8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F8E6361"/>
    <w:multiLevelType w:val="hybridMultilevel"/>
    <w:tmpl w:val="C6BE005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nsid w:val="43A60110"/>
    <w:multiLevelType w:val="hybridMultilevel"/>
    <w:tmpl w:val="ED521786"/>
    <w:lvl w:ilvl="0" w:tplc="BBC04270">
      <w:start w:val="1"/>
      <w:numFmt w:val="decimal"/>
      <w:lvlText w:val="%1."/>
      <w:lvlJc w:val="left"/>
      <w:pPr>
        <w:ind w:left="162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61C7306"/>
    <w:multiLevelType w:val="hybridMultilevel"/>
    <w:tmpl w:val="FA6EFFE0"/>
    <w:lvl w:ilvl="0" w:tplc="81DC7AAC">
      <w:start w:val="18"/>
      <w:numFmt w:val="bullet"/>
      <w:lvlText w:val="-"/>
      <w:lvlJc w:val="left"/>
      <w:pPr>
        <w:tabs>
          <w:tab w:val="num" w:pos="1899"/>
        </w:tabs>
        <w:ind w:left="1899"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46F43240"/>
    <w:multiLevelType w:val="hybridMultilevel"/>
    <w:tmpl w:val="01F688D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476F4199"/>
    <w:multiLevelType w:val="multilevel"/>
    <w:tmpl w:val="48D4743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A515A45"/>
    <w:multiLevelType w:val="hybridMultilevel"/>
    <w:tmpl w:val="92FAF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571AE4"/>
    <w:multiLevelType w:val="hybridMultilevel"/>
    <w:tmpl w:val="AA54EF5A"/>
    <w:lvl w:ilvl="0" w:tplc="0418000F">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nsid w:val="4C004FF5"/>
    <w:multiLevelType w:val="hybridMultilevel"/>
    <w:tmpl w:val="57664494"/>
    <w:lvl w:ilvl="0" w:tplc="FDC03FE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8921B6"/>
    <w:multiLevelType w:val="hybridMultilevel"/>
    <w:tmpl w:val="E2321E38"/>
    <w:lvl w:ilvl="0" w:tplc="0418000F">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53A95497"/>
    <w:multiLevelType w:val="hybridMultilevel"/>
    <w:tmpl w:val="FBC662E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4AA4F16"/>
    <w:multiLevelType w:val="hybridMultilevel"/>
    <w:tmpl w:val="AC64FAA0"/>
    <w:lvl w:ilvl="0" w:tplc="04090001">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4">
    <w:nsid w:val="54D41875"/>
    <w:multiLevelType w:val="hybridMultilevel"/>
    <w:tmpl w:val="E66C7FE8"/>
    <w:lvl w:ilvl="0" w:tplc="79D8F176">
      <w:numFmt w:val="bullet"/>
      <w:lvlText w:val="-"/>
      <w:lvlJc w:val="left"/>
      <w:pPr>
        <w:ind w:left="1004" w:hanging="360"/>
      </w:pPr>
      <w:rPr>
        <w:rFonts w:ascii="Arial" w:eastAsia="Times New Roman"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nsid w:val="57B20249"/>
    <w:multiLevelType w:val="hybridMultilevel"/>
    <w:tmpl w:val="24E26C2C"/>
    <w:lvl w:ilvl="0" w:tplc="460EF5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A303182"/>
    <w:multiLevelType w:val="hybridMultilevel"/>
    <w:tmpl w:val="F7BC9C7C"/>
    <w:lvl w:ilvl="0" w:tplc="04180017">
      <w:start w:val="1"/>
      <w:numFmt w:val="bullet"/>
      <w:lvlText w:val=""/>
      <w:lvlJc w:val="left"/>
      <w:pPr>
        <w:ind w:left="720" w:hanging="360"/>
      </w:pPr>
      <w:rPr>
        <w:rFonts w:ascii="Wingdings" w:hAnsi="Wingdings" w:hint="default"/>
      </w:rPr>
    </w:lvl>
    <w:lvl w:ilvl="1" w:tplc="04180019" w:tentative="1">
      <w:start w:val="1"/>
      <w:numFmt w:val="bullet"/>
      <w:lvlText w:val="o"/>
      <w:lvlJc w:val="left"/>
      <w:pPr>
        <w:ind w:left="1440" w:hanging="360"/>
      </w:pPr>
      <w:rPr>
        <w:rFonts w:ascii="Courier New" w:hAnsi="Courier New" w:cs="Courier New" w:hint="default"/>
      </w:rPr>
    </w:lvl>
    <w:lvl w:ilvl="2" w:tplc="0418001B" w:tentative="1">
      <w:start w:val="1"/>
      <w:numFmt w:val="bullet"/>
      <w:lvlText w:val=""/>
      <w:lvlJc w:val="left"/>
      <w:pPr>
        <w:ind w:left="2160" w:hanging="360"/>
      </w:pPr>
      <w:rPr>
        <w:rFonts w:ascii="Wingdings" w:hAnsi="Wingdings" w:hint="default"/>
      </w:rPr>
    </w:lvl>
    <w:lvl w:ilvl="3" w:tplc="0418000F" w:tentative="1">
      <w:start w:val="1"/>
      <w:numFmt w:val="bullet"/>
      <w:lvlText w:val=""/>
      <w:lvlJc w:val="left"/>
      <w:pPr>
        <w:ind w:left="2880" w:hanging="360"/>
      </w:pPr>
      <w:rPr>
        <w:rFonts w:ascii="Symbol" w:hAnsi="Symbol" w:hint="default"/>
      </w:rPr>
    </w:lvl>
    <w:lvl w:ilvl="4" w:tplc="04180019" w:tentative="1">
      <w:start w:val="1"/>
      <w:numFmt w:val="bullet"/>
      <w:lvlText w:val="o"/>
      <w:lvlJc w:val="left"/>
      <w:pPr>
        <w:ind w:left="3600" w:hanging="360"/>
      </w:pPr>
      <w:rPr>
        <w:rFonts w:ascii="Courier New" w:hAnsi="Courier New" w:cs="Courier New" w:hint="default"/>
      </w:rPr>
    </w:lvl>
    <w:lvl w:ilvl="5" w:tplc="0418001B" w:tentative="1">
      <w:start w:val="1"/>
      <w:numFmt w:val="bullet"/>
      <w:lvlText w:val=""/>
      <w:lvlJc w:val="left"/>
      <w:pPr>
        <w:ind w:left="4320" w:hanging="360"/>
      </w:pPr>
      <w:rPr>
        <w:rFonts w:ascii="Wingdings" w:hAnsi="Wingdings" w:hint="default"/>
      </w:rPr>
    </w:lvl>
    <w:lvl w:ilvl="6" w:tplc="0418000F" w:tentative="1">
      <w:start w:val="1"/>
      <w:numFmt w:val="bullet"/>
      <w:lvlText w:val=""/>
      <w:lvlJc w:val="left"/>
      <w:pPr>
        <w:ind w:left="5040" w:hanging="360"/>
      </w:pPr>
      <w:rPr>
        <w:rFonts w:ascii="Symbol" w:hAnsi="Symbol" w:hint="default"/>
      </w:rPr>
    </w:lvl>
    <w:lvl w:ilvl="7" w:tplc="04180019" w:tentative="1">
      <w:start w:val="1"/>
      <w:numFmt w:val="bullet"/>
      <w:lvlText w:val="o"/>
      <w:lvlJc w:val="left"/>
      <w:pPr>
        <w:ind w:left="5760" w:hanging="360"/>
      </w:pPr>
      <w:rPr>
        <w:rFonts w:ascii="Courier New" w:hAnsi="Courier New" w:cs="Courier New" w:hint="default"/>
      </w:rPr>
    </w:lvl>
    <w:lvl w:ilvl="8" w:tplc="0418001B" w:tentative="1">
      <w:start w:val="1"/>
      <w:numFmt w:val="bullet"/>
      <w:lvlText w:val=""/>
      <w:lvlJc w:val="left"/>
      <w:pPr>
        <w:ind w:left="6480" w:hanging="360"/>
      </w:pPr>
      <w:rPr>
        <w:rFonts w:ascii="Wingdings" w:hAnsi="Wingdings" w:hint="default"/>
      </w:rPr>
    </w:lvl>
  </w:abstractNum>
  <w:abstractNum w:abstractNumId="37">
    <w:nsid w:val="5C72459D"/>
    <w:multiLevelType w:val="hybridMultilevel"/>
    <w:tmpl w:val="A29003E6"/>
    <w:lvl w:ilvl="0" w:tplc="A73087F2">
      <w:start w:val="1"/>
      <w:numFmt w:val="bullet"/>
      <w:lvlText w:val=""/>
      <w:lvlJc w:val="left"/>
      <w:pPr>
        <w:ind w:left="1211"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nsid w:val="5DED1543"/>
    <w:multiLevelType w:val="hybridMultilevel"/>
    <w:tmpl w:val="B51C8DD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06B2577"/>
    <w:multiLevelType w:val="multilevel"/>
    <w:tmpl w:val="85D22F3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21F1AB6"/>
    <w:multiLevelType w:val="hybridMultilevel"/>
    <w:tmpl w:val="2880FDF6"/>
    <w:lvl w:ilvl="0" w:tplc="0409000B">
      <w:start w:val="1"/>
      <w:numFmt w:val="bullet"/>
      <w:lvlText w:val=""/>
      <w:lvlJc w:val="left"/>
      <w:pPr>
        <w:ind w:left="800" w:hanging="360"/>
      </w:pPr>
      <w:rPr>
        <w:rFonts w:ascii="Wingdings" w:hAnsi="Wingdings"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41">
    <w:nsid w:val="644571DD"/>
    <w:multiLevelType w:val="hybridMultilevel"/>
    <w:tmpl w:val="5016D8C8"/>
    <w:lvl w:ilvl="0" w:tplc="FFFFFFFF">
      <w:start w:val="1"/>
      <w:numFmt w:val="bullet"/>
      <w:lvlText w:val="-"/>
      <w:lvlJc w:val="left"/>
      <w:pPr>
        <w:tabs>
          <w:tab w:val="num" w:pos="720"/>
        </w:tabs>
        <w:ind w:left="720" w:hanging="360"/>
      </w:pPr>
      <w:rPr>
        <w:rFonts w:ascii="Arial" w:eastAsia="Times New Roman" w:hAnsi="Aria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64C05310"/>
    <w:multiLevelType w:val="hybridMultilevel"/>
    <w:tmpl w:val="9BA464F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nsid w:val="663C6031"/>
    <w:multiLevelType w:val="hybridMultilevel"/>
    <w:tmpl w:val="0B32D732"/>
    <w:lvl w:ilvl="0" w:tplc="1196EEA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79F00A1"/>
    <w:multiLevelType w:val="hybridMultilevel"/>
    <w:tmpl w:val="8C227280"/>
    <w:lvl w:ilvl="0" w:tplc="0409000D">
      <w:numFmt w:val="bullet"/>
      <w:lvlText w:val="-"/>
      <w:lvlJc w:val="left"/>
      <w:pPr>
        <w:tabs>
          <w:tab w:val="num" w:pos="1571"/>
        </w:tabs>
        <w:ind w:left="1571" w:hanging="360"/>
      </w:pPr>
      <w:rPr>
        <w:rFonts w:ascii="Times New Roman" w:eastAsia="Times New Roman" w:hAnsi="Times New Roman" w:cs="Times New Roman" w:hint="default"/>
        <w:b/>
        <w:color w:val="auto"/>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45">
    <w:nsid w:val="67EC0635"/>
    <w:multiLevelType w:val="hybridMultilevel"/>
    <w:tmpl w:val="99886AC2"/>
    <w:lvl w:ilvl="0" w:tplc="FDC03FE8">
      <w:start w:val="1"/>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nsid w:val="6826566C"/>
    <w:multiLevelType w:val="hybridMultilevel"/>
    <w:tmpl w:val="6842035E"/>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7">
    <w:nsid w:val="68C17CE4"/>
    <w:multiLevelType w:val="multilevel"/>
    <w:tmpl w:val="057488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6BD35527"/>
    <w:multiLevelType w:val="hybridMultilevel"/>
    <w:tmpl w:val="64ACA008"/>
    <w:lvl w:ilvl="0" w:tplc="E172622A">
      <w:start w:val="1"/>
      <w:numFmt w:val="bullet"/>
      <w:lvlText w:val=""/>
      <w:lvlJc w:val="left"/>
      <w:pPr>
        <w:ind w:left="415" w:hanging="284"/>
      </w:pPr>
      <w:rPr>
        <w:rFonts w:ascii="Symbol" w:eastAsia="Symbol" w:hAnsi="Symbol" w:hint="default"/>
        <w:color w:val="252525"/>
        <w:sz w:val="22"/>
        <w:szCs w:val="22"/>
      </w:rPr>
    </w:lvl>
    <w:lvl w:ilvl="1" w:tplc="47BEC284">
      <w:start w:val="1"/>
      <w:numFmt w:val="bullet"/>
      <w:lvlText w:val=""/>
      <w:lvlJc w:val="left"/>
      <w:pPr>
        <w:ind w:left="1415" w:hanging="284"/>
      </w:pPr>
      <w:rPr>
        <w:rFonts w:ascii="Symbol" w:eastAsia="Symbol" w:hAnsi="Symbol" w:hint="default"/>
        <w:color w:val="252525"/>
        <w:sz w:val="22"/>
        <w:szCs w:val="22"/>
      </w:rPr>
    </w:lvl>
    <w:lvl w:ilvl="2" w:tplc="F32C8026">
      <w:start w:val="1"/>
      <w:numFmt w:val="bullet"/>
      <w:lvlText w:val="•"/>
      <w:lvlJc w:val="left"/>
      <w:pPr>
        <w:ind w:left="1415" w:hanging="284"/>
      </w:pPr>
      <w:rPr>
        <w:rFonts w:hint="default"/>
      </w:rPr>
    </w:lvl>
    <w:lvl w:ilvl="3" w:tplc="B42C90A0">
      <w:start w:val="1"/>
      <w:numFmt w:val="bullet"/>
      <w:lvlText w:val="•"/>
      <w:lvlJc w:val="left"/>
      <w:pPr>
        <w:ind w:left="1415" w:hanging="284"/>
      </w:pPr>
      <w:rPr>
        <w:rFonts w:hint="default"/>
      </w:rPr>
    </w:lvl>
    <w:lvl w:ilvl="4" w:tplc="BF1E68D6">
      <w:start w:val="1"/>
      <w:numFmt w:val="bullet"/>
      <w:lvlText w:val="•"/>
      <w:lvlJc w:val="left"/>
      <w:pPr>
        <w:ind w:left="2445" w:hanging="284"/>
      </w:pPr>
      <w:rPr>
        <w:rFonts w:hint="default"/>
      </w:rPr>
    </w:lvl>
    <w:lvl w:ilvl="5" w:tplc="4BD6E7DC">
      <w:start w:val="1"/>
      <w:numFmt w:val="bullet"/>
      <w:lvlText w:val="•"/>
      <w:lvlJc w:val="left"/>
      <w:pPr>
        <w:ind w:left="3907" w:hanging="284"/>
      </w:pPr>
      <w:rPr>
        <w:rFonts w:hint="default"/>
      </w:rPr>
    </w:lvl>
    <w:lvl w:ilvl="6" w:tplc="8D0A4C2E">
      <w:start w:val="1"/>
      <w:numFmt w:val="bullet"/>
      <w:lvlText w:val="•"/>
      <w:lvlJc w:val="left"/>
      <w:pPr>
        <w:ind w:left="4562" w:hanging="284"/>
      </w:pPr>
      <w:rPr>
        <w:rFonts w:hint="default"/>
      </w:rPr>
    </w:lvl>
    <w:lvl w:ilvl="7" w:tplc="153843D2">
      <w:start w:val="1"/>
      <w:numFmt w:val="bullet"/>
      <w:lvlText w:val="•"/>
      <w:lvlJc w:val="left"/>
      <w:pPr>
        <w:ind w:left="3421" w:hanging="284"/>
      </w:pPr>
      <w:rPr>
        <w:rFonts w:hint="default"/>
      </w:rPr>
    </w:lvl>
    <w:lvl w:ilvl="8" w:tplc="21EE138E">
      <w:start w:val="1"/>
      <w:numFmt w:val="bullet"/>
      <w:lvlText w:val="•"/>
      <w:lvlJc w:val="left"/>
      <w:pPr>
        <w:ind w:left="2280" w:hanging="284"/>
      </w:pPr>
      <w:rPr>
        <w:rFonts w:hint="default"/>
      </w:rPr>
    </w:lvl>
  </w:abstractNum>
  <w:abstractNum w:abstractNumId="49">
    <w:nsid w:val="6FEC6FDD"/>
    <w:multiLevelType w:val="hybridMultilevel"/>
    <w:tmpl w:val="38F0C184"/>
    <w:lvl w:ilvl="0" w:tplc="DCFC4C02">
      <w:start w:val="1"/>
      <w:numFmt w:val="lowerLetter"/>
      <w:lvlText w:val="%1."/>
      <w:lvlJc w:val="left"/>
      <w:pPr>
        <w:ind w:left="900" w:hanging="360"/>
      </w:pPr>
      <w:rPr>
        <w:rFonts w:hint="default"/>
      </w:rPr>
    </w:lvl>
    <w:lvl w:ilvl="1" w:tplc="04180019" w:tentative="1">
      <w:start w:val="1"/>
      <w:numFmt w:val="lowerLetter"/>
      <w:lvlText w:val="%2."/>
      <w:lvlJc w:val="left"/>
      <w:pPr>
        <w:ind w:left="1620" w:hanging="360"/>
      </w:pPr>
    </w:lvl>
    <w:lvl w:ilvl="2" w:tplc="0418001B" w:tentative="1">
      <w:start w:val="1"/>
      <w:numFmt w:val="lowerRoman"/>
      <w:lvlText w:val="%3."/>
      <w:lvlJc w:val="right"/>
      <w:pPr>
        <w:ind w:left="2340" w:hanging="180"/>
      </w:pPr>
    </w:lvl>
    <w:lvl w:ilvl="3" w:tplc="0418000F" w:tentative="1">
      <w:start w:val="1"/>
      <w:numFmt w:val="decimal"/>
      <w:lvlText w:val="%4."/>
      <w:lvlJc w:val="left"/>
      <w:pPr>
        <w:ind w:left="3060" w:hanging="360"/>
      </w:pPr>
    </w:lvl>
    <w:lvl w:ilvl="4" w:tplc="04180019" w:tentative="1">
      <w:start w:val="1"/>
      <w:numFmt w:val="lowerLetter"/>
      <w:lvlText w:val="%5."/>
      <w:lvlJc w:val="left"/>
      <w:pPr>
        <w:ind w:left="3780" w:hanging="360"/>
      </w:pPr>
    </w:lvl>
    <w:lvl w:ilvl="5" w:tplc="0418001B" w:tentative="1">
      <w:start w:val="1"/>
      <w:numFmt w:val="lowerRoman"/>
      <w:lvlText w:val="%6."/>
      <w:lvlJc w:val="right"/>
      <w:pPr>
        <w:ind w:left="4500" w:hanging="180"/>
      </w:pPr>
    </w:lvl>
    <w:lvl w:ilvl="6" w:tplc="0418000F" w:tentative="1">
      <w:start w:val="1"/>
      <w:numFmt w:val="decimal"/>
      <w:lvlText w:val="%7."/>
      <w:lvlJc w:val="left"/>
      <w:pPr>
        <w:ind w:left="5220" w:hanging="360"/>
      </w:pPr>
    </w:lvl>
    <w:lvl w:ilvl="7" w:tplc="04180019" w:tentative="1">
      <w:start w:val="1"/>
      <w:numFmt w:val="lowerLetter"/>
      <w:lvlText w:val="%8."/>
      <w:lvlJc w:val="left"/>
      <w:pPr>
        <w:ind w:left="5940" w:hanging="360"/>
      </w:pPr>
    </w:lvl>
    <w:lvl w:ilvl="8" w:tplc="0418001B" w:tentative="1">
      <w:start w:val="1"/>
      <w:numFmt w:val="lowerRoman"/>
      <w:lvlText w:val="%9."/>
      <w:lvlJc w:val="right"/>
      <w:pPr>
        <w:ind w:left="6660" w:hanging="180"/>
      </w:pPr>
    </w:lvl>
  </w:abstractNum>
  <w:abstractNum w:abstractNumId="50">
    <w:nsid w:val="70E30632"/>
    <w:multiLevelType w:val="hybridMultilevel"/>
    <w:tmpl w:val="54EAF8F2"/>
    <w:lvl w:ilvl="0" w:tplc="04090007">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1">
    <w:nsid w:val="7200332F"/>
    <w:multiLevelType w:val="hybridMultilevel"/>
    <w:tmpl w:val="E8AC9288"/>
    <w:lvl w:ilvl="0" w:tplc="0418000B">
      <w:start w:val="1"/>
      <w:numFmt w:val="upperLetter"/>
      <w:lvlText w:val="%1."/>
      <w:lvlJc w:val="left"/>
      <w:pPr>
        <w:ind w:left="720" w:hanging="360"/>
      </w:pPr>
      <w:rPr>
        <w:rFonts w:hint="default"/>
        <w:b/>
      </w:rPr>
    </w:lvl>
    <w:lvl w:ilvl="1" w:tplc="04180003" w:tentative="1">
      <w:start w:val="1"/>
      <w:numFmt w:val="lowerLetter"/>
      <w:lvlText w:val="%2."/>
      <w:lvlJc w:val="left"/>
      <w:pPr>
        <w:ind w:left="1440" w:hanging="360"/>
      </w:pPr>
    </w:lvl>
    <w:lvl w:ilvl="2" w:tplc="04180005" w:tentative="1">
      <w:start w:val="1"/>
      <w:numFmt w:val="lowerRoman"/>
      <w:lvlText w:val="%3."/>
      <w:lvlJc w:val="right"/>
      <w:pPr>
        <w:ind w:left="2160" w:hanging="180"/>
      </w:pPr>
    </w:lvl>
    <w:lvl w:ilvl="3" w:tplc="04180001" w:tentative="1">
      <w:start w:val="1"/>
      <w:numFmt w:val="decimal"/>
      <w:lvlText w:val="%4."/>
      <w:lvlJc w:val="left"/>
      <w:pPr>
        <w:ind w:left="2880" w:hanging="360"/>
      </w:pPr>
    </w:lvl>
    <w:lvl w:ilvl="4" w:tplc="04180003" w:tentative="1">
      <w:start w:val="1"/>
      <w:numFmt w:val="lowerLetter"/>
      <w:lvlText w:val="%5."/>
      <w:lvlJc w:val="left"/>
      <w:pPr>
        <w:ind w:left="3600" w:hanging="360"/>
      </w:pPr>
    </w:lvl>
    <w:lvl w:ilvl="5" w:tplc="04180005" w:tentative="1">
      <w:start w:val="1"/>
      <w:numFmt w:val="lowerRoman"/>
      <w:lvlText w:val="%6."/>
      <w:lvlJc w:val="right"/>
      <w:pPr>
        <w:ind w:left="4320" w:hanging="180"/>
      </w:pPr>
    </w:lvl>
    <w:lvl w:ilvl="6" w:tplc="04180001" w:tentative="1">
      <w:start w:val="1"/>
      <w:numFmt w:val="decimal"/>
      <w:lvlText w:val="%7."/>
      <w:lvlJc w:val="left"/>
      <w:pPr>
        <w:ind w:left="5040" w:hanging="360"/>
      </w:pPr>
    </w:lvl>
    <w:lvl w:ilvl="7" w:tplc="04180003" w:tentative="1">
      <w:start w:val="1"/>
      <w:numFmt w:val="lowerLetter"/>
      <w:lvlText w:val="%8."/>
      <w:lvlJc w:val="left"/>
      <w:pPr>
        <w:ind w:left="5760" w:hanging="360"/>
      </w:pPr>
    </w:lvl>
    <w:lvl w:ilvl="8" w:tplc="04180005" w:tentative="1">
      <w:start w:val="1"/>
      <w:numFmt w:val="lowerRoman"/>
      <w:lvlText w:val="%9."/>
      <w:lvlJc w:val="right"/>
      <w:pPr>
        <w:ind w:left="6480" w:hanging="180"/>
      </w:pPr>
    </w:lvl>
  </w:abstractNum>
  <w:abstractNum w:abstractNumId="52">
    <w:nsid w:val="7C220876"/>
    <w:multiLevelType w:val="hybridMultilevel"/>
    <w:tmpl w:val="C0FAD5B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
    <w:nsid w:val="7D754BB9"/>
    <w:multiLevelType w:val="hybridMultilevel"/>
    <w:tmpl w:val="5218F424"/>
    <w:lvl w:ilvl="0" w:tplc="0418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7"/>
  </w:num>
  <w:num w:numId="2">
    <w:abstractNumId w:val="15"/>
  </w:num>
  <w:num w:numId="3">
    <w:abstractNumId w:val="33"/>
  </w:num>
  <w:num w:numId="4">
    <w:abstractNumId w:val="29"/>
  </w:num>
  <w:num w:numId="5">
    <w:abstractNumId w:val="39"/>
  </w:num>
  <w:num w:numId="6">
    <w:abstractNumId w:val="27"/>
  </w:num>
  <w:num w:numId="7">
    <w:abstractNumId w:val="22"/>
  </w:num>
  <w:num w:numId="8">
    <w:abstractNumId w:val="5"/>
  </w:num>
  <w:num w:numId="9">
    <w:abstractNumId w:val="31"/>
  </w:num>
  <w:num w:numId="10">
    <w:abstractNumId w:val="19"/>
  </w:num>
  <w:num w:numId="11">
    <w:abstractNumId w:val="20"/>
  </w:num>
  <w:num w:numId="12">
    <w:abstractNumId w:val="36"/>
  </w:num>
  <w:num w:numId="13">
    <w:abstractNumId w:val="44"/>
  </w:num>
  <w:num w:numId="14">
    <w:abstractNumId w:val="4"/>
  </w:num>
  <w:num w:numId="15">
    <w:abstractNumId w:val="25"/>
  </w:num>
  <w:num w:numId="16">
    <w:abstractNumId w:val="6"/>
  </w:num>
  <w:num w:numId="17">
    <w:abstractNumId w:val="38"/>
  </w:num>
  <w:num w:numId="18">
    <w:abstractNumId w:val="51"/>
  </w:num>
  <w:num w:numId="19">
    <w:abstractNumId w:val="50"/>
  </w:num>
  <w:num w:numId="20">
    <w:abstractNumId w:val="43"/>
  </w:num>
  <w:num w:numId="21">
    <w:abstractNumId w:val="10"/>
  </w:num>
  <w:num w:numId="22">
    <w:abstractNumId w:val="0"/>
  </w:num>
  <w:num w:numId="23">
    <w:abstractNumId w:val="8"/>
  </w:num>
  <w:num w:numId="24">
    <w:abstractNumId w:val="48"/>
  </w:num>
  <w:num w:numId="25">
    <w:abstractNumId w:val="49"/>
  </w:num>
  <w:num w:numId="26">
    <w:abstractNumId w:val="2"/>
  </w:num>
  <w:num w:numId="27">
    <w:abstractNumId w:val="21"/>
  </w:num>
  <w:num w:numId="28">
    <w:abstractNumId w:val="9"/>
  </w:num>
  <w:num w:numId="29">
    <w:abstractNumId w:val="24"/>
  </w:num>
  <w:num w:numId="30">
    <w:abstractNumId w:val="26"/>
  </w:num>
  <w:num w:numId="31">
    <w:abstractNumId w:val="11"/>
  </w:num>
  <w:num w:numId="32">
    <w:abstractNumId w:val="45"/>
  </w:num>
  <w:num w:numId="33">
    <w:abstractNumId w:val="7"/>
  </w:num>
  <w:num w:numId="34">
    <w:abstractNumId w:val="34"/>
  </w:num>
  <w:num w:numId="35">
    <w:abstractNumId w:val="30"/>
  </w:num>
  <w:num w:numId="36">
    <w:abstractNumId w:val="46"/>
  </w:num>
  <w:num w:numId="37">
    <w:abstractNumId w:val="41"/>
  </w:num>
  <w:num w:numId="38">
    <w:abstractNumId w:val="12"/>
  </w:num>
  <w:num w:numId="39">
    <w:abstractNumId w:val="13"/>
  </w:num>
  <w:num w:numId="40">
    <w:abstractNumId w:val="35"/>
  </w:num>
  <w:num w:numId="41">
    <w:abstractNumId w:val="28"/>
  </w:num>
  <w:num w:numId="42">
    <w:abstractNumId w:val="32"/>
  </w:num>
  <w:num w:numId="43">
    <w:abstractNumId w:val="17"/>
  </w:num>
  <w:num w:numId="44">
    <w:abstractNumId w:val="16"/>
  </w:num>
  <w:num w:numId="45">
    <w:abstractNumId w:val="14"/>
  </w:num>
  <w:num w:numId="46">
    <w:abstractNumId w:val="42"/>
  </w:num>
  <w:num w:numId="47">
    <w:abstractNumId w:val="40"/>
  </w:num>
  <w:num w:numId="48">
    <w:abstractNumId w:val="52"/>
  </w:num>
  <w:num w:numId="49">
    <w:abstractNumId w:val="23"/>
  </w:num>
  <w:num w:numId="50">
    <w:abstractNumId w:val="18"/>
  </w:num>
  <w:num w:numId="51">
    <w:abstractNumId w:val="53"/>
  </w:num>
  <w:num w:numId="52">
    <w:abstractNumId w:val="37"/>
  </w:num>
  <w:num w:numId="53">
    <w:abstractNumId w:val="3"/>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9"/>
  <w:hyphenationZone w:val="425"/>
  <w:drawingGridHorizontalSpacing w:val="120"/>
  <w:displayHorizontalDrawingGridEvery w:val="2"/>
  <w:characterSpacingControl w:val="doNotCompress"/>
  <w:hdrShapeDefaults>
    <o:shapedefaults v:ext="edit" spidmax="32770"/>
  </w:hdrShapeDefaults>
  <w:footnotePr>
    <w:footnote w:id="-1"/>
    <w:footnote w:id="0"/>
  </w:footnotePr>
  <w:endnotePr>
    <w:endnote w:id="-1"/>
    <w:endnote w:id="0"/>
  </w:endnotePr>
  <w:compat/>
  <w:rsids>
    <w:rsidRoot w:val="006E490E"/>
    <w:rsid w:val="00002C27"/>
    <w:rsid w:val="00004EF3"/>
    <w:rsid w:val="00017E45"/>
    <w:rsid w:val="00021BC8"/>
    <w:rsid w:val="000322BD"/>
    <w:rsid w:val="00032769"/>
    <w:rsid w:val="00042212"/>
    <w:rsid w:val="00060144"/>
    <w:rsid w:val="00062BAB"/>
    <w:rsid w:val="00062D78"/>
    <w:rsid w:val="00064DA9"/>
    <w:rsid w:val="0006622C"/>
    <w:rsid w:val="00067ED9"/>
    <w:rsid w:val="0007403D"/>
    <w:rsid w:val="00074ECE"/>
    <w:rsid w:val="000818B2"/>
    <w:rsid w:val="00082575"/>
    <w:rsid w:val="00096351"/>
    <w:rsid w:val="000A4903"/>
    <w:rsid w:val="000A5755"/>
    <w:rsid w:val="000B0FD5"/>
    <w:rsid w:val="000B122A"/>
    <w:rsid w:val="000B56FD"/>
    <w:rsid w:val="000D61A1"/>
    <w:rsid w:val="000E057B"/>
    <w:rsid w:val="000E0AEE"/>
    <w:rsid w:val="000E61E1"/>
    <w:rsid w:val="000E665D"/>
    <w:rsid w:val="000E7A88"/>
    <w:rsid w:val="000E7C15"/>
    <w:rsid w:val="000F3C9C"/>
    <w:rsid w:val="000F5DDA"/>
    <w:rsid w:val="001042D7"/>
    <w:rsid w:val="00105C49"/>
    <w:rsid w:val="001066E3"/>
    <w:rsid w:val="00107A32"/>
    <w:rsid w:val="00115C3E"/>
    <w:rsid w:val="00131906"/>
    <w:rsid w:val="00133324"/>
    <w:rsid w:val="0014428E"/>
    <w:rsid w:val="00146EB9"/>
    <w:rsid w:val="0015019F"/>
    <w:rsid w:val="00150C7A"/>
    <w:rsid w:val="00152DEA"/>
    <w:rsid w:val="00154123"/>
    <w:rsid w:val="00157D8A"/>
    <w:rsid w:val="00161181"/>
    <w:rsid w:val="001639BB"/>
    <w:rsid w:val="0016604B"/>
    <w:rsid w:val="00167C79"/>
    <w:rsid w:val="001807DF"/>
    <w:rsid w:val="00187A4E"/>
    <w:rsid w:val="001902C0"/>
    <w:rsid w:val="00191361"/>
    <w:rsid w:val="00195C4D"/>
    <w:rsid w:val="00197446"/>
    <w:rsid w:val="001A0ECE"/>
    <w:rsid w:val="001A40F2"/>
    <w:rsid w:val="001A5F90"/>
    <w:rsid w:val="001B10AA"/>
    <w:rsid w:val="001B3550"/>
    <w:rsid w:val="001B399C"/>
    <w:rsid w:val="001B5BAE"/>
    <w:rsid w:val="001C00F8"/>
    <w:rsid w:val="001C0B4C"/>
    <w:rsid w:val="001C2B4A"/>
    <w:rsid w:val="001C2F60"/>
    <w:rsid w:val="001D114D"/>
    <w:rsid w:val="001D3C91"/>
    <w:rsid w:val="001E1BAC"/>
    <w:rsid w:val="001E2B78"/>
    <w:rsid w:val="001E7660"/>
    <w:rsid w:val="001F232A"/>
    <w:rsid w:val="001F3790"/>
    <w:rsid w:val="001F3F01"/>
    <w:rsid w:val="001F5655"/>
    <w:rsid w:val="001F5F0B"/>
    <w:rsid w:val="00205008"/>
    <w:rsid w:val="00207B87"/>
    <w:rsid w:val="0021568E"/>
    <w:rsid w:val="002173D9"/>
    <w:rsid w:val="00221431"/>
    <w:rsid w:val="002231D8"/>
    <w:rsid w:val="0022585A"/>
    <w:rsid w:val="00230E9B"/>
    <w:rsid w:val="0025120C"/>
    <w:rsid w:val="00253536"/>
    <w:rsid w:val="00254AAB"/>
    <w:rsid w:val="00256F5C"/>
    <w:rsid w:val="00257513"/>
    <w:rsid w:val="002610A6"/>
    <w:rsid w:val="00264C8A"/>
    <w:rsid w:val="0027143B"/>
    <w:rsid w:val="00277668"/>
    <w:rsid w:val="00282154"/>
    <w:rsid w:val="00284A40"/>
    <w:rsid w:val="00284CB2"/>
    <w:rsid w:val="00285180"/>
    <w:rsid w:val="0029208D"/>
    <w:rsid w:val="0029292A"/>
    <w:rsid w:val="002935EE"/>
    <w:rsid w:val="002947A2"/>
    <w:rsid w:val="00296D27"/>
    <w:rsid w:val="0029756C"/>
    <w:rsid w:val="002A6403"/>
    <w:rsid w:val="002B0BC6"/>
    <w:rsid w:val="002B6625"/>
    <w:rsid w:val="002C01BC"/>
    <w:rsid w:val="002D27CF"/>
    <w:rsid w:val="002E5576"/>
    <w:rsid w:val="002F4349"/>
    <w:rsid w:val="00303E8A"/>
    <w:rsid w:val="00306F64"/>
    <w:rsid w:val="0030748B"/>
    <w:rsid w:val="0030769A"/>
    <w:rsid w:val="00316904"/>
    <w:rsid w:val="003169FC"/>
    <w:rsid w:val="00321AC5"/>
    <w:rsid w:val="003234AB"/>
    <w:rsid w:val="00326FCF"/>
    <w:rsid w:val="00331EF9"/>
    <w:rsid w:val="00333FFC"/>
    <w:rsid w:val="00344871"/>
    <w:rsid w:val="003518DB"/>
    <w:rsid w:val="00352F0D"/>
    <w:rsid w:val="003557DE"/>
    <w:rsid w:val="00360D79"/>
    <w:rsid w:val="00362C53"/>
    <w:rsid w:val="00364DED"/>
    <w:rsid w:val="00366E9A"/>
    <w:rsid w:val="00373532"/>
    <w:rsid w:val="00373AD2"/>
    <w:rsid w:val="00375F56"/>
    <w:rsid w:val="00376CA9"/>
    <w:rsid w:val="00386309"/>
    <w:rsid w:val="003A0AC2"/>
    <w:rsid w:val="003B03E9"/>
    <w:rsid w:val="003B4CD3"/>
    <w:rsid w:val="003B564F"/>
    <w:rsid w:val="003B6DC5"/>
    <w:rsid w:val="003C3480"/>
    <w:rsid w:val="003C454F"/>
    <w:rsid w:val="003D21DE"/>
    <w:rsid w:val="003D75C9"/>
    <w:rsid w:val="003E3FEE"/>
    <w:rsid w:val="003E7D9F"/>
    <w:rsid w:val="003F2855"/>
    <w:rsid w:val="004000A9"/>
    <w:rsid w:val="00405CC3"/>
    <w:rsid w:val="004222EA"/>
    <w:rsid w:val="0042550A"/>
    <w:rsid w:val="0043042E"/>
    <w:rsid w:val="00434ECC"/>
    <w:rsid w:val="00440821"/>
    <w:rsid w:val="00441186"/>
    <w:rsid w:val="00441822"/>
    <w:rsid w:val="00442161"/>
    <w:rsid w:val="004514C3"/>
    <w:rsid w:val="00452B79"/>
    <w:rsid w:val="004535FB"/>
    <w:rsid w:val="00453E21"/>
    <w:rsid w:val="00456C30"/>
    <w:rsid w:val="00462732"/>
    <w:rsid w:val="00463044"/>
    <w:rsid w:val="00463D1F"/>
    <w:rsid w:val="00471218"/>
    <w:rsid w:val="00473E5C"/>
    <w:rsid w:val="00474FAB"/>
    <w:rsid w:val="00484F74"/>
    <w:rsid w:val="0049267E"/>
    <w:rsid w:val="004964C7"/>
    <w:rsid w:val="004A1276"/>
    <w:rsid w:val="004B17C9"/>
    <w:rsid w:val="004B6AD1"/>
    <w:rsid w:val="004B7C8B"/>
    <w:rsid w:val="004C1549"/>
    <w:rsid w:val="004C191D"/>
    <w:rsid w:val="004D0E4C"/>
    <w:rsid w:val="004D176A"/>
    <w:rsid w:val="004E0EBA"/>
    <w:rsid w:val="0051199F"/>
    <w:rsid w:val="005124C8"/>
    <w:rsid w:val="00512C28"/>
    <w:rsid w:val="00521218"/>
    <w:rsid w:val="005218D8"/>
    <w:rsid w:val="005236FD"/>
    <w:rsid w:val="005257AF"/>
    <w:rsid w:val="00526131"/>
    <w:rsid w:val="0053067B"/>
    <w:rsid w:val="00535F27"/>
    <w:rsid w:val="005421F4"/>
    <w:rsid w:val="0054299B"/>
    <w:rsid w:val="005450FA"/>
    <w:rsid w:val="005459DA"/>
    <w:rsid w:val="00547871"/>
    <w:rsid w:val="005501D5"/>
    <w:rsid w:val="0055031A"/>
    <w:rsid w:val="00551642"/>
    <w:rsid w:val="00552412"/>
    <w:rsid w:val="0055425B"/>
    <w:rsid w:val="00555EF8"/>
    <w:rsid w:val="005625ED"/>
    <w:rsid w:val="00562DDF"/>
    <w:rsid w:val="00565C64"/>
    <w:rsid w:val="00570850"/>
    <w:rsid w:val="00572811"/>
    <w:rsid w:val="005775C7"/>
    <w:rsid w:val="00590B3D"/>
    <w:rsid w:val="00592994"/>
    <w:rsid w:val="00594594"/>
    <w:rsid w:val="005958EF"/>
    <w:rsid w:val="005A3133"/>
    <w:rsid w:val="005A6616"/>
    <w:rsid w:val="005B264A"/>
    <w:rsid w:val="005B3E75"/>
    <w:rsid w:val="005C2459"/>
    <w:rsid w:val="005C4870"/>
    <w:rsid w:val="005C5334"/>
    <w:rsid w:val="005C57E2"/>
    <w:rsid w:val="005D4BB8"/>
    <w:rsid w:val="005D5CF9"/>
    <w:rsid w:val="005E0DAF"/>
    <w:rsid w:val="0060587A"/>
    <w:rsid w:val="006079BE"/>
    <w:rsid w:val="006109E1"/>
    <w:rsid w:val="00613836"/>
    <w:rsid w:val="0061627C"/>
    <w:rsid w:val="00620E03"/>
    <w:rsid w:val="0062368D"/>
    <w:rsid w:val="00624714"/>
    <w:rsid w:val="006406AC"/>
    <w:rsid w:val="00641800"/>
    <w:rsid w:val="006436B6"/>
    <w:rsid w:val="0064439C"/>
    <w:rsid w:val="00653E96"/>
    <w:rsid w:val="00660E31"/>
    <w:rsid w:val="006622BD"/>
    <w:rsid w:val="00663505"/>
    <w:rsid w:val="00663B57"/>
    <w:rsid w:val="00663E01"/>
    <w:rsid w:val="006660C0"/>
    <w:rsid w:val="006746BE"/>
    <w:rsid w:val="00674BCC"/>
    <w:rsid w:val="0067545C"/>
    <w:rsid w:val="00677C06"/>
    <w:rsid w:val="0069088E"/>
    <w:rsid w:val="00696E7C"/>
    <w:rsid w:val="006A0468"/>
    <w:rsid w:val="006A4648"/>
    <w:rsid w:val="006A58BC"/>
    <w:rsid w:val="006A6D3C"/>
    <w:rsid w:val="006B07BE"/>
    <w:rsid w:val="006B1D2E"/>
    <w:rsid w:val="006B6752"/>
    <w:rsid w:val="006C0C42"/>
    <w:rsid w:val="006C7D1C"/>
    <w:rsid w:val="006E490E"/>
    <w:rsid w:val="006F6E0A"/>
    <w:rsid w:val="006F7230"/>
    <w:rsid w:val="00701E55"/>
    <w:rsid w:val="00705F78"/>
    <w:rsid w:val="00705FB1"/>
    <w:rsid w:val="007218B3"/>
    <w:rsid w:val="00730D5E"/>
    <w:rsid w:val="00731DE2"/>
    <w:rsid w:val="00732423"/>
    <w:rsid w:val="00737EA4"/>
    <w:rsid w:val="0074450F"/>
    <w:rsid w:val="00745237"/>
    <w:rsid w:val="00746527"/>
    <w:rsid w:val="00750FF7"/>
    <w:rsid w:val="00756F46"/>
    <w:rsid w:val="00757D38"/>
    <w:rsid w:val="007611EB"/>
    <w:rsid w:val="007733C1"/>
    <w:rsid w:val="007739A1"/>
    <w:rsid w:val="00774237"/>
    <w:rsid w:val="00796186"/>
    <w:rsid w:val="007A0A16"/>
    <w:rsid w:val="007A478C"/>
    <w:rsid w:val="007A580D"/>
    <w:rsid w:val="007A6D72"/>
    <w:rsid w:val="007B0E4D"/>
    <w:rsid w:val="007B1D41"/>
    <w:rsid w:val="007C1E54"/>
    <w:rsid w:val="007D2B49"/>
    <w:rsid w:val="007D4EE8"/>
    <w:rsid w:val="007D5812"/>
    <w:rsid w:val="007D7A0A"/>
    <w:rsid w:val="007E0AA3"/>
    <w:rsid w:val="007E172A"/>
    <w:rsid w:val="007E1D55"/>
    <w:rsid w:val="007E1D88"/>
    <w:rsid w:val="007E3897"/>
    <w:rsid w:val="00801B84"/>
    <w:rsid w:val="00812485"/>
    <w:rsid w:val="0081510E"/>
    <w:rsid w:val="00816415"/>
    <w:rsid w:val="008217CE"/>
    <w:rsid w:val="00821BE1"/>
    <w:rsid w:val="00825379"/>
    <w:rsid w:val="00826CAD"/>
    <w:rsid w:val="00835A11"/>
    <w:rsid w:val="00841078"/>
    <w:rsid w:val="00850893"/>
    <w:rsid w:val="008508C2"/>
    <w:rsid w:val="008526BB"/>
    <w:rsid w:val="00853FEC"/>
    <w:rsid w:val="00855820"/>
    <w:rsid w:val="0085598A"/>
    <w:rsid w:val="00857EB1"/>
    <w:rsid w:val="00861B3B"/>
    <w:rsid w:val="0086495B"/>
    <w:rsid w:val="00865F70"/>
    <w:rsid w:val="008661E7"/>
    <w:rsid w:val="00870281"/>
    <w:rsid w:val="00873355"/>
    <w:rsid w:val="008847EB"/>
    <w:rsid w:val="00896EEC"/>
    <w:rsid w:val="008A0893"/>
    <w:rsid w:val="008A790C"/>
    <w:rsid w:val="008A7CF6"/>
    <w:rsid w:val="008B01F5"/>
    <w:rsid w:val="008C26BC"/>
    <w:rsid w:val="008C3CB1"/>
    <w:rsid w:val="008C3E97"/>
    <w:rsid w:val="008F1EA4"/>
    <w:rsid w:val="008F2BD3"/>
    <w:rsid w:val="008F7EDC"/>
    <w:rsid w:val="009057F6"/>
    <w:rsid w:val="00905EC9"/>
    <w:rsid w:val="00907415"/>
    <w:rsid w:val="00907DB9"/>
    <w:rsid w:val="009102B8"/>
    <w:rsid w:val="0093494F"/>
    <w:rsid w:val="00940D22"/>
    <w:rsid w:val="00945434"/>
    <w:rsid w:val="0094715F"/>
    <w:rsid w:val="00952E2A"/>
    <w:rsid w:val="00974717"/>
    <w:rsid w:val="00976799"/>
    <w:rsid w:val="00976FB1"/>
    <w:rsid w:val="009775B3"/>
    <w:rsid w:val="00980D72"/>
    <w:rsid w:val="00991B6F"/>
    <w:rsid w:val="00997334"/>
    <w:rsid w:val="009A31C0"/>
    <w:rsid w:val="009A325D"/>
    <w:rsid w:val="009B08B1"/>
    <w:rsid w:val="009B0C96"/>
    <w:rsid w:val="009B1729"/>
    <w:rsid w:val="009B21F8"/>
    <w:rsid w:val="009B55A7"/>
    <w:rsid w:val="009B61B3"/>
    <w:rsid w:val="009C1BEA"/>
    <w:rsid w:val="009C3100"/>
    <w:rsid w:val="009C6A35"/>
    <w:rsid w:val="009D165E"/>
    <w:rsid w:val="009D43D0"/>
    <w:rsid w:val="009E193A"/>
    <w:rsid w:val="009E3C58"/>
    <w:rsid w:val="009E4B38"/>
    <w:rsid w:val="009F4081"/>
    <w:rsid w:val="009F4D86"/>
    <w:rsid w:val="00A0097B"/>
    <w:rsid w:val="00A2014D"/>
    <w:rsid w:val="00A27ABC"/>
    <w:rsid w:val="00A36205"/>
    <w:rsid w:val="00A47B36"/>
    <w:rsid w:val="00A5243A"/>
    <w:rsid w:val="00A55728"/>
    <w:rsid w:val="00A56833"/>
    <w:rsid w:val="00A64C83"/>
    <w:rsid w:val="00A66032"/>
    <w:rsid w:val="00A713E9"/>
    <w:rsid w:val="00A71C76"/>
    <w:rsid w:val="00A76928"/>
    <w:rsid w:val="00A76EF2"/>
    <w:rsid w:val="00A77970"/>
    <w:rsid w:val="00A815E6"/>
    <w:rsid w:val="00A9063F"/>
    <w:rsid w:val="00A93AA6"/>
    <w:rsid w:val="00A95A2C"/>
    <w:rsid w:val="00AA0BC7"/>
    <w:rsid w:val="00AA21A7"/>
    <w:rsid w:val="00AA2551"/>
    <w:rsid w:val="00AA438C"/>
    <w:rsid w:val="00AB74CD"/>
    <w:rsid w:val="00AC1F71"/>
    <w:rsid w:val="00AC4DE1"/>
    <w:rsid w:val="00AC5196"/>
    <w:rsid w:val="00AD0167"/>
    <w:rsid w:val="00AD061C"/>
    <w:rsid w:val="00AE21D4"/>
    <w:rsid w:val="00AE3E03"/>
    <w:rsid w:val="00AE67BA"/>
    <w:rsid w:val="00AE735F"/>
    <w:rsid w:val="00AE7C41"/>
    <w:rsid w:val="00AF5DAD"/>
    <w:rsid w:val="00B0199C"/>
    <w:rsid w:val="00B03659"/>
    <w:rsid w:val="00B03D9F"/>
    <w:rsid w:val="00B1087E"/>
    <w:rsid w:val="00B12D22"/>
    <w:rsid w:val="00B2256F"/>
    <w:rsid w:val="00B35833"/>
    <w:rsid w:val="00B44D50"/>
    <w:rsid w:val="00B45F33"/>
    <w:rsid w:val="00B46285"/>
    <w:rsid w:val="00B5019B"/>
    <w:rsid w:val="00B9166B"/>
    <w:rsid w:val="00B94DC6"/>
    <w:rsid w:val="00BA3E8C"/>
    <w:rsid w:val="00BB0B40"/>
    <w:rsid w:val="00BB0C96"/>
    <w:rsid w:val="00BB4666"/>
    <w:rsid w:val="00BC75B8"/>
    <w:rsid w:val="00BC75BE"/>
    <w:rsid w:val="00BD288D"/>
    <w:rsid w:val="00BD701E"/>
    <w:rsid w:val="00BE187D"/>
    <w:rsid w:val="00BE416D"/>
    <w:rsid w:val="00BE4D8C"/>
    <w:rsid w:val="00BE5E74"/>
    <w:rsid w:val="00BF51EA"/>
    <w:rsid w:val="00C07765"/>
    <w:rsid w:val="00C115F4"/>
    <w:rsid w:val="00C14D8A"/>
    <w:rsid w:val="00C158EB"/>
    <w:rsid w:val="00C209DA"/>
    <w:rsid w:val="00C20EB4"/>
    <w:rsid w:val="00C26E1E"/>
    <w:rsid w:val="00C3556B"/>
    <w:rsid w:val="00C512DC"/>
    <w:rsid w:val="00C524B1"/>
    <w:rsid w:val="00C53B42"/>
    <w:rsid w:val="00C554D8"/>
    <w:rsid w:val="00C63061"/>
    <w:rsid w:val="00C655B9"/>
    <w:rsid w:val="00C658C0"/>
    <w:rsid w:val="00C668E1"/>
    <w:rsid w:val="00C668E6"/>
    <w:rsid w:val="00C67E30"/>
    <w:rsid w:val="00C77777"/>
    <w:rsid w:val="00C81B08"/>
    <w:rsid w:val="00C82CB8"/>
    <w:rsid w:val="00C83B6B"/>
    <w:rsid w:val="00C86DAD"/>
    <w:rsid w:val="00C95B18"/>
    <w:rsid w:val="00C97A56"/>
    <w:rsid w:val="00CA033E"/>
    <w:rsid w:val="00CA778E"/>
    <w:rsid w:val="00CB4F68"/>
    <w:rsid w:val="00CB51B1"/>
    <w:rsid w:val="00CC54F7"/>
    <w:rsid w:val="00CE063C"/>
    <w:rsid w:val="00CE08D7"/>
    <w:rsid w:val="00CE5DCA"/>
    <w:rsid w:val="00CE7644"/>
    <w:rsid w:val="00CF33AF"/>
    <w:rsid w:val="00D00041"/>
    <w:rsid w:val="00D11D47"/>
    <w:rsid w:val="00D134DE"/>
    <w:rsid w:val="00D17733"/>
    <w:rsid w:val="00D177EC"/>
    <w:rsid w:val="00D311C5"/>
    <w:rsid w:val="00D41AEA"/>
    <w:rsid w:val="00D466FA"/>
    <w:rsid w:val="00D55356"/>
    <w:rsid w:val="00D60C70"/>
    <w:rsid w:val="00D65420"/>
    <w:rsid w:val="00D853B3"/>
    <w:rsid w:val="00D912E5"/>
    <w:rsid w:val="00DA2D66"/>
    <w:rsid w:val="00DA5349"/>
    <w:rsid w:val="00DA6F5C"/>
    <w:rsid w:val="00DB6443"/>
    <w:rsid w:val="00DC0C5F"/>
    <w:rsid w:val="00DC3B4D"/>
    <w:rsid w:val="00DC48A4"/>
    <w:rsid w:val="00DD06C9"/>
    <w:rsid w:val="00DD451D"/>
    <w:rsid w:val="00DD7434"/>
    <w:rsid w:val="00DE1BEB"/>
    <w:rsid w:val="00DE212A"/>
    <w:rsid w:val="00DE3FEC"/>
    <w:rsid w:val="00DE48EA"/>
    <w:rsid w:val="00DF6640"/>
    <w:rsid w:val="00E00781"/>
    <w:rsid w:val="00E053CC"/>
    <w:rsid w:val="00E125DD"/>
    <w:rsid w:val="00E12B6B"/>
    <w:rsid w:val="00E1451E"/>
    <w:rsid w:val="00E32EE5"/>
    <w:rsid w:val="00E3440B"/>
    <w:rsid w:val="00E377DA"/>
    <w:rsid w:val="00E415A7"/>
    <w:rsid w:val="00E425C9"/>
    <w:rsid w:val="00E531C8"/>
    <w:rsid w:val="00E5431B"/>
    <w:rsid w:val="00E639D5"/>
    <w:rsid w:val="00E666A2"/>
    <w:rsid w:val="00E70176"/>
    <w:rsid w:val="00E74CA8"/>
    <w:rsid w:val="00E95BA5"/>
    <w:rsid w:val="00E95FF6"/>
    <w:rsid w:val="00EA0BA5"/>
    <w:rsid w:val="00EA1F9A"/>
    <w:rsid w:val="00EA590E"/>
    <w:rsid w:val="00EB24FF"/>
    <w:rsid w:val="00EB2D59"/>
    <w:rsid w:val="00EC0F8A"/>
    <w:rsid w:val="00EC2456"/>
    <w:rsid w:val="00ED307E"/>
    <w:rsid w:val="00ED4326"/>
    <w:rsid w:val="00ED6E15"/>
    <w:rsid w:val="00EE48E4"/>
    <w:rsid w:val="00EE51DA"/>
    <w:rsid w:val="00F009FB"/>
    <w:rsid w:val="00F03BA6"/>
    <w:rsid w:val="00F03FE8"/>
    <w:rsid w:val="00F13A9B"/>
    <w:rsid w:val="00F16603"/>
    <w:rsid w:val="00F27E2E"/>
    <w:rsid w:val="00F326C9"/>
    <w:rsid w:val="00F34878"/>
    <w:rsid w:val="00F46AC7"/>
    <w:rsid w:val="00F62901"/>
    <w:rsid w:val="00F63B10"/>
    <w:rsid w:val="00F72135"/>
    <w:rsid w:val="00F73494"/>
    <w:rsid w:val="00F75A0C"/>
    <w:rsid w:val="00F91D01"/>
    <w:rsid w:val="00FA23FF"/>
    <w:rsid w:val="00FA57DF"/>
    <w:rsid w:val="00FA5E2E"/>
    <w:rsid w:val="00FA7658"/>
    <w:rsid w:val="00FA7BDB"/>
    <w:rsid w:val="00FB0379"/>
    <w:rsid w:val="00FB3C44"/>
    <w:rsid w:val="00FE041F"/>
    <w:rsid w:val="00FE08BA"/>
    <w:rsid w:val="00FE1CD2"/>
    <w:rsid w:val="00FE2D53"/>
    <w:rsid w:val="00FE31A2"/>
    <w:rsid w:val="00FF10B8"/>
    <w:rsid w:val="00FF4B55"/>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HTML Typewriter" w:uiPriority="0"/>
    <w:lsdException w:name="Table Elegan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90E"/>
    <w:pPr>
      <w:spacing w:after="0" w:line="240" w:lineRule="auto"/>
    </w:pPr>
    <w:rPr>
      <w:rFonts w:ascii="Times New Roman" w:eastAsia="Times New Roman" w:hAnsi="Times New Roman" w:cs="Times New Roman"/>
      <w:sz w:val="24"/>
      <w:szCs w:val="24"/>
      <w:lang w:eastAsia="ro-RO"/>
    </w:rPr>
  </w:style>
  <w:style w:type="paragraph" w:styleId="Heading1">
    <w:name w:val="heading 1"/>
    <w:basedOn w:val="Normal"/>
    <w:next w:val="Normal"/>
    <w:link w:val="Heading1Char"/>
    <w:qFormat/>
    <w:rsid w:val="00B12D2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E3897"/>
    <w:pPr>
      <w:keepNext/>
      <w:spacing w:before="240" w:after="60"/>
      <w:outlineLvl w:val="1"/>
    </w:pPr>
    <w:rPr>
      <w:rFonts w:ascii="Arial" w:hAnsi="Arial" w:cs="Arial"/>
      <w:b/>
      <w:bCs/>
      <w:i/>
      <w:iCs/>
      <w:kern w:val="28"/>
      <w:sz w:val="28"/>
      <w:szCs w:val="28"/>
      <w:lang w:val="en-US" w:eastAsia="en-US"/>
    </w:rPr>
  </w:style>
  <w:style w:type="paragraph" w:styleId="Heading3">
    <w:name w:val="heading 3"/>
    <w:basedOn w:val="Normal"/>
    <w:next w:val="Normal"/>
    <w:link w:val="Heading3Char"/>
    <w:qFormat/>
    <w:rsid w:val="007E3897"/>
    <w:pPr>
      <w:keepNext/>
      <w:spacing w:before="240" w:after="60"/>
      <w:outlineLvl w:val="2"/>
    </w:pPr>
    <w:rPr>
      <w:rFonts w:ascii="Arial" w:hAnsi="Arial" w:cs="Arial"/>
      <w:b/>
      <w:bCs/>
      <w:kern w:val="28"/>
      <w:sz w:val="26"/>
      <w:szCs w:val="26"/>
      <w:lang w:val="en-US" w:eastAsia="en-US"/>
    </w:rPr>
  </w:style>
  <w:style w:type="paragraph" w:styleId="Heading4">
    <w:name w:val="heading 4"/>
    <w:basedOn w:val="Normal"/>
    <w:next w:val="Normal"/>
    <w:link w:val="Heading4Char"/>
    <w:qFormat/>
    <w:rsid w:val="007E3897"/>
    <w:pPr>
      <w:keepNext/>
      <w:ind w:left="720" w:firstLine="720"/>
      <w:outlineLvl w:val="3"/>
    </w:pPr>
    <w:rPr>
      <w:sz w:val="28"/>
      <w:szCs w:val="20"/>
      <w:lang w:val="en-GB" w:eastAsia="en-US"/>
    </w:rPr>
  </w:style>
  <w:style w:type="paragraph" w:styleId="Heading5">
    <w:name w:val="heading 5"/>
    <w:basedOn w:val="Normal"/>
    <w:next w:val="Normal"/>
    <w:link w:val="Heading5Char"/>
    <w:qFormat/>
    <w:rsid w:val="007E3897"/>
    <w:pPr>
      <w:keepNext/>
      <w:jc w:val="center"/>
      <w:outlineLvl w:val="4"/>
    </w:pPr>
    <w:rPr>
      <w:sz w:val="28"/>
      <w:szCs w:val="20"/>
      <w:lang w:val="en-GB" w:eastAsia="en-US"/>
    </w:rPr>
  </w:style>
  <w:style w:type="paragraph" w:styleId="Heading6">
    <w:name w:val="heading 6"/>
    <w:basedOn w:val="Normal"/>
    <w:next w:val="Normal"/>
    <w:link w:val="Heading6Char"/>
    <w:qFormat/>
    <w:rsid w:val="007E3897"/>
    <w:pPr>
      <w:spacing w:before="240" w:after="60"/>
      <w:outlineLvl w:val="5"/>
    </w:pPr>
    <w:rPr>
      <w:b/>
      <w:bCs/>
      <w:kern w:val="28"/>
      <w:sz w:val="22"/>
      <w:szCs w:val="22"/>
      <w:lang w:val="en-US" w:eastAsia="en-US"/>
    </w:rPr>
  </w:style>
  <w:style w:type="paragraph" w:styleId="Heading7">
    <w:name w:val="heading 7"/>
    <w:basedOn w:val="Normal"/>
    <w:next w:val="Normal"/>
    <w:link w:val="Heading7Char"/>
    <w:qFormat/>
    <w:rsid w:val="007E3897"/>
    <w:pPr>
      <w:keepNext/>
      <w:jc w:val="center"/>
      <w:outlineLvl w:val="6"/>
    </w:pPr>
    <w:rPr>
      <w:b/>
      <w:kern w:val="28"/>
      <w:sz w:val="28"/>
      <w:szCs w:val="20"/>
      <w:lang w:val="en-US" w:eastAsia="en-US"/>
    </w:rPr>
  </w:style>
  <w:style w:type="paragraph" w:styleId="Heading8">
    <w:name w:val="heading 8"/>
    <w:basedOn w:val="Normal"/>
    <w:next w:val="Normal"/>
    <w:link w:val="Heading8Char"/>
    <w:qFormat/>
    <w:rsid w:val="007E3897"/>
    <w:pPr>
      <w:keepNext/>
      <w:jc w:val="center"/>
      <w:outlineLvl w:val="7"/>
    </w:pPr>
    <w:rPr>
      <w:b/>
      <w:kern w:val="28"/>
      <w:sz w:val="22"/>
      <w:szCs w:val="20"/>
      <w:lang w:val="en-US" w:eastAsia="en-US"/>
    </w:rPr>
  </w:style>
  <w:style w:type="paragraph" w:styleId="Heading9">
    <w:name w:val="heading 9"/>
    <w:basedOn w:val="Normal"/>
    <w:next w:val="Normal"/>
    <w:link w:val="Heading9Char"/>
    <w:qFormat/>
    <w:rsid w:val="007E3897"/>
    <w:pPr>
      <w:keepNext/>
      <w:jc w:val="center"/>
      <w:outlineLvl w:val="8"/>
    </w:pPr>
    <w:rPr>
      <w:b/>
      <w:kern w:val="28"/>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12D22"/>
    <w:rPr>
      <w:rFonts w:asciiTheme="majorHAnsi" w:eastAsiaTheme="majorEastAsia" w:hAnsiTheme="majorHAnsi" w:cstheme="majorBidi"/>
      <w:b/>
      <w:bCs/>
      <w:color w:val="365F91" w:themeColor="accent1" w:themeShade="BF"/>
      <w:sz w:val="28"/>
      <w:szCs w:val="28"/>
      <w:lang w:eastAsia="ro-RO"/>
    </w:rPr>
  </w:style>
  <w:style w:type="paragraph" w:styleId="TOCHeading">
    <w:name w:val="TOC Heading"/>
    <w:basedOn w:val="Heading1"/>
    <w:next w:val="Normal"/>
    <w:uiPriority w:val="39"/>
    <w:unhideWhenUsed/>
    <w:qFormat/>
    <w:rsid w:val="00B12D22"/>
    <w:pPr>
      <w:spacing w:line="276" w:lineRule="auto"/>
      <w:outlineLvl w:val="9"/>
    </w:pPr>
    <w:rPr>
      <w:lang w:val="en-US" w:eastAsia="en-US"/>
    </w:rPr>
  </w:style>
  <w:style w:type="paragraph" w:styleId="BalloonText">
    <w:name w:val="Balloon Text"/>
    <w:basedOn w:val="Normal"/>
    <w:link w:val="BalloonTextChar"/>
    <w:unhideWhenUsed/>
    <w:rsid w:val="00B12D22"/>
    <w:rPr>
      <w:rFonts w:ascii="Tahoma" w:hAnsi="Tahoma" w:cs="Tahoma"/>
      <w:sz w:val="16"/>
      <w:szCs w:val="16"/>
    </w:rPr>
  </w:style>
  <w:style w:type="character" w:customStyle="1" w:styleId="BalloonTextChar">
    <w:name w:val="Balloon Text Char"/>
    <w:basedOn w:val="DefaultParagraphFont"/>
    <w:link w:val="BalloonText"/>
    <w:rsid w:val="00B12D22"/>
    <w:rPr>
      <w:rFonts w:ascii="Tahoma" w:eastAsia="Times New Roman" w:hAnsi="Tahoma" w:cs="Tahoma"/>
      <w:sz w:val="16"/>
      <w:szCs w:val="16"/>
      <w:lang w:eastAsia="ro-RO"/>
    </w:rPr>
  </w:style>
  <w:style w:type="paragraph" w:styleId="ListParagraph">
    <w:name w:val="List Paragraph"/>
    <w:aliases w:val="body 2,List Paragraph11,Lettre d'introduction,List Paragraph111,Bullet Points,Liste Paragraf,Normal bullet 2,Forth level,Listă colorată - Accentuare 11,Citation List,Header bold"/>
    <w:basedOn w:val="Normal"/>
    <w:link w:val="ListParagraphChar"/>
    <w:uiPriority w:val="34"/>
    <w:qFormat/>
    <w:rsid w:val="00B12D22"/>
    <w:pPr>
      <w:ind w:left="720"/>
      <w:contextualSpacing/>
    </w:pPr>
  </w:style>
  <w:style w:type="paragraph" w:customStyle="1" w:styleId="Default">
    <w:name w:val="Default"/>
    <w:qFormat/>
    <w:rsid w:val="005E0DAF"/>
    <w:pPr>
      <w:autoSpaceDE w:val="0"/>
      <w:autoSpaceDN w:val="0"/>
      <w:adjustRightInd w:val="0"/>
      <w:spacing w:after="0" w:line="240" w:lineRule="auto"/>
    </w:pPr>
    <w:rPr>
      <w:rFonts w:ascii="Times New Roman" w:eastAsia="Times New Roman" w:hAnsi="Times New Roman" w:cs="Times New Roman"/>
      <w:color w:val="000000"/>
      <w:sz w:val="24"/>
      <w:szCs w:val="24"/>
      <w:lang w:eastAsia="ro-RO"/>
    </w:rPr>
  </w:style>
  <w:style w:type="character" w:customStyle="1" w:styleId="CharChar1Caracter">
    <w:name w:val="Char Char1 Caracter"/>
    <w:basedOn w:val="DefaultParagraphFont"/>
    <w:link w:val="CharChar1"/>
    <w:locked/>
    <w:rsid w:val="005E0DAF"/>
    <w:rPr>
      <w:sz w:val="24"/>
      <w:szCs w:val="24"/>
      <w:lang w:val="pl-PL" w:eastAsia="pl-PL"/>
    </w:rPr>
  </w:style>
  <w:style w:type="paragraph" w:customStyle="1" w:styleId="CharChar1">
    <w:name w:val="Char Char1"/>
    <w:basedOn w:val="Normal"/>
    <w:link w:val="CharChar1Caracter"/>
    <w:rsid w:val="005E0DAF"/>
    <w:rPr>
      <w:rFonts w:asciiTheme="minorHAnsi" w:eastAsiaTheme="minorHAnsi" w:hAnsiTheme="minorHAnsi" w:cstheme="minorBidi"/>
      <w:lang w:val="pl-PL" w:eastAsia="pl-PL"/>
    </w:rPr>
  </w:style>
  <w:style w:type="table" w:styleId="TableGrid">
    <w:name w:val="Table Grid"/>
    <w:basedOn w:val="TableNormal"/>
    <w:uiPriority w:val="59"/>
    <w:rsid w:val="007D4E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qFormat/>
    <w:rsid w:val="002A6403"/>
    <w:pPr>
      <w:spacing w:after="100" w:line="276" w:lineRule="auto"/>
      <w:ind w:left="220"/>
    </w:pPr>
    <w:rPr>
      <w:rFonts w:asciiTheme="minorHAnsi" w:eastAsiaTheme="minorEastAsia" w:hAnsiTheme="minorHAnsi" w:cstheme="minorBidi"/>
      <w:sz w:val="22"/>
      <w:szCs w:val="22"/>
      <w:lang w:val="en-US" w:eastAsia="en-US"/>
    </w:rPr>
  </w:style>
  <w:style w:type="paragraph" w:styleId="TOC1">
    <w:name w:val="toc 1"/>
    <w:basedOn w:val="Normal"/>
    <w:next w:val="Normal"/>
    <w:autoRedefine/>
    <w:uiPriority w:val="39"/>
    <w:unhideWhenUsed/>
    <w:qFormat/>
    <w:rsid w:val="002A6403"/>
    <w:pPr>
      <w:spacing w:after="100" w:line="276" w:lineRule="auto"/>
    </w:pPr>
    <w:rPr>
      <w:rFonts w:asciiTheme="minorHAnsi" w:eastAsiaTheme="minorEastAsia" w:hAnsiTheme="minorHAnsi" w:cstheme="minorBidi"/>
      <w:sz w:val="22"/>
      <w:szCs w:val="22"/>
      <w:lang w:val="en-US" w:eastAsia="en-US"/>
    </w:rPr>
  </w:style>
  <w:style w:type="paragraph" w:styleId="TOC3">
    <w:name w:val="toc 3"/>
    <w:basedOn w:val="Normal"/>
    <w:next w:val="Normal"/>
    <w:autoRedefine/>
    <w:uiPriority w:val="39"/>
    <w:unhideWhenUsed/>
    <w:qFormat/>
    <w:rsid w:val="002A6403"/>
    <w:pPr>
      <w:spacing w:after="100" w:line="276" w:lineRule="auto"/>
      <w:ind w:left="440"/>
    </w:pPr>
    <w:rPr>
      <w:rFonts w:asciiTheme="minorHAnsi" w:eastAsiaTheme="minorEastAsia" w:hAnsiTheme="minorHAnsi" w:cstheme="minorBidi"/>
      <w:sz w:val="22"/>
      <w:szCs w:val="22"/>
      <w:lang w:val="en-US" w:eastAsia="en-US"/>
    </w:rPr>
  </w:style>
  <w:style w:type="paragraph" w:styleId="Header">
    <w:name w:val="header"/>
    <w:basedOn w:val="Normal"/>
    <w:link w:val="HeaderChar"/>
    <w:unhideWhenUsed/>
    <w:rsid w:val="00205008"/>
    <w:pPr>
      <w:tabs>
        <w:tab w:val="center" w:pos="4536"/>
        <w:tab w:val="right" w:pos="9072"/>
      </w:tabs>
    </w:pPr>
  </w:style>
  <w:style w:type="character" w:customStyle="1" w:styleId="HeaderChar">
    <w:name w:val="Header Char"/>
    <w:basedOn w:val="DefaultParagraphFont"/>
    <w:link w:val="Header"/>
    <w:rsid w:val="00205008"/>
    <w:rPr>
      <w:rFonts w:ascii="Times New Roman" w:eastAsia="Times New Roman" w:hAnsi="Times New Roman" w:cs="Times New Roman"/>
      <w:sz w:val="24"/>
      <w:szCs w:val="24"/>
      <w:lang w:eastAsia="ro-RO"/>
    </w:rPr>
  </w:style>
  <w:style w:type="paragraph" w:styleId="Footer">
    <w:name w:val="footer"/>
    <w:basedOn w:val="Normal"/>
    <w:link w:val="FooterChar"/>
    <w:uiPriority w:val="99"/>
    <w:unhideWhenUsed/>
    <w:rsid w:val="00205008"/>
    <w:pPr>
      <w:tabs>
        <w:tab w:val="center" w:pos="4536"/>
        <w:tab w:val="right" w:pos="9072"/>
      </w:tabs>
    </w:pPr>
  </w:style>
  <w:style w:type="character" w:customStyle="1" w:styleId="FooterChar">
    <w:name w:val="Footer Char"/>
    <w:basedOn w:val="DefaultParagraphFont"/>
    <w:link w:val="Footer"/>
    <w:uiPriority w:val="99"/>
    <w:rsid w:val="00205008"/>
    <w:rPr>
      <w:rFonts w:ascii="Times New Roman" w:eastAsia="Times New Roman" w:hAnsi="Times New Roman" w:cs="Times New Roman"/>
      <w:sz w:val="24"/>
      <w:szCs w:val="24"/>
      <w:lang w:eastAsia="ro-RO"/>
    </w:rPr>
  </w:style>
  <w:style w:type="character" w:styleId="Hyperlink">
    <w:name w:val="Hyperlink"/>
    <w:basedOn w:val="DefaultParagraphFont"/>
    <w:uiPriority w:val="99"/>
    <w:unhideWhenUsed/>
    <w:rsid w:val="00821BE1"/>
    <w:rPr>
      <w:color w:val="0000FF" w:themeColor="hyperlink"/>
      <w:u w:val="single"/>
    </w:rPr>
  </w:style>
  <w:style w:type="table" w:customStyle="1" w:styleId="TableGrid1">
    <w:name w:val="Table Grid1"/>
    <w:basedOn w:val="TableNormal"/>
    <w:next w:val="TableGrid"/>
    <w:uiPriority w:val="59"/>
    <w:rsid w:val="00D65420"/>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7E3897"/>
    <w:rPr>
      <w:rFonts w:ascii="Arial" w:eastAsia="Times New Roman" w:hAnsi="Arial" w:cs="Arial"/>
      <w:b/>
      <w:bCs/>
      <w:i/>
      <w:iCs/>
      <w:kern w:val="28"/>
      <w:sz w:val="28"/>
      <w:szCs w:val="28"/>
      <w:lang w:val="en-US"/>
    </w:rPr>
  </w:style>
  <w:style w:type="character" w:customStyle="1" w:styleId="Heading3Char">
    <w:name w:val="Heading 3 Char"/>
    <w:basedOn w:val="DefaultParagraphFont"/>
    <w:link w:val="Heading3"/>
    <w:rsid w:val="007E3897"/>
    <w:rPr>
      <w:rFonts w:ascii="Arial" w:eastAsia="Times New Roman" w:hAnsi="Arial" w:cs="Arial"/>
      <w:b/>
      <w:bCs/>
      <w:kern w:val="28"/>
      <w:sz w:val="26"/>
      <w:szCs w:val="26"/>
      <w:lang w:val="en-US"/>
    </w:rPr>
  </w:style>
  <w:style w:type="character" w:customStyle="1" w:styleId="Heading4Char">
    <w:name w:val="Heading 4 Char"/>
    <w:basedOn w:val="DefaultParagraphFont"/>
    <w:link w:val="Heading4"/>
    <w:rsid w:val="007E3897"/>
    <w:rPr>
      <w:rFonts w:ascii="Times New Roman" w:eastAsia="Times New Roman" w:hAnsi="Times New Roman" w:cs="Times New Roman"/>
      <w:sz w:val="28"/>
      <w:szCs w:val="20"/>
      <w:lang w:val="en-GB"/>
    </w:rPr>
  </w:style>
  <w:style w:type="character" w:customStyle="1" w:styleId="Heading5Char">
    <w:name w:val="Heading 5 Char"/>
    <w:basedOn w:val="DefaultParagraphFont"/>
    <w:link w:val="Heading5"/>
    <w:rsid w:val="007E3897"/>
    <w:rPr>
      <w:rFonts w:ascii="Times New Roman" w:eastAsia="Times New Roman" w:hAnsi="Times New Roman" w:cs="Times New Roman"/>
      <w:sz w:val="28"/>
      <w:szCs w:val="20"/>
      <w:lang w:val="en-GB"/>
    </w:rPr>
  </w:style>
  <w:style w:type="character" w:customStyle="1" w:styleId="Heading6Char">
    <w:name w:val="Heading 6 Char"/>
    <w:basedOn w:val="DefaultParagraphFont"/>
    <w:link w:val="Heading6"/>
    <w:rsid w:val="007E3897"/>
    <w:rPr>
      <w:rFonts w:ascii="Times New Roman" w:eastAsia="Times New Roman" w:hAnsi="Times New Roman" w:cs="Times New Roman"/>
      <w:b/>
      <w:bCs/>
      <w:kern w:val="28"/>
      <w:lang w:val="en-US"/>
    </w:rPr>
  </w:style>
  <w:style w:type="character" w:customStyle="1" w:styleId="Heading7Char">
    <w:name w:val="Heading 7 Char"/>
    <w:basedOn w:val="DefaultParagraphFont"/>
    <w:link w:val="Heading7"/>
    <w:rsid w:val="007E3897"/>
    <w:rPr>
      <w:rFonts w:ascii="Times New Roman" w:eastAsia="Times New Roman" w:hAnsi="Times New Roman" w:cs="Times New Roman"/>
      <w:b/>
      <w:kern w:val="28"/>
      <w:sz w:val="28"/>
      <w:szCs w:val="20"/>
      <w:lang w:val="en-US"/>
    </w:rPr>
  </w:style>
  <w:style w:type="character" w:customStyle="1" w:styleId="Heading8Char">
    <w:name w:val="Heading 8 Char"/>
    <w:basedOn w:val="DefaultParagraphFont"/>
    <w:link w:val="Heading8"/>
    <w:rsid w:val="007E3897"/>
    <w:rPr>
      <w:rFonts w:ascii="Times New Roman" w:eastAsia="Times New Roman" w:hAnsi="Times New Roman" w:cs="Times New Roman"/>
      <w:b/>
      <w:kern w:val="28"/>
      <w:szCs w:val="20"/>
      <w:lang w:val="en-US"/>
    </w:rPr>
  </w:style>
  <w:style w:type="character" w:customStyle="1" w:styleId="Heading9Char">
    <w:name w:val="Heading 9 Char"/>
    <w:basedOn w:val="DefaultParagraphFont"/>
    <w:link w:val="Heading9"/>
    <w:rsid w:val="007E3897"/>
    <w:rPr>
      <w:rFonts w:ascii="Times New Roman" w:eastAsia="Times New Roman" w:hAnsi="Times New Roman" w:cs="Times New Roman"/>
      <w:b/>
      <w:kern w:val="28"/>
      <w:sz w:val="24"/>
      <w:szCs w:val="20"/>
      <w:lang w:val="en-US"/>
    </w:rPr>
  </w:style>
  <w:style w:type="numbering" w:customStyle="1" w:styleId="NoList1">
    <w:name w:val="No List1"/>
    <w:next w:val="NoList"/>
    <w:uiPriority w:val="99"/>
    <w:semiHidden/>
    <w:unhideWhenUsed/>
    <w:rsid w:val="007E3897"/>
  </w:style>
  <w:style w:type="paragraph" w:styleId="BodyText">
    <w:name w:val="Body Text"/>
    <w:basedOn w:val="Normal"/>
    <w:link w:val="BodyTextChar"/>
    <w:rsid w:val="007E3897"/>
    <w:pPr>
      <w:jc w:val="center"/>
    </w:pPr>
    <w:rPr>
      <w:b/>
      <w:szCs w:val="20"/>
      <w:lang w:val="en-GB" w:eastAsia="en-US"/>
    </w:rPr>
  </w:style>
  <w:style w:type="character" w:customStyle="1" w:styleId="BodyTextChar">
    <w:name w:val="Body Text Char"/>
    <w:basedOn w:val="DefaultParagraphFont"/>
    <w:link w:val="BodyText"/>
    <w:rsid w:val="007E3897"/>
    <w:rPr>
      <w:rFonts w:ascii="Times New Roman" w:eastAsia="Times New Roman" w:hAnsi="Times New Roman" w:cs="Times New Roman"/>
      <w:b/>
      <w:sz w:val="24"/>
      <w:szCs w:val="20"/>
      <w:lang w:val="en-GB"/>
    </w:rPr>
  </w:style>
  <w:style w:type="paragraph" w:styleId="Title">
    <w:name w:val="Title"/>
    <w:basedOn w:val="Normal"/>
    <w:link w:val="TitleChar"/>
    <w:qFormat/>
    <w:rsid w:val="007E3897"/>
    <w:pPr>
      <w:jc w:val="center"/>
    </w:pPr>
    <w:rPr>
      <w:b/>
      <w:kern w:val="28"/>
      <w:sz w:val="32"/>
      <w:szCs w:val="20"/>
      <w:lang w:val="en-US" w:eastAsia="en-US"/>
    </w:rPr>
  </w:style>
  <w:style w:type="character" w:customStyle="1" w:styleId="TitleChar">
    <w:name w:val="Title Char"/>
    <w:basedOn w:val="DefaultParagraphFont"/>
    <w:link w:val="Title"/>
    <w:rsid w:val="007E3897"/>
    <w:rPr>
      <w:rFonts w:ascii="Times New Roman" w:eastAsia="Times New Roman" w:hAnsi="Times New Roman" w:cs="Times New Roman"/>
      <w:b/>
      <w:kern w:val="28"/>
      <w:sz w:val="32"/>
      <w:szCs w:val="20"/>
      <w:lang w:val="en-US"/>
    </w:rPr>
  </w:style>
  <w:style w:type="character" w:styleId="PageNumber">
    <w:name w:val="page number"/>
    <w:basedOn w:val="DefaultParagraphFont"/>
    <w:rsid w:val="007E3897"/>
  </w:style>
  <w:style w:type="paragraph" w:styleId="BodyTextIndent2">
    <w:name w:val="Body Text Indent 2"/>
    <w:basedOn w:val="Normal"/>
    <w:link w:val="BodyTextIndent2Char"/>
    <w:rsid w:val="007E3897"/>
    <w:pPr>
      <w:ind w:firstLine="720"/>
      <w:jc w:val="center"/>
    </w:pPr>
    <w:rPr>
      <w:rFonts w:ascii="Arial" w:hAnsi="Arial"/>
      <w:noProof/>
      <w:sz w:val="16"/>
      <w:szCs w:val="20"/>
      <w:lang w:val="en-US" w:eastAsia="en-US"/>
    </w:rPr>
  </w:style>
  <w:style w:type="character" w:customStyle="1" w:styleId="BodyTextIndent2Char">
    <w:name w:val="Body Text Indent 2 Char"/>
    <w:basedOn w:val="DefaultParagraphFont"/>
    <w:link w:val="BodyTextIndent2"/>
    <w:rsid w:val="007E3897"/>
    <w:rPr>
      <w:rFonts w:ascii="Arial" w:eastAsia="Times New Roman" w:hAnsi="Arial" w:cs="Times New Roman"/>
      <w:noProof/>
      <w:sz w:val="16"/>
      <w:szCs w:val="20"/>
      <w:lang w:val="en-US"/>
    </w:rPr>
  </w:style>
  <w:style w:type="paragraph" w:styleId="Caption">
    <w:name w:val="caption"/>
    <w:basedOn w:val="Normal"/>
    <w:next w:val="Normal"/>
    <w:qFormat/>
    <w:rsid w:val="007E3897"/>
    <w:pPr>
      <w:ind w:left="-284"/>
    </w:pPr>
    <w:rPr>
      <w:i/>
      <w:noProof/>
      <w:kern w:val="28"/>
      <w:szCs w:val="20"/>
      <w:lang w:val="en-US" w:eastAsia="en-US"/>
    </w:rPr>
  </w:style>
  <w:style w:type="character" w:styleId="Strong">
    <w:name w:val="Strong"/>
    <w:uiPriority w:val="22"/>
    <w:qFormat/>
    <w:rsid w:val="007E3897"/>
    <w:rPr>
      <w:b/>
    </w:rPr>
  </w:style>
  <w:style w:type="table" w:customStyle="1" w:styleId="TableGrid2">
    <w:name w:val="Table Grid2"/>
    <w:basedOn w:val="TableNormal"/>
    <w:next w:val="TableGrid"/>
    <w:rsid w:val="007E3897"/>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fn"/>
    <w:basedOn w:val="Normal"/>
    <w:link w:val="FootnoteTextChar"/>
    <w:semiHidden/>
    <w:rsid w:val="007E3897"/>
    <w:rPr>
      <w:sz w:val="20"/>
      <w:szCs w:val="20"/>
      <w:lang w:eastAsia="en-GB"/>
    </w:r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fn Char"/>
    <w:basedOn w:val="DefaultParagraphFont"/>
    <w:link w:val="FootnoteText"/>
    <w:semiHidden/>
    <w:rsid w:val="007E3897"/>
    <w:rPr>
      <w:rFonts w:ascii="Times New Roman" w:eastAsia="Times New Roman" w:hAnsi="Times New Roman" w:cs="Times New Roman"/>
      <w:sz w:val="20"/>
      <w:szCs w:val="20"/>
      <w:lang w:eastAsia="en-GB"/>
    </w:rPr>
  </w:style>
  <w:style w:type="paragraph" w:customStyle="1" w:styleId="CharChar">
    <w:name w:val="Char Char"/>
    <w:basedOn w:val="Normal"/>
    <w:rsid w:val="007E3897"/>
    <w:rPr>
      <w:rFonts w:ascii="Arial" w:hAnsi="Arial" w:cs="Arial"/>
      <w:lang w:val="pl-PL" w:eastAsia="pl-PL"/>
    </w:rPr>
  </w:style>
  <w:style w:type="paragraph" w:customStyle="1" w:styleId="xl25">
    <w:name w:val="xl25"/>
    <w:basedOn w:val="Normal"/>
    <w:rsid w:val="007E3897"/>
    <w:pPr>
      <w:pBdr>
        <w:top w:val="single" w:sz="8" w:space="0" w:color="auto"/>
        <w:left w:val="single" w:sz="4" w:space="0" w:color="auto"/>
        <w:right w:val="single" w:sz="4" w:space="0" w:color="auto"/>
      </w:pBdr>
      <w:shd w:val="clear" w:color="auto" w:fill="FFFF99"/>
      <w:spacing w:before="100" w:beforeAutospacing="1" w:after="100" w:afterAutospacing="1"/>
      <w:jc w:val="center"/>
    </w:pPr>
    <w:rPr>
      <w:rFonts w:ascii="Arial" w:eastAsia="Arial Unicode MS" w:hAnsi="Arial" w:cs="Arial"/>
      <w:b/>
      <w:bCs/>
      <w:sz w:val="16"/>
      <w:szCs w:val="16"/>
      <w:lang w:val="en-GB" w:eastAsia="en-US"/>
    </w:rPr>
  </w:style>
  <w:style w:type="paragraph" w:styleId="BodyText2">
    <w:name w:val="Body Text 2"/>
    <w:basedOn w:val="Normal"/>
    <w:link w:val="BodyText2Char"/>
    <w:rsid w:val="007E3897"/>
    <w:pPr>
      <w:spacing w:after="120" w:line="480" w:lineRule="auto"/>
    </w:pPr>
    <w:rPr>
      <w:kern w:val="28"/>
      <w:szCs w:val="20"/>
      <w:lang w:val="en-US" w:eastAsia="en-US"/>
    </w:rPr>
  </w:style>
  <w:style w:type="character" w:customStyle="1" w:styleId="BodyText2Char">
    <w:name w:val="Body Text 2 Char"/>
    <w:basedOn w:val="DefaultParagraphFont"/>
    <w:link w:val="BodyText2"/>
    <w:rsid w:val="007E3897"/>
    <w:rPr>
      <w:rFonts w:ascii="Times New Roman" w:eastAsia="Times New Roman" w:hAnsi="Times New Roman" w:cs="Times New Roman"/>
      <w:kern w:val="28"/>
      <w:sz w:val="24"/>
      <w:szCs w:val="20"/>
      <w:lang w:val="en-US"/>
    </w:rPr>
  </w:style>
  <w:style w:type="character" w:customStyle="1" w:styleId="mw-headline">
    <w:name w:val="mw-headline"/>
    <w:basedOn w:val="DefaultParagraphFont"/>
    <w:rsid w:val="007E3897"/>
  </w:style>
  <w:style w:type="paragraph" w:styleId="NormalWeb">
    <w:name w:val="Normal (Web)"/>
    <w:basedOn w:val="Normal"/>
    <w:uiPriority w:val="99"/>
    <w:unhideWhenUsed/>
    <w:rsid w:val="007E3897"/>
    <w:pPr>
      <w:spacing w:before="100" w:beforeAutospacing="1" w:after="100" w:afterAutospacing="1"/>
    </w:pPr>
    <w:rPr>
      <w:lang w:val="en-US" w:eastAsia="en-US"/>
    </w:rPr>
  </w:style>
  <w:style w:type="paragraph" w:customStyle="1" w:styleId="western">
    <w:name w:val="western"/>
    <w:basedOn w:val="Normal"/>
    <w:rsid w:val="007E3897"/>
    <w:pPr>
      <w:spacing w:before="100" w:beforeAutospacing="1" w:after="100" w:afterAutospacing="1"/>
    </w:pPr>
    <w:rPr>
      <w:lang w:val="en-US" w:eastAsia="en-US"/>
    </w:rPr>
  </w:style>
  <w:style w:type="character" w:styleId="FootnoteReference">
    <w:name w:val="footnote reference"/>
    <w:aliases w:val=" BVI fnr,BVI fnr"/>
    <w:rsid w:val="007E3897"/>
    <w:rPr>
      <w:vertAlign w:val="superscript"/>
    </w:rPr>
  </w:style>
  <w:style w:type="character" w:customStyle="1" w:styleId="apple-converted-space">
    <w:name w:val="apple-converted-space"/>
    <w:basedOn w:val="DefaultParagraphFont"/>
    <w:rsid w:val="007E3897"/>
  </w:style>
  <w:style w:type="character" w:customStyle="1" w:styleId="normalchar1">
    <w:name w:val="normal__char1"/>
    <w:rsid w:val="007E3897"/>
    <w:rPr>
      <w:rFonts w:ascii="Times New Roman" w:hAnsi="Times New Roman" w:cs="Times New Roman" w:hint="default"/>
      <w:strike w:val="0"/>
      <w:dstrike w:val="0"/>
      <w:sz w:val="24"/>
      <w:szCs w:val="24"/>
      <w:u w:val="none"/>
      <w:effect w:val="none"/>
    </w:rPr>
  </w:style>
  <w:style w:type="paragraph" w:styleId="NoSpacing">
    <w:name w:val="No Spacing"/>
    <w:link w:val="NoSpacingChar"/>
    <w:uiPriority w:val="1"/>
    <w:qFormat/>
    <w:rsid w:val="007E3897"/>
    <w:pPr>
      <w:spacing w:after="0" w:line="240" w:lineRule="auto"/>
    </w:pPr>
    <w:rPr>
      <w:rFonts w:ascii="Calibri" w:eastAsia="MS Mincho" w:hAnsi="Calibri" w:cs="Arial"/>
      <w:lang w:val="en-US" w:eastAsia="ja-JP"/>
    </w:rPr>
  </w:style>
  <w:style w:type="character" w:customStyle="1" w:styleId="NoSpacingChar">
    <w:name w:val="No Spacing Char"/>
    <w:link w:val="NoSpacing"/>
    <w:uiPriority w:val="99"/>
    <w:rsid w:val="007E3897"/>
    <w:rPr>
      <w:rFonts w:ascii="Calibri" w:eastAsia="MS Mincho" w:hAnsi="Calibri" w:cs="Arial"/>
      <w:lang w:val="en-US" w:eastAsia="ja-JP"/>
    </w:rPr>
  </w:style>
  <w:style w:type="character" w:customStyle="1" w:styleId="hl">
    <w:name w:val="hl"/>
    <w:basedOn w:val="DefaultParagraphFont"/>
    <w:rsid w:val="007E3897"/>
  </w:style>
  <w:style w:type="character" w:customStyle="1" w:styleId="FollowedHyperlink1">
    <w:name w:val="FollowedHyperlink1"/>
    <w:basedOn w:val="DefaultParagraphFont"/>
    <w:semiHidden/>
    <w:unhideWhenUsed/>
    <w:rsid w:val="007E3897"/>
    <w:rPr>
      <w:color w:val="800080"/>
      <w:u w:val="single"/>
    </w:rPr>
  </w:style>
  <w:style w:type="character" w:styleId="FollowedHyperlink">
    <w:name w:val="FollowedHyperlink"/>
    <w:basedOn w:val="DefaultParagraphFont"/>
    <w:uiPriority w:val="99"/>
    <w:unhideWhenUsed/>
    <w:rsid w:val="007E3897"/>
    <w:rPr>
      <w:color w:val="800080" w:themeColor="followedHyperlink"/>
      <w:u w:val="single"/>
    </w:rPr>
  </w:style>
  <w:style w:type="numbering" w:customStyle="1" w:styleId="NoList2">
    <w:name w:val="No List2"/>
    <w:next w:val="NoList"/>
    <w:uiPriority w:val="99"/>
    <w:semiHidden/>
    <w:unhideWhenUsed/>
    <w:rsid w:val="00E32EE5"/>
  </w:style>
  <w:style w:type="numbering" w:customStyle="1" w:styleId="NoList11">
    <w:name w:val="No List11"/>
    <w:next w:val="NoList"/>
    <w:uiPriority w:val="99"/>
    <w:semiHidden/>
    <w:unhideWhenUsed/>
    <w:rsid w:val="00E32EE5"/>
  </w:style>
  <w:style w:type="table" w:customStyle="1" w:styleId="TableGrid3">
    <w:name w:val="Table Grid3"/>
    <w:basedOn w:val="TableNormal"/>
    <w:next w:val="TableGrid"/>
    <w:uiPriority w:val="39"/>
    <w:rsid w:val="00E32EE5"/>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cterCharCharCaracterCaracterCharCharChar">
    <w:name w:val="Caracter Char Char Caracter Caracter Char Char Char"/>
    <w:basedOn w:val="Normal"/>
    <w:rsid w:val="00E32EE5"/>
    <w:pPr>
      <w:spacing w:before="40"/>
    </w:pPr>
    <w:rPr>
      <w:rFonts w:eastAsia="Calibri"/>
      <w:lang w:val="pl-PL" w:eastAsia="pl-PL"/>
    </w:rPr>
  </w:style>
  <w:style w:type="table" w:customStyle="1" w:styleId="TableGrid11">
    <w:name w:val="Table Grid11"/>
    <w:rsid w:val="00E32EE5"/>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rsid w:val="00E32EE5"/>
    <w:rPr>
      <w:rFonts w:ascii="Courier New" w:eastAsia="Calibri" w:hAnsi="Courier New"/>
      <w:b/>
      <w:smallCaps/>
      <w:sz w:val="20"/>
      <w:szCs w:val="20"/>
    </w:rPr>
  </w:style>
  <w:style w:type="character" w:customStyle="1" w:styleId="PlainTextChar">
    <w:name w:val="Plain Text Char"/>
    <w:basedOn w:val="DefaultParagraphFont"/>
    <w:link w:val="PlainText"/>
    <w:uiPriority w:val="99"/>
    <w:rsid w:val="00E32EE5"/>
    <w:rPr>
      <w:rFonts w:ascii="Courier New" w:eastAsia="Calibri" w:hAnsi="Courier New" w:cs="Times New Roman"/>
      <w:b/>
      <w:smallCaps/>
      <w:sz w:val="20"/>
      <w:szCs w:val="20"/>
    </w:rPr>
  </w:style>
  <w:style w:type="character" w:customStyle="1" w:styleId="HeaderChar1">
    <w:name w:val="Header Char1"/>
    <w:locked/>
    <w:rsid w:val="00E32EE5"/>
    <w:rPr>
      <w:rFonts w:ascii="Times New Roman" w:eastAsia="Calibri" w:hAnsi="Times New Roman" w:cs="Times New Roman"/>
      <w:sz w:val="24"/>
      <w:szCs w:val="20"/>
    </w:rPr>
  </w:style>
  <w:style w:type="character" w:customStyle="1" w:styleId="FooterChar1">
    <w:name w:val="Footer Char1"/>
    <w:rsid w:val="00E32EE5"/>
    <w:rPr>
      <w:sz w:val="24"/>
      <w:lang w:val="ro-RO" w:eastAsia="ro-RO"/>
    </w:rPr>
  </w:style>
  <w:style w:type="paragraph" w:customStyle="1" w:styleId="CVNormal">
    <w:name w:val="CV Normal"/>
    <w:basedOn w:val="Normal"/>
    <w:rsid w:val="00E32EE5"/>
    <w:pPr>
      <w:suppressAutoHyphens/>
      <w:ind w:left="113" w:right="113"/>
    </w:pPr>
    <w:rPr>
      <w:rFonts w:ascii="Arial Narrow" w:eastAsia="Calibri" w:hAnsi="Arial Narrow"/>
      <w:sz w:val="20"/>
      <w:szCs w:val="20"/>
      <w:lang w:eastAsia="ar-SA"/>
    </w:rPr>
  </w:style>
  <w:style w:type="paragraph" w:customStyle="1" w:styleId="yiv833873877msonormal">
    <w:name w:val="yiv833873877msonormal"/>
    <w:basedOn w:val="Normal"/>
    <w:rsid w:val="00E32EE5"/>
    <w:pPr>
      <w:spacing w:before="100" w:beforeAutospacing="1" w:after="100" w:afterAutospacing="1"/>
    </w:pPr>
    <w:rPr>
      <w:rFonts w:eastAsia="Calibri"/>
      <w:lang w:val="en-US" w:eastAsia="en-US"/>
    </w:rPr>
  </w:style>
  <w:style w:type="character" w:styleId="Emphasis">
    <w:name w:val="Emphasis"/>
    <w:qFormat/>
    <w:rsid w:val="00E32EE5"/>
    <w:rPr>
      <w:rFonts w:cs="Times New Roman"/>
      <w:i/>
    </w:rPr>
  </w:style>
  <w:style w:type="paragraph" w:styleId="Subtitle">
    <w:name w:val="Subtitle"/>
    <w:basedOn w:val="Normal"/>
    <w:next w:val="Normal"/>
    <w:link w:val="SubtitleChar"/>
    <w:qFormat/>
    <w:rsid w:val="00E32EE5"/>
    <w:pPr>
      <w:spacing w:after="60"/>
      <w:jc w:val="center"/>
      <w:outlineLvl w:val="1"/>
    </w:pPr>
    <w:rPr>
      <w:rFonts w:ascii="Trebuchet MS" w:eastAsia="Calibri" w:hAnsi="Trebuchet MS"/>
    </w:rPr>
  </w:style>
  <w:style w:type="character" w:customStyle="1" w:styleId="SubtitleChar">
    <w:name w:val="Subtitle Char"/>
    <w:basedOn w:val="DefaultParagraphFont"/>
    <w:link w:val="Subtitle"/>
    <w:rsid w:val="00E32EE5"/>
    <w:rPr>
      <w:rFonts w:ascii="Trebuchet MS" w:eastAsia="Calibri" w:hAnsi="Trebuchet MS" w:cs="Times New Roman"/>
      <w:sz w:val="24"/>
      <w:szCs w:val="24"/>
      <w:lang w:eastAsia="ro-RO"/>
    </w:rPr>
  </w:style>
  <w:style w:type="character" w:customStyle="1" w:styleId="CharChar2">
    <w:name w:val="Char Char2"/>
    <w:rsid w:val="00E32EE5"/>
    <w:rPr>
      <w:sz w:val="24"/>
    </w:rPr>
  </w:style>
  <w:style w:type="character" w:customStyle="1" w:styleId="apple-style-span">
    <w:name w:val="apple-style-span"/>
    <w:rsid w:val="00E32EE5"/>
  </w:style>
  <w:style w:type="character" w:customStyle="1" w:styleId="yshortcuts">
    <w:name w:val="yshortcuts"/>
    <w:rsid w:val="00E32EE5"/>
  </w:style>
  <w:style w:type="table" w:customStyle="1" w:styleId="TableGrid21">
    <w:name w:val="Table Grid21"/>
    <w:rsid w:val="00E32EE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E32EE5"/>
    <w:pPr>
      <w:spacing w:after="120" w:line="276" w:lineRule="auto"/>
      <w:ind w:left="283"/>
    </w:pPr>
    <w:rPr>
      <w:rFonts w:ascii="Calibri" w:hAnsi="Calibri"/>
      <w:sz w:val="22"/>
      <w:szCs w:val="22"/>
    </w:rPr>
  </w:style>
  <w:style w:type="character" w:customStyle="1" w:styleId="BodyTextIndentChar">
    <w:name w:val="Body Text Indent Char"/>
    <w:basedOn w:val="DefaultParagraphFont"/>
    <w:link w:val="BodyTextIndent"/>
    <w:rsid w:val="00E32EE5"/>
    <w:rPr>
      <w:rFonts w:ascii="Calibri" w:eastAsia="Times New Roman" w:hAnsi="Calibri" w:cs="Times New Roman"/>
    </w:rPr>
  </w:style>
  <w:style w:type="paragraph" w:customStyle="1" w:styleId="CaracterCaracter1">
    <w:name w:val="Caracter Caracter1"/>
    <w:basedOn w:val="Normal"/>
    <w:rsid w:val="00E32EE5"/>
    <w:pPr>
      <w:spacing w:before="40"/>
    </w:pPr>
    <w:rPr>
      <w:lang w:val="pl-PL" w:eastAsia="pl-PL"/>
    </w:rPr>
  </w:style>
  <w:style w:type="paragraph" w:styleId="BlockText">
    <w:name w:val="Block Text"/>
    <w:basedOn w:val="Normal"/>
    <w:semiHidden/>
    <w:rsid w:val="00E32EE5"/>
    <w:pPr>
      <w:ind w:left="-374" w:right="-1602"/>
    </w:pPr>
    <w:rPr>
      <w:szCs w:val="20"/>
      <w:lang w:eastAsia="en-US"/>
    </w:rPr>
  </w:style>
  <w:style w:type="paragraph" w:styleId="BodyText3">
    <w:name w:val="Body Text 3"/>
    <w:basedOn w:val="Normal"/>
    <w:link w:val="BodyText3Char"/>
    <w:uiPriority w:val="99"/>
    <w:rsid w:val="00E32EE5"/>
    <w:pPr>
      <w:jc w:val="both"/>
    </w:pPr>
    <w:rPr>
      <w:rFonts w:ascii="Arial" w:hAnsi="Arial"/>
      <w:b/>
      <w:szCs w:val="20"/>
      <w:lang w:eastAsia="en-US"/>
    </w:rPr>
  </w:style>
  <w:style w:type="character" w:customStyle="1" w:styleId="BodyText3Char">
    <w:name w:val="Body Text 3 Char"/>
    <w:basedOn w:val="DefaultParagraphFont"/>
    <w:link w:val="BodyText3"/>
    <w:uiPriority w:val="99"/>
    <w:rsid w:val="00E32EE5"/>
    <w:rPr>
      <w:rFonts w:ascii="Arial" w:eastAsia="Times New Roman" w:hAnsi="Arial" w:cs="Times New Roman"/>
      <w:b/>
      <w:sz w:val="24"/>
      <w:szCs w:val="20"/>
    </w:rPr>
  </w:style>
  <w:style w:type="paragraph" w:styleId="BodyTextIndent3">
    <w:name w:val="Body Text Indent 3"/>
    <w:basedOn w:val="Normal"/>
    <w:link w:val="BodyTextIndent3Char"/>
    <w:rsid w:val="00E32EE5"/>
    <w:pPr>
      <w:spacing w:line="360" w:lineRule="auto"/>
      <w:ind w:firstLine="720"/>
      <w:jc w:val="both"/>
    </w:pPr>
    <w:rPr>
      <w:szCs w:val="20"/>
      <w:lang w:eastAsia="en-US"/>
    </w:rPr>
  </w:style>
  <w:style w:type="character" w:customStyle="1" w:styleId="BodyTextIndent3Char">
    <w:name w:val="Body Text Indent 3 Char"/>
    <w:basedOn w:val="DefaultParagraphFont"/>
    <w:link w:val="BodyTextIndent3"/>
    <w:rsid w:val="00E32EE5"/>
    <w:rPr>
      <w:rFonts w:ascii="Times New Roman" w:eastAsia="Times New Roman" w:hAnsi="Times New Roman" w:cs="Times New Roman"/>
      <w:sz w:val="24"/>
      <w:szCs w:val="20"/>
    </w:rPr>
  </w:style>
  <w:style w:type="paragraph" w:styleId="ListBullet">
    <w:name w:val="List Bullet"/>
    <w:basedOn w:val="Normal"/>
    <w:autoRedefine/>
    <w:semiHidden/>
    <w:rsid w:val="00E32EE5"/>
    <w:pPr>
      <w:numPr>
        <w:numId w:val="22"/>
      </w:numPr>
    </w:pPr>
    <w:rPr>
      <w:lang w:val="en-US" w:eastAsia="en-US"/>
    </w:rPr>
  </w:style>
  <w:style w:type="paragraph" w:customStyle="1" w:styleId="text">
    <w:name w:val="text"/>
    <w:basedOn w:val="Normal"/>
    <w:rsid w:val="00E32EE5"/>
    <w:pPr>
      <w:spacing w:before="120" w:after="60" w:line="240" w:lineRule="atLeast"/>
      <w:ind w:firstLine="600"/>
      <w:jc w:val="both"/>
    </w:pPr>
    <w:rPr>
      <w:rFonts w:ascii="Book Antiqua" w:hAnsi="Book Antiqua"/>
      <w:sz w:val="21"/>
      <w:szCs w:val="21"/>
      <w:lang w:val="en-US" w:eastAsia="en-US"/>
    </w:rPr>
  </w:style>
  <w:style w:type="character" w:styleId="HTMLTypewriter">
    <w:name w:val="HTML Typewriter"/>
    <w:semiHidden/>
    <w:rsid w:val="00E32EE5"/>
    <w:rPr>
      <w:rFonts w:ascii="Arial Unicode MS" w:eastAsia="Arial Unicode MS" w:hAnsi="Arial Unicode MS" w:cs="Arial Unicode MS"/>
      <w:sz w:val="20"/>
      <w:szCs w:val="20"/>
    </w:rPr>
  </w:style>
  <w:style w:type="paragraph" w:styleId="HTMLPreformatted">
    <w:name w:val="HTML Preformatted"/>
    <w:basedOn w:val="Normal"/>
    <w:link w:val="HTMLPreformattedChar"/>
    <w:semiHidden/>
    <w:rsid w:val="00E3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customStyle="1" w:styleId="HTMLPreformattedChar">
    <w:name w:val="HTML Preformatted Char"/>
    <w:basedOn w:val="DefaultParagraphFont"/>
    <w:link w:val="HTMLPreformatted"/>
    <w:semiHidden/>
    <w:rsid w:val="00E32EE5"/>
    <w:rPr>
      <w:rFonts w:ascii="Arial Unicode MS" w:eastAsia="Arial Unicode MS" w:hAnsi="Arial Unicode MS" w:cs="Arial Unicode MS"/>
      <w:sz w:val="24"/>
      <w:szCs w:val="24"/>
      <w:lang w:eastAsia="ro-RO"/>
    </w:rPr>
  </w:style>
  <w:style w:type="character" w:customStyle="1" w:styleId="documente1">
    <w:name w:val="documente1"/>
    <w:rsid w:val="00E32EE5"/>
    <w:rPr>
      <w:rFonts w:ascii="Arial" w:hAnsi="Arial" w:cs="Arial" w:hint="default"/>
      <w:b w:val="0"/>
      <w:bCs w:val="0"/>
      <w:i w:val="0"/>
      <w:iCs w:val="0"/>
      <w:smallCaps w:val="0"/>
      <w:color w:val="000099"/>
      <w:spacing w:val="0"/>
      <w:sz w:val="18"/>
      <w:szCs w:val="18"/>
    </w:rPr>
  </w:style>
  <w:style w:type="paragraph" w:styleId="TOC4">
    <w:name w:val="toc 4"/>
    <w:basedOn w:val="Normal"/>
    <w:next w:val="Normal"/>
    <w:autoRedefine/>
    <w:semiHidden/>
    <w:rsid w:val="00E32EE5"/>
    <w:pPr>
      <w:ind w:left="600"/>
    </w:pPr>
    <w:rPr>
      <w:sz w:val="20"/>
      <w:szCs w:val="20"/>
      <w:lang w:eastAsia="en-US"/>
    </w:rPr>
  </w:style>
  <w:style w:type="paragraph" w:styleId="TOC5">
    <w:name w:val="toc 5"/>
    <w:basedOn w:val="Normal"/>
    <w:next w:val="Normal"/>
    <w:autoRedefine/>
    <w:semiHidden/>
    <w:rsid w:val="00E32EE5"/>
    <w:pPr>
      <w:ind w:left="800"/>
    </w:pPr>
    <w:rPr>
      <w:sz w:val="20"/>
      <w:szCs w:val="20"/>
      <w:lang w:eastAsia="en-US"/>
    </w:rPr>
  </w:style>
  <w:style w:type="paragraph" w:styleId="TOC6">
    <w:name w:val="toc 6"/>
    <w:basedOn w:val="Normal"/>
    <w:next w:val="Normal"/>
    <w:autoRedefine/>
    <w:semiHidden/>
    <w:rsid w:val="00E32EE5"/>
    <w:pPr>
      <w:ind w:left="1000"/>
    </w:pPr>
    <w:rPr>
      <w:sz w:val="20"/>
      <w:szCs w:val="20"/>
      <w:lang w:eastAsia="en-US"/>
    </w:rPr>
  </w:style>
  <w:style w:type="paragraph" w:styleId="TOC7">
    <w:name w:val="toc 7"/>
    <w:basedOn w:val="Normal"/>
    <w:next w:val="Normal"/>
    <w:autoRedefine/>
    <w:semiHidden/>
    <w:rsid w:val="00E32EE5"/>
    <w:pPr>
      <w:ind w:left="1200"/>
    </w:pPr>
    <w:rPr>
      <w:sz w:val="20"/>
      <w:szCs w:val="20"/>
      <w:lang w:eastAsia="en-US"/>
    </w:rPr>
  </w:style>
  <w:style w:type="paragraph" w:styleId="TOC8">
    <w:name w:val="toc 8"/>
    <w:basedOn w:val="Normal"/>
    <w:next w:val="Normal"/>
    <w:autoRedefine/>
    <w:semiHidden/>
    <w:rsid w:val="00E32EE5"/>
    <w:pPr>
      <w:ind w:left="1400"/>
    </w:pPr>
    <w:rPr>
      <w:sz w:val="20"/>
      <w:szCs w:val="20"/>
      <w:lang w:eastAsia="en-US"/>
    </w:rPr>
  </w:style>
  <w:style w:type="paragraph" w:styleId="TOC9">
    <w:name w:val="toc 9"/>
    <w:basedOn w:val="Normal"/>
    <w:next w:val="Normal"/>
    <w:autoRedefine/>
    <w:semiHidden/>
    <w:rsid w:val="00E32EE5"/>
    <w:pPr>
      <w:ind w:left="1600"/>
    </w:pPr>
    <w:rPr>
      <w:sz w:val="20"/>
      <w:szCs w:val="20"/>
      <w:lang w:eastAsia="en-US"/>
    </w:rPr>
  </w:style>
  <w:style w:type="paragraph" w:customStyle="1" w:styleId="BalloonText1">
    <w:name w:val="Balloon Text1"/>
    <w:basedOn w:val="Normal"/>
    <w:semiHidden/>
    <w:rsid w:val="00E32EE5"/>
    <w:rPr>
      <w:rFonts w:ascii="Tahoma" w:hAnsi="Tahoma" w:cs="Tahoma"/>
      <w:sz w:val="16"/>
      <w:szCs w:val="16"/>
      <w:lang w:eastAsia="en-US"/>
    </w:rPr>
  </w:style>
  <w:style w:type="paragraph" w:customStyle="1" w:styleId="xl22">
    <w:name w:val="xl22"/>
    <w:basedOn w:val="Normal"/>
    <w:rsid w:val="00E32EE5"/>
    <w:pPr>
      <w:spacing w:before="100" w:beforeAutospacing="1" w:after="100" w:afterAutospacing="1"/>
    </w:pPr>
    <w:rPr>
      <w:rFonts w:eastAsia="Arial Unicode MS"/>
      <w:sz w:val="18"/>
      <w:szCs w:val="18"/>
    </w:rPr>
  </w:style>
  <w:style w:type="paragraph" w:customStyle="1" w:styleId="CaracterCharCharCaracterCaracterCharCharChar1">
    <w:name w:val="Caracter Char Char Caracter Caracter Char Char Char1"/>
    <w:basedOn w:val="Normal"/>
    <w:rsid w:val="00E32EE5"/>
    <w:pPr>
      <w:spacing w:before="40"/>
    </w:pPr>
    <w:rPr>
      <w:lang w:val="pl-PL" w:eastAsia="pl-PL"/>
    </w:rPr>
  </w:style>
  <w:style w:type="paragraph" w:customStyle="1" w:styleId="CharCharChar">
    <w:name w:val="Char Char Char"/>
    <w:basedOn w:val="Normal"/>
    <w:rsid w:val="00E32EE5"/>
    <w:rPr>
      <w:lang w:val="pl-PL" w:eastAsia="pl-PL"/>
    </w:rPr>
  </w:style>
  <w:style w:type="paragraph" w:customStyle="1" w:styleId="CaracterCaracter">
    <w:name w:val="Caracter Caracter"/>
    <w:basedOn w:val="Normal"/>
    <w:rsid w:val="00E32EE5"/>
    <w:rPr>
      <w:lang w:val="pl-PL" w:eastAsia="pl-PL"/>
    </w:rPr>
  </w:style>
  <w:style w:type="paragraph" w:customStyle="1" w:styleId="CharCharChar1">
    <w:name w:val="Char Char Char1"/>
    <w:basedOn w:val="Normal"/>
    <w:rsid w:val="00E32EE5"/>
    <w:rPr>
      <w:lang w:val="pl-PL" w:eastAsia="pl-PL"/>
    </w:rPr>
  </w:style>
  <w:style w:type="paragraph" w:customStyle="1" w:styleId="CaracterCaracter2">
    <w:name w:val="Caracter Caracter2"/>
    <w:basedOn w:val="Normal"/>
    <w:rsid w:val="00E32EE5"/>
    <w:rPr>
      <w:lang w:val="pl-PL" w:eastAsia="pl-PL"/>
    </w:rPr>
  </w:style>
  <w:style w:type="table" w:styleId="TableElegant">
    <w:name w:val="Table Elegant"/>
    <w:basedOn w:val="TableNormal"/>
    <w:rsid w:val="00E32EE5"/>
    <w:pPr>
      <w:spacing w:after="0" w:line="240" w:lineRule="auto"/>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Char">
    <w:name w:val="Char"/>
    <w:basedOn w:val="Normal"/>
    <w:rsid w:val="00E32EE5"/>
    <w:pPr>
      <w:spacing w:before="40"/>
    </w:pPr>
    <w:rPr>
      <w:lang w:val="pl-PL" w:eastAsia="pl-PL"/>
    </w:rPr>
  </w:style>
  <w:style w:type="paragraph" w:customStyle="1" w:styleId="Listparagraf2">
    <w:name w:val="Listă paragraf2"/>
    <w:basedOn w:val="Normal"/>
    <w:uiPriority w:val="34"/>
    <w:qFormat/>
    <w:rsid w:val="00E32EE5"/>
    <w:pPr>
      <w:spacing w:after="200" w:line="276" w:lineRule="auto"/>
      <w:ind w:left="720"/>
      <w:contextualSpacing/>
    </w:pPr>
    <w:rPr>
      <w:rFonts w:ascii="Calibri" w:eastAsia="Calibri" w:hAnsi="Calibri"/>
      <w:sz w:val="22"/>
      <w:szCs w:val="22"/>
      <w:lang w:eastAsia="en-US"/>
    </w:rPr>
  </w:style>
  <w:style w:type="paragraph" w:customStyle="1" w:styleId="Listparagraf1">
    <w:name w:val="Listă paragraf1"/>
    <w:basedOn w:val="Normal"/>
    <w:qFormat/>
    <w:rsid w:val="00E32EE5"/>
    <w:pPr>
      <w:spacing w:after="200" w:line="276" w:lineRule="auto"/>
      <w:ind w:left="720"/>
      <w:contextualSpacing/>
    </w:pPr>
    <w:rPr>
      <w:rFonts w:ascii="Calibri" w:hAnsi="Calibri"/>
      <w:sz w:val="22"/>
      <w:szCs w:val="22"/>
      <w:lang w:val="en-US" w:eastAsia="en-US"/>
    </w:rPr>
  </w:style>
  <w:style w:type="character" w:customStyle="1" w:styleId="txtorange">
    <w:name w:val="txt_orange"/>
    <w:basedOn w:val="DefaultParagraphFont"/>
    <w:rsid w:val="00E32EE5"/>
  </w:style>
  <w:style w:type="character" w:customStyle="1" w:styleId="textnews">
    <w:name w:val="textnews"/>
    <w:rsid w:val="00E32EE5"/>
    <w:rPr>
      <w:rFonts w:ascii="Arial" w:hAnsi="Arial" w:cs="Arial" w:hint="default"/>
      <w:color w:val="FFFFFF"/>
      <w:sz w:val="18"/>
      <w:szCs w:val="18"/>
    </w:rPr>
  </w:style>
  <w:style w:type="paragraph" w:styleId="DocumentMap">
    <w:name w:val="Document Map"/>
    <w:basedOn w:val="Normal"/>
    <w:link w:val="DocumentMapChar"/>
    <w:semiHidden/>
    <w:rsid w:val="00E32EE5"/>
    <w:pPr>
      <w:shd w:val="clear" w:color="auto" w:fill="000080"/>
      <w:spacing w:after="200" w:line="276" w:lineRule="auto"/>
    </w:pPr>
    <w:rPr>
      <w:rFonts w:ascii="Tahoma" w:hAnsi="Tahoma" w:cs="Tahoma"/>
      <w:sz w:val="20"/>
      <w:szCs w:val="20"/>
      <w:lang w:val="en-US" w:eastAsia="en-US"/>
    </w:rPr>
  </w:style>
  <w:style w:type="character" w:customStyle="1" w:styleId="DocumentMapChar">
    <w:name w:val="Document Map Char"/>
    <w:basedOn w:val="DefaultParagraphFont"/>
    <w:link w:val="DocumentMap"/>
    <w:semiHidden/>
    <w:rsid w:val="00E32EE5"/>
    <w:rPr>
      <w:rFonts w:ascii="Tahoma" w:eastAsia="Times New Roman" w:hAnsi="Tahoma" w:cs="Tahoma"/>
      <w:sz w:val="20"/>
      <w:szCs w:val="20"/>
      <w:shd w:val="clear" w:color="auto" w:fill="000080"/>
      <w:lang w:val="en-US"/>
    </w:rPr>
  </w:style>
  <w:style w:type="numbering" w:customStyle="1" w:styleId="NoList111">
    <w:name w:val="No List111"/>
    <w:next w:val="NoList"/>
    <w:semiHidden/>
    <w:rsid w:val="00E32EE5"/>
  </w:style>
  <w:style w:type="table" w:customStyle="1" w:styleId="TableGrid31">
    <w:name w:val="Table Grid31"/>
    <w:basedOn w:val="TableNormal"/>
    <w:next w:val="TableGrid"/>
    <w:rsid w:val="00E32EE5"/>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32EE5"/>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32EE5"/>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semiHidden/>
    <w:rsid w:val="00E32EE5"/>
  </w:style>
  <w:style w:type="character" w:customStyle="1" w:styleId="style24">
    <w:name w:val="style24"/>
    <w:rsid w:val="00E32EE5"/>
  </w:style>
  <w:style w:type="table" w:customStyle="1" w:styleId="TableGrid6">
    <w:name w:val="Table Grid6"/>
    <w:basedOn w:val="TableNormal"/>
    <w:next w:val="TableGrid"/>
    <w:rsid w:val="00E32EE5"/>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5421903721msonormal">
    <w:name w:val="yiv5421903721msonormal"/>
    <w:basedOn w:val="Normal"/>
    <w:rsid w:val="00E32EE5"/>
    <w:pPr>
      <w:spacing w:before="100" w:beforeAutospacing="1" w:after="100" w:afterAutospacing="1"/>
    </w:pPr>
    <w:rPr>
      <w:lang w:val="en-US" w:eastAsia="en-US"/>
    </w:rPr>
  </w:style>
  <w:style w:type="character" w:customStyle="1" w:styleId="xar-quote">
    <w:name w:val="xar-quote"/>
    <w:rsid w:val="00E32EE5"/>
  </w:style>
  <w:style w:type="numbering" w:customStyle="1" w:styleId="NoList3">
    <w:name w:val="No List3"/>
    <w:next w:val="NoList"/>
    <w:semiHidden/>
    <w:rsid w:val="00E32EE5"/>
  </w:style>
  <w:style w:type="table" w:customStyle="1" w:styleId="TableGrid7">
    <w:name w:val="Table Grid7"/>
    <w:basedOn w:val="TableNormal"/>
    <w:next w:val="TableGrid"/>
    <w:rsid w:val="00E32EE5"/>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rsid w:val="00E32EE5"/>
    <w:rPr>
      <w:rFonts w:ascii="CG Times" w:hAnsi="CG Times"/>
      <w:sz w:val="20"/>
      <w:szCs w:val="20"/>
    </w:rPr>
  </w:style>
  <w:style w:type="character" w:customStyle="1" w:styleId="CommentTextChar">
    <w:name w:val="Comment Text Char"/>
    <w:basedOn w:val="DefaultParagraphFont"/>
    <w:link w:val="CommentText"/>
    <w:rsid w:val="00E32EE5"/>
    <w:rPr>
      <w:rFonts w:ascii="CG Times" w:eastAsia="Times New Roman" w:hAnsi="CG Times" w:cs="Times New Roman"/>
      <w:sz w:val="20"/>
      <w:szCs w:val="20"/>
      <w:lang w:eastAsia="ro-RO"/>
    </w:rPr>
  </w:style>
  <w:style w:type="numbering" w:customStyle="1" w:styleId="NoList4">
    <w:name w:val="No List4"/>
    <w:next w:val="NoList"/>
    <w:semiHidden/>
    <w:rsid w:val="00E32EE5"/>
  </w:style>
  <w:style w:type="table" w:customStyle="1" w:styleId="TableGrid8">
    <w:name w:val="Table Grid8"/>
    <w:basedOn w:val="TableNormal"/>
    <w:next w:val="TableGrid"/>
    <w:rsid w:val="00E32EE5"/>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E32EE5"/>
    <w:rPr>
      <w:lang w:val="pl-PL" w:eastAsia="pl-PL"/>
    </w:rPr>
  </w:style>
  <w:style w:type="character" w:customStyle="1" w:styleId="l5alnt">
    <w:name w:val="l5alnt"/>
    <w:rsid w:val="00E32EE5"/>
  </w:style>
  <w:style w:type="numbering" w:customStyle="1" w:styleId="NoList5">
    <w:name w:val="No List5"/>
    <w:next w:val="NoList"/>
    <w:uiPriority w:val="99"/>
    <w:semiHidden/>
    <w:unhideWhenUsed/>
    <w:rsid w:val="00E32EE5"/>
  </w:style>
  <w:style w:type="table" w:customStyle="1" w:styleId="TableGrid9">
    <w:name w:val="Table Grid9"/>
    <w:basedOn w:val="TableNormal"/>
    <w:next w:val="TableGrid"/>
    <w:rsid w:val="00E32EE5"/>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semiHidden/>
    <w:rsid w:val="00E32EE5"/>
  </w:style>
  <w:style w:type="table" w:customStyle="1" w:styleId="TableGrid10">
    <w:name w:val="Table Grid10"/>
    <w:basedOn w:val="TableNormal"/>
    <w:next w:val="TableGrid"/>
    <w:rsid w:val="00E32EE5"/>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E32EE5"/>
  </w:style>
  <w:style w:type="table" w:customStyle="1" w:styleId="TableGrid111">
    <w:name w:val="Table Grid111"/>
    <w:basedOn w:val="TableNormal"/>
    <w:next w:val="TableGrid"/>
    <w:uiPriority w:val="59"/>
    <w:rsid w:val="00E32EE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E32E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f3">
    <w:name w:val="Listă paragraf3"/>
    <w:basedOn w:val="Normal"/>
    <w:rsid w:val="00E32EE5"/>
    <w:pPr>
      <w:spacing w:after="200" w:line="276" w:lineRule="auto"/>
      <w:ind w:left="720"/>
    </w:pPr>
    <w:rPr>
      <w:rFonts w:ascii="Calibri" w:hAnsi="Calibri"/>
      <w:sz w:val="22"/>
      <w:szCs w:val="22"/>
      <w:lang w:val="en-US" w:eastAsia="en-US"/>
    </w:rPr>
  </w:style>
  <w:style w:type="numbering" w:customStyle="1" w:styleId="NoList7">
    <w:name w:val="No List7"/>
    <w:next w:val="NoList"/>
    <w:semiHidden/>
    <w:rsid w:val="00E32EE5"/>
  </w:style>
  <w:style w:type="table" w:customStyle="1" w:styleId="TableGrid12">
    <w:name w:val="Table Grid12"/>
    <w:basedOn w:val="TableNormal"/>
    <w:next w:val="TableGrid"/>
    <w:rsid w:val="00E32EE5"/>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11">
    <w:name w:val="List Table 3 - Accent 11"/>
    <w:basedOn w:val="TableNormal"/>
    <w:uiPriority w:val="48"/>
    <w:rsid w:val="00E32EE5"/>
    <w:pPr>
      <w:spacing w:after="0" w:line="240" w:lineRule="auto"/>
    </w:p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numbering" w:customStyle="1" w:styleId="NoList8">
    <w:name w:val="No List8"/>
    <w:next w:val="NoList"/>
    <w:uiPriority w:val="99"/>
    <w:semiHidden/>
    <w:unhideWhenUsed/>
    <w:rsid w:val="00E32EE5"/>
  </w:style>
  <w:style w:type="table" w:customStyle="1" w:styleId="TableGrid13">
    <w:name w:val="Table Grid13"/>
    <w:basedOn w:val="TableNormal"/>
    <w:next w:val="TableGrid"/>
    <w:rsid w:val="00E32EE5"/>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pa">
    <w:name w:val="tpa"/>
    <w:rsid w:val="00E32EE5"/>
    <w:rPr>
      <w:rFonts w:cs="Times New Roman"/>
    </w:rPr>
  </w:style>
  <w:style w:type="paragraph" w:customStyle="1" w:styleId="NormalWeb1">
    <w:name w:val="Normal (Web)1"/>
    <w:basedOn w:val="Normal"/>
    <w:rsid w:val="00E32EE5"/>
    <w:rPr>
      <w:color w:val="000000"/>
      <w:lang w:eastAsia="en-US"/>
    </w:rPr>
  </w:style>
  <w:style w:type="character" w:customStyle="1" w:styleId="style61">
    <w:name w:val="style61"/>
    <w:rsid w:val="00E32EE5"/>
    <w:rPr>
      <w:rFonts w:cs="Times New Roman"/>
    </w:rPr>
  </w:style>
  <w:style w:type="character" w:customStyle="1" w:styleId="yiv8814388293">
    <w:name w:val="yiv8814388293"/>
    <w:rsid w:val="00E32EE5"/>
  </w:style>
  <w:style w:type="character" w:customStyle="1" w:styleId="yiv2036095323">
    <w:name w:val="yiv2036095323"/>
    <w:rsid w:val="00E32EE5"/>
  </w:style>
  <w:style w:type="character" w:customStyle="1" w:styleId="yiv4439665995">
    <w:name w:val="yiv4439665995"/>
    <w:rsid w:val="00E32EE5"/>
  </w:style>
  <w:style w:type="character" w:customStyle="1" w:styleId="yiv5469734838">
    <w:name w:val="yiv5469734838"/>
    <w:rsid w:val="00E32EE5"/>
  </w:style>
  <w:style w:type="paragraph" w:customStyle="1" w:styleId="ListParagraph1">
    <w:name w:val="List Paragraph1"/>
    <w:basedOn w:val="Normal"/>
    <w:qFormat/>
    <w:rsid w:val="00E32EE5"/>
    <w:pPr>
      <w:spacing w:after="200" w:line="276" w:lineRule="auto"/>
      <w:ind w:left="720"/>
      <w:contextualSpacing/>
    </w:pPr>
    <w:rPr>
      <w:rFonts w:ascii="Calibri" w:hAnsi="Calibri"/>
      <w:sz w:val="22"/>
      <w:szCs w:val="22"/>
      <w:lang w:val="en-US" w:eastAsia="en-US"/>
    </w:rPr>
  </w:style>
  <w:style w:type="table" w:styleId="LightList-Accent5">
    <w:name w:val="Light List Accent 5"/>
    <w:basedOn w:val="TableNormal"/>
    <w:uiPriority w:val="61"/>
    <w:rsid w:val="00E32EE5"/>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Normal1">
    <w:name w:val="Normal1"/>
    <w:rsid w:val="00E32EE5"/>
    <w:pPr>
      <w:spacing w:after="0"/>
    </w:pPr>
    <w:rPr>
      <w:rFonts w:ascii="Arial" w:eastAsia="Times New Roman" w:hAnsi="Arial" w:cs="Arial"/>
      <w:color w:val="000000"/>
      <w:lang w:val="en-US"/>
    </w:rPr>
  </w:style>
  <w:style w:type="paragraph" w:customStyle="1" w:styleId="TableParagraph">
    <w:name w:val="Table Paragraph"/>
    <w:basedOn w:val="Normal"/>
    <w:uiPriority w:val="1"/>
    <w:qFormat/>
    <w:rsid w:val="00E32EE5"/>
    <w:pPr>
      <w:widowControl w:val="0"/>
    </w:pPr>
    <w:rPr>
      <w:rFonts w:ascii="Calibri" w:eastAsia="Calibri" w:hAnsi="Calibri"/>
      <w:sz w:val="22"/>
      <w:szCs w:val="22"/>
      <w:lang w:val="en-US" w:eastAsia="en-US"/>
    </w:rPr>
  </w:style>
  <w:style w:type="table" w:customStyle="1" w:styleId="TableGrid14">
    <w:name w:val="Table Grid14"/>
    <w:basedOn w:val="TableNormal"/>
    <w:next w:val="TableGrid"/>
    <w:rsid w:val="0053067B"/>
    <w:pPr>
      <w:spacing w:after="0" w:line="240" w:lineRule="auto"/>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rsid w:val="003B4CD3"/>
    <w:pPr>
      <w:spacing w:after="0" w:line="240" w:lineRule="auto"/>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rsid w:val="00FA7658"/>
    <w:pPr>
      <w:spacing w:after="0" w:line="240" w:lineRule="auto"/>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2 Char,List Paragraph11 Char,Lettre d'introduction Char,List Paragraph111 Char,Bullet Points Char,Liste Paragraf Char,Normal bullet 2 Char,Forth level Char,Listă colorată - Accentuare 11 Char,Citation List Char,Header bold Char"/>
    <w:link w:val="ListParagraph"/>
    <w:uiPriority w:val="34"/>
    <w:locked/>
    <w:rsid w:val="003D75C9"/>
    <w:rPr>
      <w:rFonts w:ascii="Times New Roman" w:eastAsia="Times New Roman" w:hAnsi="Times New Roman" w:cs="Times New Roman"/>
      <w:sz w:val="24"/>
      <w:szCs w:val="24"/>
      <w:lang w:eastAsia="ro-RO"/>
    </w:rPr>
  </w:style>
  <w:style w:type="character" w:customStyle="1" w:styleId="NoSpacingChar1">
    <w:name w:val="No Spacing Char1"/>
    <w:uiPriority w:val="1"/>
    <w:locked/>
    <w:rsid w:val="00A76928"/>
    <w:rPr>
      <w:rFonts w:ascii="Times New Roman" w:eastAsia="Calibri" w:hAnsi="Times New Roman"/>
      <w:noProof/>
      <w:sz w:val="22"/>
      <w:szCs w:val="22"/>
      <w:lang w:val="ro-RO" w:eastAsia="en-US" w:bidi="ar-SA"/>
    </w:rPr>
  </w:style>
  <w:style w:type="character" w:customStyle="1" w:styleId="Bodytext20">
    <w:name w:val="Body text (2)_"/>
    <w:basedOn w:val="DefaultParagraphFont"/>
    <w:link w:val="Bodytext21"/>
    <w:rsid w:val="0021568E"/>
    <w:rPr>
      <w:rFonts w:ascii="Times New Roman" w:eastAsia="Times New Roman" w:hAnsi="Times New Roman" w:cs="Times New Roman"/>
      <w:shd w:val="clear" w:color="auto" w:fill="FFFFFF"/>
    </w:rPr>
  </w:style>
  <w:style w:type="character" w:customStyle="1" w:styleId="Bodytext210pt">
    <w:name w:val="Body text (2) + 10 pt"/>
    <w:basedOn w:val="Bodytext20"/>
    <w:rsid w:val="0021568E"/>
    <w:rPr>
      <w:color w:val="000000"/>
      <w:spacing w:val="0"/>
      <w:w w:val="100"/>
      <w:position w:val="0"/>
      <w:sz w:val="20"/>
      <w:szCs w:val="20"/>
      <w:lang w:val="ro-RO" w:eastAsia="ro-RO" w:bidi="ro-RO"/>
    </w:rPr>
  </w:style>
  <w:style w:type="character" w:customStyle="1" w:styleId="Bodytext24">
    <w:name w:val="Body text (2)4"/>
    <w:basedOn w:val="Bodytext20"/>
    <w:rsid w:val="0021568E"/>
    <w:rPr>
      <w:color w:val="000000"/>
      <w:spacing w:val="0"/>
      <w:w w:val="100"/>
      <w:position w:val="0"/>
      <w:u w:val="single"/>
      <w:lang w:val="ro-RO" w:eastAsia="ro-RO" w:bidi="ro-RO"/>
    </w:rPr>
  </w:style>
  <w:style w:type="character" w:customStyle="1" w:styleId="Bodytext9">
    <w:name w:val="Body text (9)_"/>
    <w:basedOn w:val="DefaultParagraphFont"/>
    <w:link w:val="Bodytext90"/>
    <w:rsid w:val="0021568E"/>
    <w:rPr>
      <w:rFonts w:ascii="Times New Roman" w:eastAsia="Times New Roman" w:hAnsi="Times New Roman" w:cs="Times New Roman"/>
      <w:sz w:val="20"/>
      <w:szCs w:val="20"/>
      <w:shd w:val="clear" w:color="auto" w:fill="FFFFFF"/>
    </w:rPr>
  </w:style>
  <w:style w:type="character" w:customStyle="1" w:styleId="Bodytext2Italic1">
    <w:name w:val="Body text (2) + Italic1"/>
    <w:basedOn w:val="Bodytext20"/>
    <w:rsid w:val="0021568E"/>
    <w:rPr>
      <w:i/>
      <w:iCs/>
      <w:color w:val="000000"/>
      <w:spacing w:val="0"/>
      <w:w w:val="100"/>
      <w:position w:val="0"/>
      <w:lang w:val="ro-RO" w:eastAsia="ro-RO" w:bidi="ro-RO"/>
    </w:rPr>
  </w:style>
  <w:style w:type="paragraph" w:customStyle="1" w:styleId="Bodytext21">
    <w:name w:val="Body text (2)1"/>
    <w:basedOn w:val="Normal"/>
    <w:link w:val="Bodytext20"/>
    <w:rsid w:val="0021568E"/>
    <w:pPr>
      <w:widowControl w:val="0"/>
      <w:shd w:val="clear" w:color="auto" w:fill="FFFFFF"/>
      <w:spacing w:before="240" w:line="254" w:lineRule="exact"/>
      <w:ind w:hanging="960"/>
    </w:pPr>
    <w:rPr>
      <w:sz w:val="22"/>
      <w:szCs w:val="22"/>
      <w:lang w:eastAsia="en-US"/>
    </w:rPr>
  </w:style>
  <w:style w:type="paragraph" w:customStyle="1" w:styleId="Bodytext90">
    <w:name w:val="Body text (9)"/>
    <w:basedOn w:val="Normal"/>
    <w:link w:val="Bodytext9"/>
    <w:rsid w:val="0021568E"/>
    <w:pPr>
      <w:widowControl w:val="0"/>
      <w:shd w:val="clear" w:color="auto" w:fill="FFFFFF"/>
      <w:spacing w:line="245" w:lineRule="exact"/>
      <w:ind w:hanging="580"/>
      <w:jc w:val="both"/>
    </w:pPr>
    <w:rPr>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4239108">
      <w:bodyDiv w:val="1"/>
      <w:marLeft w:val="0"/>
      <w:marRight w:val="0"/>
      <w:marTop w:val="0"/>
      <w:marBottom w:val="0"/>
      <w:divBdr>
        <w:top w:val="none" w:sz="0" w:space="0" w:color="auto"/>
        <w:left w:val="none" w:sz="0" w:space="0" w:color="auto"/>
        <w:bottom w:val="none" w:sz="0" w:space="0" w:color="auto"/>
        <w:right w:val="none" w:sz="0" w:space="0" w:color="auto"/>
      </w:divBdr>
    </w:div>
    <w:div w:id="202913398">
      <w:bodyDiv w:val="1"/>
      <w:marLeft w:val="0"/>
      <w:marRight w:val="0"/>
      <w:marTop w:val="0"/>
      <w:marBottom w:val="0"/>
      <w:divBdr>
        <w:top w:val="none" w:sz="0" w:space="0" w:color="auto"/>
        <w:left w:val="none" w:sz="0" w:space="0" w:color="auto"/>
        <w:bottom w:val="none" w:sz="0" w:space="0" w:color="auto"/>
        <w:right w:val="none" w:sz="0" w:space="0" w:color="auto"/>
      </w:divBdr>
    </w:div>
    <w:div w:id="251745569">
      <w:bodyDiv w:val="1"/>
      <w:marLeft w:val="0"/>
      <w:marRight w:val="0"/>
      <w:marTop w:val="0"/>
      <w:marBottom w:val="0"/>
      <w:divBdr>
        <w:top w:val="none" w:sz="0" w:space="0" w:color="auto"/>
        <w:left w:val="none" w:sz="0" w:space="0" w:color="auto"/>
        <w:bottom w:val="none" w:sz="0" w:space="0" w:color="auto"/>
        <w:right w:val="none" w:sz="0" w:space="0" w:color="auto"/>
      </w:divBdr>
    </w:div>
    <w:div w:id="303047936">
      <w:bodyDiv w:val="1"/>
      <w:marLeft w:val="0"/>
      <w:marRight w:val="0"/>
      <w:marTop w:val="0"/>
      <w:marBottom w:val="0"/>
      <w:divBdr>
        <w:top w:val="none" w:sz="0" w:space="0" w:color="auto"/>
        <w:left w:val="none" w:sz="0" w:space="0" w:color="auto"/>
        <w:bottom w:val="none" w:sz="0" w:space="0" w:color="auto"/>
        <w:right w:val="none" w:sz="0" w:space="0" w:color="auto"/>
      </w:divBdr>
    </w:div>
    <w:div w:id="304165401">
      <w:bodyDiv w:val="1"/>
      <w:marLeft w:val="0"/>
      <w:marRight w:val="0"/>
      <w:marTop w:val="0"/>
      <w:marBottom w:val="0"/>
      <w:divBdr>
        <w:top w:val="none" w:sz="0" w:space="0" w:color="auto"/>
        <w:left w:val="none" w:sz="0" w:space="0" w:color="auto"/>
        <w:bottom w:val="none" w:sz="0" w:space="0" w:color="auto"/>
        <w:right w:val="none" w:sz="0" w:space="0" w:color="auto"/>
      </w:divBdr>
    </w:div>
    <w:div w:id="514659026">
      <w:bodyDiv w:val="1"/>
      <w:marLeft w:val="0"/>
      <w:marRight w:val="0"/>
      <w:marTop w:val="0"/>
      <w:marBottom w:val="0"/>
      <w:divBdr>
        <w:top w:val="none" w:sz="0" w:space="0" w:color="auto"/>
        <w:left w:val="none" w:sz="0" w:space="0" w:color="auto"/>
        <w:bottom w:val="none" w:sz="0" w:space="0" w:color="auto"/>
        <w:right w:val="none" w:sz="0" w:space="0" w:color="auto"/>
      </w:divBdr>
    </w:div>
    <w:div w:id="787772538">
      <w:bodyDiv w:val="1"/>
      <w:marLeft w:val="0"/>
      <w:marRight w:val="0"/>
      <w:marTop w:val="0"/>
      <w:marBottom w:val="0"/>
      <w:divBdr>
        <w:top w:val="none" w:sz="0" w:space="0" w:color="auto"/>
        <w:left w:val="none" w:sz="0" w:space="0" w:color="auto"/>
        <w:bottom w:val="none" w:sz="0" w:space="0" w:color="auto"/>
        <w:right w:val="none" w:sz="0" w:space="0" w:color="auto"/>
      </w:divBdr>
      <w:divsChild>
        <w:div w:id="227225434">
          <w:marLeft w:val="0"/>
          <w:marRight w:val="0"/>
          <w:marTop w:val="0"/>
          <w:marBottom w:val="0"/>
          <w:divBdr>
            <w:top w:val="none" w:sz="0" w:space="0" w:color="auto"/>
            <w:left w:val="none" w:sz="0" w:space="0" w:color="auto"/>
            <w:bottom w:val="none" w:sz="0" w:space="0" w:color="auto"/>
            <w:right w:val="none" w:sz="0" w:space="0" w:color="auto"/>
          </w:divBdr>
          <w:divsChild>
            <w:div w:id="1328050006">
              <w:marLeft w:val="0"/>
              <w:marRight w:val="0"/>
              <w:marTop w:val="0"/>
              <w:marBottom w:val="0"/>
              <w:divBdr>
                <w:top w:val="none" w:sz="0" w:space="0" w:color="auto"/>
                <w:left w:val="none" w:sz="0" w:space="0" w:color="auto"/>
                <w:bottom w:val="none" w:sz="0" w:space="0" w:color="auto"/>
                <w:right w:val="none" w:sz="0" w:space="0" w:color="auto"/>
              </w:divBdr>
            </w:div>
            <w:div w:id="475801330">
              <w:marLeft w:val="0"/>
              <w:marRight w:val="0"/>
              <w:marTop w:val="0"/>
              <w:marBottom w:val="0"/>
              <w:divBdr>
                <w:top w:val="none" w:sz="0" w:space="0" w:color="auto"/>
                <w:left w:val="none" w:sz="0" w:space="0" w:color="auto"/>
                <w:bottom w:val="none" w:sz="0" w:space="0" w:color="auto"/>
                <w:right w:val="none" w:sz="0" w:space="0" w:color="auto"/>
              </w:divBdr>
              <w:divsChild>
                <w:div w:id="1768385778">
                  <w:marLeft w:val="0"/>
                  <w:marRight w:val="0"/>
                  <w:marTop w:val="0"/>
                  <w:marBottom w:val="0"/>
                  <w:divBdr>
                    <w:top w:val="none" w:sz="0" w:space="0" w:color="auto"/>
                    <w:left w:val="none" w:sz="0" w:space="0" w:color="auto"/>
                    <w:bottom w:val="none" w:sz="0" w:space="0" w:color="auto"/>
                    <w:right w:val="none" w:sz="0" w:space="0" w:color="auto"/>
                  </w:divBdr>
                  <w:divsChild>
                    <w:div w:id="153434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89126">
              <w:marLeft w:val="0"/>
              <w:marRight w:val="0"/>
              <w:marTop w:val="0"/>
              <w:marBottom w:val="0"/>
              <w:divBdr>
                <w:top w:val="none" w:sz="0" w:space="0" w:color="auto"/>
                <w:left w:val="none" w:sz="0" w:space="0" w:color="auto"/>
                <w:bottom w:val="none" w:sz="0" w:space="0" w:color="auto"/>
                <w:right w:val="none" w:sz="0" w:space="0" w:color="auto"/>
              </w:divBdr>
            </w:div>
            <w:div w:id="47992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34039">
      <w:bodyDiv w:val="1"/>
      <w:marLeft w:val="0"/>
      <w:marRight w:val="0"/>
      <w:marTop w:val="0"/>
      <w:marBottom w:val="0"/>
      <w:divBdr>
        <w:top w:val="none" w:sz="0" w:space="0" w:color="auto"/>
        <w:left w:val="none" w:sz="0" w:space="0" w:color="auto"/>
        <w:bottom w:val="none" w:sz="0" w:space="0" w:color="auto"/>
        <w:right w:val="none" w:sz="0" w:space="0" w:color="auto"/>
      </w:divBdr>
    </w:div>
    <w:div w:id="990794362">
      <w:bodyDiv w:val="1"/>
      <w:marLeft w:val="0"/>
      <w:marRight w:val="0"/>
      <w:marTop w:val="0"/>
      <w:marBottom w:val="0"/>
      <w:divBdr>
        <w:top w:val="none" w:sz="0" w:space="0" w:color="auto"/>
        <w:left w:val="none" w:sz="0" w:space="0" w:color="auto"/>
        <w:bottom w:val="none" w:sz="0" w:space="0" w:color="auto"/>
        <w:right w:val="none" w:sz="0" w:space="0" w:color="auto"/>
      </w:divBdr>
    </w:div>
    <w:div w:id="1199733675">
      <w:bodyDiv w:val="1"/>
      <w:marLeft w:val="0"/>
      <w:marRight w:val="0"/>
      <w:marTop w:val="0"/>
      <w:marBottom w:val="0"/>
      <w:divBdr>
        <w:top w:val="none" w:sz="0" w:space="0" w:color="auto"/>
        <w:left w:val="none" w:sz="0" w:space="0" w:color="auto"/>
        <w:bottom w:val="none" w:sz="0" w:space="0" w:color="auto"/>
        <w:right w:val="none" w:sz="0" w:space="0" w:color="auto"/>
      </w:divBdr>
      <w:divsChild>
        <w:div w:id="545486865">
          <w:marLeft w:val="0"/>
          <w:marRight w:val="0"/>
          <w:marTop w:val="0"/>
          <w:marBottom w:val="0"/>
          <w:divBdr>
            <w:top w:val="none" w:sz="0" w:space="0" w:color="auto"/>
            <w:left w:val="none" w:sz="0" w:space="0" w:color="auto"/>
            <w:bottom w:val="none" w:sz="0" w:space="0" w:color="auto"/>
            <w:right w:val="none" w:sz="0" w:space="0" w:color="auto"/>
          </w:divBdr>
        </w:div>
        <w:div w:id="2022197623">
          <w:marLeft w:val="0"/>
          <w:marRight w:val="0"/>
          <w:marTop w:val="0"/>
          <w:marBottom w:val="120"/>
          <w:divBdr>
            <w:top w:val="none" w:sz="0" w:space="0" w:color="auto"/>
            <w:left w:val="none" w:sz="0" w:space="0" w:color="auto"/>
            <w:bottom w:val="none" w:sz="0" w:space="0" w:color="auto"/>
            <w:right w:val="none" w:sz="0" w:space="0" w:color="auto"/>
          </w:divBdr>
        </w:div>
        <w:div w:id="2006778429">
          <w:marLeft w:val="240"/>
          <w:marRight w:val="0"/>
          <w:marTop w:val="0"/>
          <w:marBottom w:val="240"/>
          <w:divBdr>
            <w:top w:val="single" w:sz="6" w:space="2" w:color="AAAAAA"/>
            <w:left w:val="single" w:sz="6" w:space="2" w:color="AAAAAA"/>
            <w:bottom w:val="single" w:sz="6" w:space="2" w:color="AAAAAA"/>
            <w:right w:val="single" w:sz="6" w:space="2" w:color="AAAAAA"/>
          </w:divBdr>
          <w:divsChild>
            <w:div w:id="1473407597">
              <w:marLeft w:val="0"/>
              <w:marRight w:val="0"/>
              <w:marTop w:val="0"/>
              <w:marBottom w:val="0"/>
              <w:divBdr>
                <w:top w:val="none" w:sz="0" w:space="0" w:color="auto"/>
                <w:left w:val="none" w:sz="0" w:space="0" w:color="auto"/>
                <w:bottom w:val="none" w:sz="0" w:space="0" w:color="auto"/>
                <w:right w:val="none" w:sz="0" w:space="0" w:color="auto"/>
              </w:divBdr>
              <w:divsChild>
                <w:div w:id="1747725751">
                  <w:marLeft w:val="0"/>
                  <w:marRight w:val="0"/>
                  <w:marTop w:val="0"/>
                  <w:marBottom w:val="0"/>
                  <w:divBdr>
                    <w:top w:val="none" w:sz="0" w:space="0" w:color="auto"/>
                    <w:left w:val="none" w:sz="0" w:space="0" w:color="auto"/>
                    <w:bottom w:val="none" w:sz="0" w:space="0" w:color="auto"/>
                    <w:right w:val="none" w:sz="0" w:space="0" w:color="auto"/>
                  </w:divBdr>
                </w:div>
              </w:divsChild>
            </w:div>
            <w:div w:id="180824060">
              <w:marLeft w:val="525"/>
              <w:marRight w:val="0"/>
              <w:marTop w:val="0"/>
              <w:marBottom w:val="0"/>
              <w:divBdr>
                <w:top w:val="none" w:sz="0" w:space="0" w:color="auto"/>
                <w:left w:val="none" w:sz="0" w:space="0" w:color="auto"/>
                <w:bottom w:val="none" w:sz="0" w:space="0" w:color="auto"/>
                <w:right w:val="none" w:sz="0" w:space="0" w:color="auto"/>
              </w:divBdr>
            </w:div>
          </w:divsChild>
        </w:div>
        <w:div w:id="1179659149">
          <w:marLeft w:val="336"/>
          <w:marRight w:val="0"/>
          <w:marTop w:val="120"/>
          <w:marBottom w:val="192"/>
          <w:divBdr>
            <w:top w:val="none" w:sz="0" w:space="0" w:color="auto"/>
            <w:left w:val="none" w:sz="0" w:space="0" w:color="auto"/>
            <w:bottom w:val="none" w:sz="0" w:space="0" w:color="auto"/>
            <w:right w:val="none" w:sz="0" w:space="0" w:color="auto"/>
          </w:divBdr>
          <w:divsChild>
            <w:div w:id="182361658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22058499">
      <w:bodyDiv w:val="1"/>
      <w:marLeft w:val="0"/>
      <w:marRight w:val="0"/>
      <w:marTop w:val="0"/>
      <w:marBottom w:val="0"/>
      <w:divBdr>
        <w:top w:val="none" w:sz="0" w:space="0" w:color="auto"/>
        <w:left w:val="none" w:sz="0" w:space="0" w:color="auto"/>
        <w:bottom w:val="none" w:sz="0" w:space="0" w:color="auto"/>
        <w:right w:val="none" w:sz="0" w:space="0" w:color="auto"/>
      </w:divBdr>
    </w:div>
    <w:div w:id="1230001170">
      <w:bodyDiv w:val="1"/>
      <w:marLeft w:val="0"/>
      <w:marRight w:val="0"/>
      <w:marTop w:val="0"/>
      <w:marBottom w:val="0"/>
      <w:divBdr>
        <w:top w:val="none" w:sz="0" w:space="0" w:color="auto"/>
        <w:left w:val="none" w:sz="0" w:space="0" w:color="auto"/>
        <w:bottom w:val="none" w:sz="0" w:space="0" w:color="auto"/>
        <w:right w:val="none" w:sz="0" w:space="0" w:color="auto"/>
      </w:divBdr>
    </w:div>
    <w:div w:id="1583487267">
      <w:bodyDiv w:val="1"/>
      <w:marLeft w:val="0"/>
      <w:marRight w:val="0"/>
      <w:marTop w:val="0"/>
      <w:marBottom w:val="0"/>
      <w:divBdr>
        <w:top w:val="none" w:sz="0" w:space="0" w:color="auto"/>
        <w:left w:val="none" w:sz="0" w:space="0" w:color="auto"/>
        <w:bottom w:val="none" w:sz="0" w:space="0" w:color="auto"/>
        <w:right w:val="none" w:sz="0" w:space="0" w:color="auto"/>
      </w:divBdr>
    </w:div>
    <w:div w:id="1603222337">
      <w:bodyDiv w:val="1"/>
      <w:marLeft w:val="0"/>
      <w:marRight w:val="0"/>
      <w:marTop w:val="0"/>
      <w:marBottom w:val="0"/>
      <w:divBdr>
        <w:top w:val="none" w:sz="0" w:space="0" w:color="auto"/>
        <w:left w:val="none" w:sz="0" w:space="0" w:color="auto"/>
        <w:bottom w:val="none" w:sz="0" w:space="0" w:color="auto"/>
        <w:right w:val="none" w:sz="0" w:space="0" w:color="auto"/>
      </w:divBdr>
    </w:div>
    <w:div w:id="1672641380">
      <w:bodyDiv w:val="1"/>
      <w:marLeft w:val="0"/>
      <w:marRight w:val="0"/>
      <w:marTop w:val="0"/>
      <w:marBottom w:val="0"/>
      <w:divBdr>
        <w:top w:val="none" w:sz="0" w:space="0" w:color="auto"/>
        <w:left w:val="none" w:sz="0" w:space="0" w:color="auto"/>
        <w:bottom w:val="none" w:sz="0" w:space="0" w:color="auto"/>
        <w:right w:val="none" w:sz="0" w:space="0" w:color="auto"/>
      </w:divBdr>
    </w:div>
    <w:div w:id="1756394906">
      <w:bodyDiv w:val="1"/>
      <w:marLeft w:val="0"/>
      <w:marRight w:val="0"/>
      <w:marTop w:val="0"/>
      <w:marBottom w:val="0"/>
      <w:divBdr>
        <w:top w:val="none" w:sz="0" w:space="0" w:color="auto"/>
        <w:left w:val="none" w:sz="0" w:space="0" w:color="auto"/>
        <w:bottom w:val="none" w:sz="0" w:space="0" w:color="auto"/>
        <w:right w:val="none" w:sz="0" w:space="0" w:color="auto"/>
      </w:divBdr>
    </w:div>
    <w:div w:id="1836875412">
      <w:bodyDiv w:val="1"/>
      <w:marLeft w:val="0"/>
      <w:marRight w:val="0"/>
      <w:marTop w:val="0"/>
      <w:marBottom w:val="0"/>
      <w:divBdr>
        <w:top w:val="none" w:sz="0" w:space="0" w:color="auto"/>
        <w:left w:val="none" w:sz="0" w:space="0" w:color="auto"/>
        <w:bottom w:val="none" w:sz="0" w:space="0" w:color="auto"/>
        <w:right w:val="none" w:sz="0" w:space="0" w:color="auto"/>
      </w:divBdr>
      <w:divsChild>
        <w:div w:id="835418642">
          <w:marLeft w:val="0"/>
          <w:marRight w:val="0"/>
          <w:marTop w:val="0"/>
          <w:marBottom w:val="0"/>
          <w:divBdr>
            <w:top w:val="none" w:sz="0" w:space="0" w:color="auto"/>
            <w:left w:val="none" w:sz="0" w:space="0" w:color="auto"/>
            <w:bottom w:val="none" w:sz="0" w:space="0" w:color="auto"/>
            <w:right w:val="none" w:sz="0" w:space="0" w:color="auto"/>
          </w:divBdr>
        </w:div>
        <w:div w:id="508564948">
          <w:marLeft w:val="0"/>
          <w:marRight w:val="0"/>
          <w:marTop w:val="0"/>
          <w:marBottom w:val="0"/>
          <w:divBdr>
            <w:top w:val="none" w:sz="0" w:space="0" w:color="auto"/>
            <w:left w:val="none" w:sz="0" w:space="0" w:color="auto"/>
            <w:bottom w:val="none" w:sz="0" w:space="0" w:color="auto"/>
            <w:right w:val="none" w:sz="0" w:space="0" w:color="auto"/>
          </w:divBdr>
        </w:div>
        <w:div w:id="2050374275">
          <w:marLeft w:val="0"/>
          <w:marRight w:val="0"/>
          <w:marTop w:val="0"/>
          <w:marBottom w:val="0"/>
          <w:divBdr>
            <w:top w:val="none" w:sz="0" w:space="0" w:color="auto"/>
            <w:left w:val="none" w:sz="0" w:space="0" w:color="auto"/>
            <w:bottom w:val="none" w:sz="0" w:space="0" w:color="auto"/>
            <w:right w:val="none" w:sz="0" w:space="0" w:color="auto"/>
          </w:divBdr>
        </w:div>
        <w:div w:id="1278876670">
          <w:marLeft w:val="0"/>
          <w:marRight w:val="0"/>
          <w:marTop w:val="0"/>
          <w:marBottom w:val="0"/>
          <w:divBdr>
            <w:top w:val="none" w:sz="0" w:space="0" w:color="auto"/>
            <w:left w:val="none" w:sz="0" w:space="0" w:color="auto"/>
            <w:bottom w:val="none" w:sz="0" w:space="0" w:color="auto"/>
            <w:right w:val="none" w:sz="0" w:space="0" w:color="auto"/>
          </w:divBdr>
        </w:div>
        <w:div w:id="29769045">
          <w:marLeft w:val="0"/>
          <w:marRight w:val="0"/>
          <w:marTop w:val="0"/>
          <w:marBottom w:val="0"/>
          <w:divBdr>
            <w:top w:val="none" w:sz="0" w:space="0" w:color="auto"/>
            <w:left w:val="none" w:sz="0" w:space="0" w:color="auto"/>
            <w:bottom w:val="none" w:sz="0" w:space="0" w:color="auto"/>
            <w:right w:val="none" w:sz="0" w:space="0" w:color="auto"/>
          </w:divBdr>
        </w:div>
        <w:div w:id="15083245">
          <w:marLeft w:val="0"/>
          <w:marRight w:val="0"/>
          <w:marTop w:val="0"/>
          <w:marBottom w:val="0"/>
          <w:divBdr>
            <w:top w:val="none" w:sz="0" w:space="0" w:color="auto"/>
            <w:left w:val="none" w:sz="0" w:space="0" w:color="auto"/>
            <w:bottom w:val="none" w:sz="0" w:space="0" w:color="auto"/>
            <w:right w:val="none" w:sz="0" w:space="0" w:color="auto"/>
          </w:divBdr>
        </w:div>
        <w:div w:id="1410615556">
          <w:marLeft w:val="0"/>
          <w:marRight w:val="0"/>
          <w:marTop w:val="0"/>
          <w:marBottom w:val="0"/>
          <w:divBdr>
            <w:top w:val="none" w:sz="0" w:space="0" w:color="auto"/>
            <w:left w:val="none" w:sz="0" w:space="0" w:color="auto"/>
            <w:bottom w:val="none" w:sz="0" w:space="0" w:color="auto"/>
            <w:right w:val="none" w:sz="0" w:space="0" w:color="auto"/>
          </w:divBdr>
        </w:div>
        <w:div w:id="835806905">
          <w:marLeft w:val="0"/>
          <w:marRight w:val="0"/>
          <w:marTop w:val="0"/>
          <w:marBottom w:val="0"/>
          <w:divBdr>
            <w:top w:val="none" w:sz="0" w:space="0" w:color="auto"/>
            <w:left w:val="none" w:sz="0" w:space="0" w:color="auto"/>
            <w:bottom w:val="none" w:sz="0" w:space="0" w:color="auto"/>
            <w:right w:val="none" w:sz="0" w:space="0" w:color="auto"/>
          </w:divBdr>
        </w:div>
        <w:div w:id="1798714748">
          <w:marLeft w:val="0"/>
          <w:marRight w:val="0"/>
          <w:marTop w:val="0"/>
          <w:marBottom w:val="0"/>
          <w:divBdr>
            <w:top w:val="none" w:sz="0" w:space="0" w:color="auto"/>
            <w:left w:val="none" w:sz="0" w:space="0" w:color="auto"/>
            <w:bottom w:val="none" w:sz="0" w:space="0" w:color="auto"/>
            <w:right w:val="none" w:sz="0" w:space="0" w:color="auto"/>
          </w:divBdr>
        </w:div>
        <w:div w:id="1669093863">
          <w:marLeft w:val="0"/>
          <w:marRight w:val="0"/>
          <w:marTop w:val="0"/>
          <w:marBottom w:val="0"/>
          <w:divBdr>
            <w:top w:val="none" w:sz="0" w:space="0" w:color="auto"/>
            <w:left w:val="none" w:sz="0" w:space="0" w:color="auto"/>
            <w:bottom w:val="none" w:sz="0" w:space="0" w:color="auto"/>
            <w:right w:val="none" w:sz="0" w:space="0" w:color="auto"/>
          </w:divBdr>
        </w:div>
        <w:div w:id="665983598">
          <w:marLeft w:val="0"/>
          <w:marRight w:val="0"/>
          <w:marTop w:val="0"/>
          <w:marBottom w:val="0"/>
          <w:divBdr>
            <w:top w:val="none" w:sz="0" w:space="0" w:color="auto"/>
            <w:left w:val="none" w:sz="0" w:space="0" w:color="auto"/>
            <w:bottom w:val="none" w:sz="0" w:space="0" w:color="auto"/>
            <w:right w:val="none" w:sz="0" w:space="0" w:color="auto"/>
          </w:divBdr>
        </w:div>
        <w:div w:id="1925988138">
          <w:marLeft w:val="0"/>
          <w:marRight w:val="0"/>
          <w:marTop w:val="0"/>
          <w:marBottom w:val="0"/>
          <w:divBdr>
            <w:top w:val="none" w:sz="0" w:space="0" w:color="auto"/>
            <w:left w:val="none" w:sz="0" w:space="0" w:color="auto"/>
            <w:bottom w:val="none" w:sz="0" w:space="0" w:color="auto"/>
            <w:right w:val="none" w:sz="0" w:space="0" w:color="auto"/>
          </w:divBdr>
        </w:div>
        <w:div w:id="1421877363">
          <w:marLeft w:val="0"/>
          <w:marRight w:val="0"/>
          <w:marTop w:val="0"/>
          <w:marBottom w:val="0"/>
          <w:divBdr>
            <w:top w:val="none" w:sz="0" w:space="0" w:color="auto"/>
            <w:left w:val="none" w:sz="0" w:space="0" w:color="auto"/>
            <w:bottom w:val="none" w:sz="0" w:space="0" w:color="auto"/>
            <w:right w:val="none" w:sz="0" w:space="0" w:color="auto"/>
          </w:divBdr>
        </w:div>
        <w:div w:id="1986398076">
          <w:marLeft w:val="0"/>
          <w:marRight w:val="0"/>
          <w:marTop w:val="0"/>
          <w:marBottom w:val="0"/>
          <w:divBdr>
            <w:top w:val="none" w:sz="0" w:space="0" w:color="auto"/>
            <w:left w:val="none" w:sz="0" w:space="0" w:color="auto"/>
            <w:bottom w:val="none" w:sz="0" w:space="0" w:color="auto"/>
            <w:right w:val="none" w:sz="0" w:space="0" w:color="auto"/>
          </w:divBdr>
        </w:div>
        <w:div w:id="734666014">
          <w:marLeft w:val="0"/>
          <w:marRight w:val="0"/>
          <w:marTop w:val="0"/>
          <w:marBottom w:val="0"/>
          <w:divBdr>
            <w:top w:val="none" w:sz="0" w:space="0" w:color="auto"/>
            <w:left w:val="none" w:sz="0" w:space="0" w:color="auto"/>
            <w:bottom w:val="none" w:sz="0" w:space="0" w:color="auto"/>
            <w:right w:val="none" w:sz="0" w:space="0" w:color="auto"/>
          </w:divBdr>
        </w:div>
        <w:div w:id="234359634">
          <w:marLeft w:val="0"/>
          <w:marRight w:val="0"/>
          <w:marTop w:val="0"/>
          <w:marBottom w:val="0"/>
          <w:divBdr>
            <w:top w:val="none" w:sz="0" w:space="0" w:color="auto"/>
            <w:left w:val="none" w:sz="0" w:space="0" w:color="auto"/>
            <w:bottom w:val="none" w:sz="0" w:space="0" w:color="auto"/>
            <w:right w:val="none" w:sz="0" w:space="0" w:color="auto"/>
          </w:divBdr>
        </w:div>
        <w:div w:id="1090003675">
          <w:marLeft w:val="0"/>
          <w:marRight w:val="0"/>
          <w:marTop w:val="0"/>
          <w:marBottom w:val="0"/>
          <w:divBdr>
            <w:top w:val="none" w:sz="0" w:space="0" w:color="auto"/>
            <w:left w:val="none" w:sz="0" w:space="0" w:color="auto"/>
            <w:bottom w:val="none" w:sz="0" w:space="0" w:color="auto"/>
            <w:right w:val="none" w:sz="0" w:space="0" w:color="auto"/>
          </w:divBdr>
        </w:div>
        <w:div w:id="1014921636">
          <w:marLeft w:val="0"/>
          <w:marRight w:val="0"/>
          <w:marTop w:val="0"/>
          <w:marBottom w:val="0"/>
          <w:divBdr>
            <w:top w:val="none" w:sz="0" w:space="0" w:color="auto"/>
            <w:left w:val="none" w:sz="0" w:space="0" w:color="auto"/>
            <w:bottom w:val="none" w:sz="0" w:space="0" w:color="auto"/>
            <w:right w:val="none" w:sz="0" w:space="0" w:color="auto"/>
          </w:divBdr>
        </w:div>
        <w:div w:id="594170039">
          <w:marLeft w:val="0"/>
          <w:marRight w:val="0"/>
          <w:marTop w:val="0"/>
          <w:marBottom w:val="0"/>
          <w:divBdr>
            <w:top w:val="none" w:sz="0" w:space="0" w:color="auto"/>
            <w:left w:val="none" w:sz="0" w:space="0" w:color="auto"/>
            <w:bottom w:val="none" w:sz="0" w:space="0" w:color="auto"/>
            <w:right w:val="none" w:sz="0" w:space="0" w:color="auto"/>
          </w:divBdr>
        </w:div>
        <w:div w:id="572470199">
          <w:marLeft w:val="0"/>
          <w:marRight w:val="0"/>
          <w:marTop w:val="0"/>
          <w:marBottom w:val="0"/>
          <w:divBdr>
            <w:top w:val="none" w:sz="0" w:space="0" w:color="auto"/>
            <w:left w:val="none" w:sz="0" w:space="0" w:color="auto"/>
            <w:bottom w:val="none" w:sz="0" w:space="0" w:color="auto"/>
            <w:right w:val="none" w:sz="0" w:space="0" w:color="auto"/>
          </w:divBdr>
        </w:div>
        <w:div w:id="2019042495">
          <w:marLeft w:val="0"/>
          <w:marRight w:val="0"/>
          <w:marTop w:val="0"/>
          <w:marBottom w:val="0"/>
          <w:divBdr>
            <w:top w:val="none" w:sz="0" w:space="0" w:color="auto"/>
            <w:left w:val="none" w:sz="0" w:space="0" w:color="auto"/>
            <w:bottom w:val="none" w:sz="0" w:space="0" w:color="auto"/>
            <w:right w:val="none" w:sz="0" w:space="0" w:color="auto"/>
          </w:divBdr>
        </w:div>
        <w:div w:id="1434469717">
          <w:marLeft w:val="0"/>
          <w:marRight w:val="0"/>
          <w:marTop w:val="0"/>
          <w:marBottom w:val="0"/>
          <w:divBdr>
            <w:top w:val="none" w:sz="0" w:space="0" w:color="auto"/>
            <w:left w:val="none" w:sz="0" w:space="0" w:color="auto"/>
            <w:bottom w:val="none" w:sz="0" w:space="0" w:color="auto"/>
            <w:right w:val="none" w:sz="0" w:space="0" w:color="auto"/>
          </w:divBdr>
        </w:div>
        <w:div w:id="1958834052">
          <w:marLeft w:val="0"/>
          <w:marRight w:val="0"/>
          <w:marTop w:val="0"/>
          <w:marBottom w:val="0"/>
          <w:divBdr>
            <w:top w:val="none" w:sz="0" w:space="0" w:color="auto"/>
            <w:left w:val="none" w:sz="0" w:space="0" w:color="auto"/>
            <w:bottom w:val="none" w:sz="0" w:space="0" w:color="auto"/>
            <w:right w:val="none" w:sz="0" w:space="0" w:color="auto"/>
          </w:divBdr>
        </w:div>
        <w:div w:id="1034649124">
          <w:marLeft w:val="0"/>
          <w:marRight w:val="0"/>
          <w:marTop w:val="0"/>
          <w:marBottom w:val="0"/>
          <w:divBdr>
            <w:top w:val="none" w:sz="0" w:space="0" w:color="auto"/>
            <w:left w:val="none" w:sz="0" w:space="0" w:color="auto"/>
            <w:bottom w:val="none" w:sz="0" w:space="0" w:color="auto"/>
            <w:right w:val="none" w:sz="0" w:space="0" w:color="auto"/>
          </w:divBdr>
        </w:div>
        <w:div w:id="1203589281">
          <w:marLeft w:val="0"/>
          <w:marRight w:val="0"/>
          <w:marTop w:val="0"/>
          <w:marBottom w:val="0"/>
          <w:divBdr>
            <w:top w:val="none" w:sz="0" w:space="0" w:color="auto"/>
            <w:left w:val="none" w:sz="0" w:space="0" w:color="auto"/>
            <w:bottom w:val="none" w:sz="0" w:space="0" w:color="auto"/>
            <w:right w:val="none" w:sz="0" w:space="0" w:color="auto"/>
          </w:divBdr>
        </w:div>
        <w:div w:id="1622304431">
          <w:marLeft w:val="0"/>
          <w:marRight w:val="0"/>
          <w:marTop w:val="0"/>
          <w:marBottom w:val="0"/>
          <w:divBdr>
            <w:top w:val="none" w:sz="0" w:space="0" w:color="auto"/>
            <w:left w:val="none" w:sz="0" w:space="0" w:color="auto"/>
            <w:bottom w:val="none" w:sz="0" w:space="0" w:color="auto"/>
            <w:right w:val="none" w:sz="0" w:space="0" w:color="auto"/>
          </w:divBdr>
        </w:div>
        <w:div w:id="2082020529">
          <w:marLeft w:val="0"/>
          <w:marRight w:val="0"/>
          <w:marTop w:val="0"/>
          <w:marBottom w:val="0"/>
          <w:divBdr>
            <w:top w:val="none" w:sz="0" w:space="0" w:color="auto"/>
            <w:left w:val="none" w:sz="0" w:space="0" w:color="auto"/>
            <w:bottom w:val="none" w:sz="0" w:space="0" w:color="auto"/>
            <w:right w:val="none" w:sz="0" w:space="0" w:color="auto"/>
          </w:divBdr>
        </w:div>
        <w:div w:id="1019549712">
          <w:marLeft w:val="0"/>
          <w:marRight w:val="0"/>
          <w:marTop w:val="0"/>
          <w:marBottom w:val="0"/>
          <w:divBdr>
            <w:top w:val="none" w:sz="0" w:space="0" w:color="auto"/>
            <w:left w:val="none" w:sz="0" w:space="0" w:color="auto"/>
            <w:bottom w:val="none" w:sz="0" w:space="0" w:color="auto"/>
            <w:right w:val="none" w:sz="0" w:space="0" w:color="auto"/>
          </w:divBdr>
        </w:div>
        <w:div w:id="798491658">
          <w:marLeft w:val="0"/>
          <w:marRight w:val="0"/>
          <w:marTop w:val="0"/>
          <w:marBottom w:val="0"/>
          <w:divBdr>
            <w:top w:val="none" w:sz="0" w:space="0" w:color="auto"/>
            <w:left w:val="none" w:sz="0" w:space="0" w:color="auto"/>
            <w:bottom w:val="none" w:sz="0" w:space="0" w:color="auto"/>
            <w:right w:val="none" w:sz="0" w:space="0" w:color="auto"/>
          </w:divBdr>
        </w:div>
        <w:div w:id="75982129">
          <w:marLeft w:val="0"/>
          <w:marRight w:val="0"/>
          <w:marTop w:val="0"/>
          <w:marBottom w:val="0"/>
          <w:divBdr>
            <w:top w:val="none" w:sz="0" w:space="0" w:color="auto"/>
            <w:left w:val="none" w:sz="0" w:space="0" w:color="auto"/>
            <w:bottom w:val="none" w:sz="0" w:space="0" w:color="auto"/>
            <w:right w:val="none" w:sz="0" w:space="0" w:color="auto"/>
          </w:divBdr>
        </w:div>
        <w:div w:id="1072200632">
          <w:marLeft w:val="0"/>
          <w:marRight w:val="0"/>
          <w:marTop w:val="0"/>
          <w:marBottom w:val="0"/>
          <w:divBdr>
            <w:top w:val="none" w:sz="0" w:space="0" w:color="auto"/>
            <w:left w:val="none" w:sz="0" w:space="0" w:color="auto"/>
            <w:bottom w:val="none" w:sz="0" w:space="0" w:color="auto"/>
            <w:right w:val="none" w:sz="0" w:space="0" w:color="auto"/>
          </w:divBdr>
        </w:div>
      </w:divsChild>
    </w:div>
    <w:div w:id="2024016363">
      <w:bodyDiv w:val="1"/>
      <w:marLeft w:val="0"/>
      <w:marRight w:val="0"/>
      <w:marTop w:val="0"/>
      <w:marBottom w:val="0"/>
      <w:divBdr>
        <w:top w:val="none" w:sz="0" w:space="0" w:color="auto"/>
        <w:left w:val="none" w:sz="0" w:space="0" w:color="auto"/>
        <w:bottom w:val="none" w:sz="0" w:space="0" w:color="auto"/>
        <w:right w:val="none" w:sz="0" w:space="0" w:color="auto"/>
      </w:divBdr>
    </w:div>
    <w:div w:id="2132702089">
      <w:bodyDiv w:val="1"/>
      <w:marLeft w:val="0"/>
      <w:marRight w:val="0"/>
      <w:marTop w:val="0"/>
      <w:marBottom w:val="0"/>
      <w:divBdr>
        <w:top w:val="none" w:sz="0" w:space="0" w:color="auto"/>
        <w:left w:val="none" w:sz="0" w:space="0" w:color="auto"/>
        <w:bottom w:val="none" w:sz="0" w:space="0" w:color="auto"/>
        <w:right w:val="none" w:sz="0" w:space="0" w:color="auto"/>
      </w:divBdr>
    </w:div>
    <w:div w:id="2134128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chart" Target="charts/chart5.xml"/><Relationship Id="rId26" Type="http://schemas.openxmlformats.org/officeDocument/2006/relationships/chart" Target="charts/chart9.xml"/><Relationship Id="rId39"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diagramLayout" Target="diagrams/layout1.xml"/><Relationship Id="rId42" Type="http://schemas.openxmlformats.org/officeDocument/2006/relationships/chart" Target="charts/chart20.xml"/><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hart" Target="charts/chart4.xml"/><Relationship Id="rId25" Type="http://schemas.openxmlformats.org/officeDocument/2006/relationships/hyperlink" Target="Doc:1050019503/18" TargetMode="External"/><Relationship Id="rId33" Type="http://schemas.openxmlformats.org/officeDocument/2006/relationships/diagramData" Target="diagrams/data1.xml"/><Relationship Id="rId38" Type="http://schemas.openxmlformats.org/officeDocument/2006/relationships/chart" Target="charts/chart16.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chart" Target="charts/chart12.xml"/><Relationship Id="rId41"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8.png"/><Relationship Id="rId32" Type="http://schemas.openxmlformats.org/officeDocument/2006/relationships/chart" Target="charts/chart15.xml"/><Relationship Id="rId37" Type="http://schemas.microsoft.com/office/2007/relationships/diagramDrawing" Target="diagrams/drawing1.xml"/><Relationship Id="rId40" Type="http://schemas.openxmlformats.org/officeDocument/2006/relationships/chart" Target="charts/chart18.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7.png"/><Relationship Id="rId28" Type="http://schemas.openxmlformats.org/officeDocument/2006/relationships/chart" Target="charts/chart11.xml"/><Relationship Id="rId36" Type="http://schemas.openxmlformats.org/officeDocument/2006/relationships/diagramColors" Target="diagrams/colors1.xml"/><Relationship Id="rId10" Type="http://schemas.openxmlformats.org/officeDocument/2006/relationships/image" Target="media/image3.emf"/><Relationship Id="rId19" Type="http://schemas.openxmlformats.org/officeDocument/2006/relationships/footer" Target="footer1.xml"/><Relationship Id="rId31" Type="http://schemas.openxmlformats.org/officeDocument/2006/relationships/chart" Target="charts/chart14.xml"/><Relationship Id="rId44" Type="http://schemas.openxmlformats.org/officeDocument/2006/relationships/chart" Target="charts/chart2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diagramQuickStyle" Target="diagrams/quickStyle1.xml"/><Relationship Id="rId43" Type="http://schemas.openxmlformats.org/officeDocument/2006/relationships/chart" Target="charts/chart2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Office_Excel_Worksheet19.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Office_Excel_Worksheet20.xlsx"/><Relationship Id="rId1" Type="http://schemas.openxmlformats.org/officeDocument/2006/relationships/themeOverride" Target="../theme/themeOverride3.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Worksheet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975" b="1" i="0" u="none" strike="noStrike" baseline="0">
                <a:solidFill>
                  <a:srgbClr val="000000"/>
                </a:solidFill>
                <a:latin typeface="Arial"/>
                <a:ea typeface="Arial"/>
                <a:cs typeface="Arial"/>
              </a:defRPr>
            </a:pPr>
            <a:r>
              <a:rPr lang="ro-RO"/>
              <a:t>Frecventa anuala a cazurilor de neuroinfectie WN in Bucuresti - istoric</a:t>
            </a:r>
          </a:p>
        </c:rich>
      </c:tx>
      <c:layout>
        <c:manualLayout>
          <c:xMode val="edge"/>
          <c:yMode val="edge"/>
          <c:x val="0.10269360269360303"/>
          <c:y val="2.0408163265306152E-2"/>
        </c:manualLayout>
      </c:layout>
      <c:spPr>
        <a:noFill/>
        <a:ln w="25399">
          <a:noFill/>
        </a:ln>
      </c:spPr>
    </c:title>
    <c:view3D>
      <c:hPercent val="47"/>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9.5959595959596564E-2"/>
          <c:y val="0.20991253644314894"/>
          <c:w val="0.88720538720538766"/>
          <c:h val="0.67055393586005829"/>
        </c:manualLayout>
      </c:layout>
      <c:bar3DChart>
        <c:barDir val="col"/>
        <c:grouping val="clustered"/>
        <c:ser>
          <c:idx val="2"/>
          <c:order val="0"/>
          <c:tx>
            <c:strRef>
              <c:f>Sheet1!$A$4</c:f>
              <c:strCache>
                <c:ptCount val="1"/>
                <c:pt idx="0">
                  <c:v>North</c:v>
                </c:pt>
              </c:strCache>
            </c:strRef>
          </c:tx>
          <c:spPr>
            <a:solidFill>
              <a:srgbClr val="FFFFCC"/>
            </a:solidFill>
            <a:ln w="12700">
              <a:solidFill>
                <a:srgbClr val="000000"/>
              </a:solidFill>
              <a:prstDash val="solid"/>
            </a:ln>
          </c:spPr>
          <c:dLbls>
            <c:spPr>
              <a:noFill/>
              <a:ln w="25399">
                <a:noFill/>
              </a:ln>
            </c:spPr>
            <c:txPr>
              <a:bodyPr/>
              <a:lstStyle/>
              <a:p>
                <a:pPr>
                  <a:defRPr sz="1500" b="1" i="0" u="none" strike="noStrike" baseline="0">
                    <a:solidFill>
                      <a:srgbClr val="000000"/>
                    </a:solidFill>
                    <a:latin typeface="Arial"/>
                    <a:ea typeface="Arial"/>
                    <a:cs typeface="Arial"/>
                  </a:defRPr>
                </a:pPr>
                <a:endParaRPr lang="ro-RO"/>
              </a:p>
            </c:txPr>
            <c:showVal val="1"/>
          </c:dLbls>
          <c:cat>
            <c:numRef>
              <c:f>Sheet1!$B$1:$J$1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Sheet1!$B$4:$J$4</c:f>
              <c:numCache>
                <c:formatCode>General</c:formatCode>
                <c:ptCount val="9"/>
                <c:pt idx="0">
                  <c:v>10</c:v>
                </c:pt>
                <c:pt idx="1">
                  <c:v>6</c:v>
                </c:pt>
                <c:pt idx="2">
                  <c:v>7</c:v>
                </c:pt>
                <c:pt idx="3">
                  <c:v>1</c:v>
                </c:pt>
                <c:pt idx="4">
                  <c:v>1</c:v>
                </c:pt>
                <c:pt idx="5">
                  <c:v>5</c:v>
                </c:pt>
                <c:pt idx="6">
                  <c:v>18</c:v>
                </c:pt>
                <c:pt idx="7">
                  <c:v>16</c:v>
                </c:pt>
                <c:pt idx="8">
                  <c:v>54</c:v>
                </c:pt>
              </c:numCache>
            </c:numRef>
          </c:val>
        </c:ser>
        <c:dLbls>
          <c:showVal val="1"/>
        </c:dLbls>
        <c:gapDepth val="0"/>
        <c:shape val="box"/>
        <c:axId val="59687680"/>
        <c:axId val="59689216"/>
        <c:axId val="0"/>
      </c:bar3DChart>
      <c:catAx>
        <c:axId val="59687680"/>
        <c:scaling>
          <c:orientation val="minMax"/>
        </c:scaling>
        <c:axPos val="b"/>
        <c:numFmt formatCode="General" sourceLinked="1"/>
        <c:tickLblPos val="low"/>
        <c:spPr>
          <a:ln w="3175">
            <a:solidFill>
              <a:srgbClr val="000000"/>
            </a:solidFill>
            <a:prstDash val="solid"/>
          </a:ln>
        </c:spPr>
        <c:txPr>
          <a:bodyPr rot="0" vert="horz"/>
          <a:lstStyle/>
          <a:p>
            <a:pPr>
              <a:defRPr sz="1100" b="1" i="0" u="none" strike="noStrike" baseline="0">
                <a:solidFill>
                  <a:srgbClr val="000000"/>
                </a:solidFill>
                <a:latin typeface="Arial"/>
                <a:ea typeface="Arial"/>
                <a:cs typeface="Arial"/>
              </a:defRPr>
            </a:pPr>
            <a:endParaRPr lang="ro-RO"/>
          </a:p>
        </c:txPr>
        <c:crossAx val="59689216"/>
        <c:crosses val="autoZero"/>
        <c:auto val="1"/>
        <c:lblAlgn val="ctr"/>
        <c:lblOffset val="100"/>
        <c:tickLblSkip val="1"/>
        <c:tickMarkSkip val="1"/>
      </c:catAx>
      <c:valAx>
        <c:axId val="59689216"/>
        <c:scaling>
          <c:orientation val="minMax"/>
        </c:scaling>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rPr lang="ro-RO"/>
                  <a:t># cazuri confirmate </a:t>
                </a:r>
              </a:p>
            </c:rich>
          </c:tx>
          <c:layout>
            <c:manualLayout>
              <c:xMode val="edge"/>
              <c:yMode val="edge"/>
              <c:x val="5.7239057239057284E-2"/>
              <c:y val="0.38483965014577282"/>
            </c:manualLayout>
          </c:layout>
          <c:spPr>
            <a:noFill/>
            <a:ln w="25399">
              <a:noFill/>
            </a:ln>
          </c:spPr>
        </c:title>
        <c:numFmt formatCode="General" sourceLinked="1"/>
        <c:tickLblPos val="nextTo"/>
        <c:spPr>
          <a:ln w="3175">
            <a:solidFill>
              <a:srgbClr val="000000"/>
            </a:solidFill>
            <a:prstDash val="solid"/>
          </a:ln>
        </c:spPr>
        <c:txPr>
          <a:bodyPr rot="0" vert="horz"/>
          <a:lstStyle/>
          <a:p>
            <a:pPr>
              <a:defRPr sz="1100" b="1" i="0" u="none" strike="noStrike" baseline="0">
                <a:solidFill>
                  <a:srgbClr val="000000"/>
                </a:solidFill>
                <a:latin typeface="Arial"/>
                <a:ea typeface="Arial"/>
                <a:cs typeface="Arial"/>
              </a:defRPr>
            </a:pPr>
            <a:endParaRPr lang="ro-RO"/>
          </a:p>
        </c:txPr>
        <c:crossAx val="59687680"/>
        <c:crosses val="autoZero"/>
        <c:crossBetween val="between"/>
      </c:valAx>
      <c:spPr>
        <a:noFill/>
        <a:ln w="25399">
          <a:noFill/>
        </a:ln>
      </c:spPr>
    </c:plotArea>
    <c:plotVisOnly val="1"/>
    <c:dispBlanksAs val="gap"/>
  </c:chart>
  <c:spPr>
    <a:noFill/>
    <a:ln w="3175">
      <a:solidFill>
        <a:srgbClr val="000000"/>
      </a:solidFill>
      <a:prstDash val="solid"/>
    </a:ln>
  </c:spPr>
  <c:txPr>
    <a:bodyPr/>
    <a:lstStyle/>
    <a:p>
      <a:pPr>
        <a:defRPr sz="1500" b="1" i="0" u="none" strike="noStrike" baseline="0">
          <a:solidFill>
            <a:srgbClr val="000000"/>
          </a:solidFill>
          <a:latin typeface="Arial"/>
          <a:ea typeface="Arial"/>
          <a:cs typeface="Arial"/>
        </a:defRPr>
      </a:pPr>
      <a:endParaRPr lang="ro-RO"/>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o-RO"/>
  <c:style val="27"/>
  <c:chart>
    <c:autoTitleDeleted val="1"/>
    <c:plotArea>
      <c:layout>
        <c:manualLayout>
          <c:layoutTarget val="inner"/>
          <c:xMode val="edge"/>
          <c:yMode val="edge"/>
          <c:x val="0"/>
          <c:y val="0"/>
          <c:w val="1"/>
          <c:h val="0.83796954314720817"/>
        </c:manualLayout>
      </c:layout>
      <c:lineChart>
        <c:grouping val="standard"/>
        <c:ser>
          <c:idx val="0"/>
          <c:order val="0"/>
          <c:tx>
            <c:strRef>
              <c:f>Sheet1!$B$1</c:f>
              <c:strCache>
                <c:ptCount val="1"/>
                <c:pt idx="0">
                  <c:v>Series 1</c:v>
                </c:pt>
              </c:strCache>
            </c:strRef>
          </c:tx>
          <c:dLbls>
            <c:dLbl>
              <c:idx val="0"/>
              <c:layout>
                <c:manualLayout>
                  <c:x val="-7.5521567114983507E-2"/>
                  <c:y val="8.9933692498964005E-2"/>
                </c:manualLayout>
              </c:layout>
              <c:tx>
                <c:rich>
                  <a:bodyPr/>
                  <a:lstStyle/>
                  <a:p>
                    <a:r>
                      <a:rPr lang="en-US" sz="1100" b="1" strike="noStrike" dirty="0" smtClean="0">
                        <a:latin typeface="Times New Roman" pitchFamily="18" charset="0"/>
                        <a:cs typeface="Times New Roman" pitchFamily="18" charset="0"/>
                      </a:rPr>
                      <a:t>6</a:t>
                    </a:r>
                    <a:r>
                      <a:rPr lang="en-US" dirty="0" smtClean="0"/>
                      <a:t>1.359</a:t>
                    </a:r>
                    <a:endParaRPr lang="en-US" dirty="0"/>
                  </a:p>
                </c:rich>
              </c:tx>
              <c:dLblPos val="r"/>
              <c:showVal val="1"/>
              <c:extLst xmlns:c16r2="http://schemas.microsoft.com/office/drawing/2015/06/chart">
                <c:ext xmlns:c16="http://schemas.microsoft.com/office/drawing/2014/chart" uri="{C3380CC4-5D6E-409C-BE32-E72D297353CC}">
                  <c16:uniqueId val="{00000000-23E0-4A13-AFFB-FD9EC59699C4}"/>
                </c:ext>
                <c:ext xmlns:c15="http://schemas.microsoft.com/office/drawing/2012/chart" uri="{CE6537A1-D6FC-4f65-9D91-7224C49458BB}">
                  <c15:layout/>
                </c:ext>
              </c:extLst>
            </c:dLbl>
            <c:dLbl>
              <c:idx val="1"/>
              <c:tx>
                <c:rich>
                  <a:bodyPr/>
                  <a:lstStyle/>
                  <a:p>
                    <a:r>
                      <a:rPr lang="en-US" sz="1100" b="1" strike="noStrike" smtClean="0">
                        <a:latin typeface="Times New Roman" pitchFamily="18" charset="0"/>
                        <a:cs typeface="Times New Roman" pitchFamily="18" charset="0"/>
                      </a:rPr>
                      <a:t>5</a:t>
                    </a:r>
                    <a:r>
                      <a:rPr lang="en-US" smtClean="0"/>
                      <a:t>7.405</a:t>
                    </a:r>
                    <a:endParaRPr lang="en-US"/>
                  </a:p>
                </c:rich>
              </c:tx>
              <c:dLblPos val="b"/>
              <c:showVal val="1"/>
              <c:extLst xmlns:c16r2="http://schemas.microsoft.com/office/drawing/2015/06/chart">
                <c:ext xmlns:c16="http://schemas.microsoft.com/office/drawing/2014/chart" uri="{C3380CC4-5D6E-409C-BE32-E72D297353CC}">
                  <c16:uniqueId val="{00000001-23E0-4A13-AFFB-FD9EC59699C4}"/>
                </c:ext>
                <c:ext xmlns:c15="http://schemas.microsoft.com/office/drawing/2012/chart" uri="{CE6537A1-D6FC-4f65-9D91-7224C49458BB}">
                  <c15:layout/>
                </c:ext>
              </c:extLst>
            </c:dLbl>
            <c:dLbl>
              <c:idx val="2"/>
              <c:layout>
                <c:manualLayout>
                  <c:x val="-6.2484603980954734E-2"/>
                  <c:y val="0.10982352534880579"/>
                </c:manualLayout>
              </c:layout>
              <c:tx>
                <c:rich>
                  <a:bodyPr/>
                  <a:lstStyle/>
                  <a:p>
                    <a:r>
                      <a:rPr lang="en-US" sz="1100" b="1" strike="noStrike" dirty="0" smtClean="0">
                        <a:latin typeface="Times New Roman" pitchFamily="18" charset="0"/>
                        <a:cs typeface="Times New Roman" pitchFamily="18" charset="0"/>
                      </a:rPr>
                      <a:t>5</a:t>
                    </a:r>
                    <a:r>
                      <a:rPr lang="en-US" dirty="0" smtClean="0"/>
                      <a:t>7.754</a:t>
                    </a:r>
                    <a:endParaRPr lang="en-US" dirty="0"/>
                  </a:p>
                </c:rich>
              </c:tx>
              <c:dLblPos val="r"/>
              <c:showVal val="1"/>
              <c:extLst xmlns:c16r2="http://schemas.microsoft.com/office/drawing/2015/06/chart">
                <c:ext xmlns:c16="http://schemas.microsoft.com/office/drawing/2014/chart" uri="{C3380CC4-5D6E-409C-BE32-E72D297353CC}">
                  <c16:uniqueId val="{00000002-23E0-4A13-AFFB-FD9EC59699C4}"/>
                </c:ext>
                <c:ext xmlns:c15="http://schemas.microsoft.com/office/drawing/2012/chart" uri="{CE6537A1-D6FC-4f65-9D91-7224C49458BB}">
                  <c15:layout/>
                </c:ext>
              </c:extLst>
            </c:dLbl>
            <c:dLbl>
              <c:idx val="3"/>
              <c:tx>
                <c:rich>
                  <a:bodyPr/>
                  <a:lstStyle/>
                  <a:p>
                    <a:r>
                      <a:rPr lang="en-US" sz="1100" b="1" strike="noStrike" smtClean="0">
                        <a:latin typeface="Times New Roman" pitchFamily="18" charset="0"/>
                        <a:cs typeface="Times New Roman" pitchFamily="18" charset="0"/>
                      </a:rPr>
                      <a:t>5</a:t>
                    </a:r>
                    <a:r>
                      <a:rPr lang="en-US" smtClean="0"/>
                      <a:t>2.618</a:t>
                    </a:r>
                    <a:endParaRPr lang="en-US"/>
                  </a:p>
                </c:rich>
              </c:tx>
              <c:dLblPos val="b"/>
              <c:showVal val="1"/>
              <c:extLst xmlns:c16r2="http://schemas.microsoft.com/office/drawing/2015/06/chart">
                <c:ext xmlns:c16="http://schemas.microsoft.com/office/drawing/2014/chart" uri="{C3380CC4-5D6E-409C-BE32-E72D297353CC}">
                  <c16:uniqueId val="{00000003-23E0-4A13-AFFB-FD9EC59699C4}"/>
                </c:ext>
                <c:ext xmlns:c15="http://schemas.microsoft.com/office/drawing/2012/chart" uri="{CE6537A1-D6FC-4f65-9D91-7224C49458BB}">
                  <c15:layout/>
                </c:ext>
              </c:extLst>
            </c:dLbl>
            <c:dLbl>
              <c:idx val="4"/>
              <c:layout>
                <c:manualLayout>
                  <c:x val="-4.1072388140831514E-2"/>
                  <c:y val="0.10572071892028811"/>
                </c:manualLayout>
              </c:layout>
              <c:tx>
                <c:rich>
                  <a:bodyPr/>
                  <a:lstStyle/>
                  <a:p>
                    <a:r>
                      <a:rPr lang="en-US" sz="1100" b="1" strike="noStrike" dirty="0" smtClean="0">
                        <a:latin typeface="Times New Roman" pitchFamily="18" charset="0"/>
                        <a:cs typeface="Times New Roman" pitchFamily="18" charset="0"/>
                      </a:rPr>
                      <a:t>5</a:t>
                    </a:r>
                    <a:r>
                      <a:rPr lang="en-US" dirty="0" smtClean="0"/>
                      <a:t>6.563</a:t>
                    </a:r>
                    <a:endParaRPr lang="en-US" dirty="0"/>
                  </a:p>
                </c:rich>
              </c:tx>
              <c:dLblPos val="r"/>
              <c:showVal val="1"/>
              <c:extLst xmlns:c16r2="http://schemas.microsoft.com/office/drawing/2015/06/chart">
                <c:ext xmlns:c16="http://schemas.microsoft.com/office/drawing/2014/chart" uri="{C3380CC4-5D6E-409C-BE32-E72D297353CC}">
                  <c16:uniqueId val="{00000004-23E0-4A13-AFFB-FD9EC59699C4}"/>
                </c:ext>
                <c:ext xmlns:c15="http://schemas.microsoft.com/office/drawing/2012/chart" uri="{CE6537A1-D6FC-4f65-9D91-7224C49458BB}">
                  <c15:layout/>
                </c:ext>
              </c:extLst>
            </c:dLbl>
            <c:dLbl>
              <c:idx val="5"/>
              <c:layout>
                <c:manualLayout>
                  <c:x val="-3.9447731755424292E-2"/>
                  <c:y val="0.16243654822335019"/>
                </c:manualLayout>
              </c:layout>
              <c:tx>
                <c:rich>
                  <a:bodyPr/>
                  <a:lstStyle/>
                  <a:p>
                    <a:r>
                      <a:rPr lang="en-US" sz="1100" b="1" strike="noStrike" smtClean="0">
                        <a:latin typeface="Times New Roman" pitchFamily="18" charset="0"/>
                        <a:cs typeface="Times New Roman" pitchFamily="18" charset="0"/>
                      </a:rPr>
                      <a:t>5</a:t>
                    </a:r>
                    <a:r>
                      <a:rPr lang="en-US" smtClean="0"/>
                      <a:t>7.261</a:t>
                    </a:r>
                    <a:endParaRPr lang="en-US"/>
                  </a:p>
                </c:rich>
              </c:tx>
              <c:dLblPos val="r"/>
              <c:showVal val="1"/>
            </c:dLbl>
            <c:dLbl>
              <c:idx val="6"/>
              <c:tx>
                <c:rich>
                  <a:bodyPr/>
                  <a:lstStyle/>
                  <a:p>
                    <a:r>
                      <a:rPr lang="en-US" sz="1100" b="1" strike="noStrike" smtClean="0">
                        <a:latin typeface="Times New Roman" pitchFamily="18" charset="0"/>
                        <a:cs typeface="Times New Roman" pitchFamily="18" charset="0"/>
                      </a:rPr>
                      <a:t>5</a:t>
                    </a:r>
                    <a:r>
                      <a:rPr lang="en-US" smtClean="0"/>
                      <a:t>2.613</a:t>
                    </a:r>
                    <a:endParaRPr lang="en-US"/>
                  </a:p>
                </c:rich>
              </c:tx>
              <c:dLblPos val="b"/>
              <c:showVal val="1"/>
              <c:extLst xmlns:c16r2="http://schemas.microsoft.com/office/drawing/2015/06/chart">
                <c:ext xmlns:c16="http://schemas.microsoft.com/office/drawing/2014/chart" uri="{C3380CC4-5D6E-409C-BE32-E72D297353CC}">
                  <c16:uniqueId val="{00000006-23E0-4A13-AFFB-FD9EC59699C4}"/>
                </c:ext>
                <c:ext xmlns:c15="http://schemas.microsoft.com/office/drawing/2012/chart" uri="{CE6537A1-D6FC-4f65-9D91-7224C49458BB}">
                  <c15:layout/>
                </c:ext>
              </c:extLst>
            </c:dLbl>
            <c:dLbl>
              <c:idx val="7"/>
              <c:tx>
                <c:rich>
                  <a:bodyPr/>
                  <a:lstStyle/>
                  <a:p>
                    <a:r>
                      <a:rPr lang="en-US" sz="1100" b="1" strike="noStrike" smtClean="0">
                        <a:latin typeface="Times New Roman" pitchFamily="18" charset="0"/>
                        <a:cs typeface="Times New Roman" pitchFamily="18" charset="0"/>
                      </a:rPr>
                      <a:t>4</a:t>
                    </a:r>
                    <a:r>
                      <a:rPr lang="en-US" smtClean="0"/>
                      <a:t>7.740</a:t>
                    </a:r>
                    <a:endParaRPr lang="en-US" dirty="0"/>
                  </a:p>
                </c:rich>
              </c:tx>
              <c:dLblPos val="b"/>
              <c:showVal val="1"/>
              <c:extLst>
                <c:ext xmlns:c15="http://schemas.microsoft.com/office/drawing/2012/chart" uri="{CE6537A1-D6FC-4f65-9D91-7224C49458BB}">
                  <c15:layout/>
                </c:ext>
              </c:extLst>
            </c:dLbl>
            <c:dLbl>
              <c:idx val="8"/>
              <c:layout>
                <c:manualLayout>
                  <c:x val="-2.3668639053254437E-2"/>
                  <c:y val="0.12182741116751268"/>
                </c:manualLayout>
              </c:layout>
              <c:tx>
                <c:rich>
                  <a:bodyPr/>
                  <a:lstStyle/>
                  <a:p>
                    <a:r>
                      <a:rPr lang="en-US" sz="1100" b="1" strike="noStrike" smtClean="0">
                        <a:latin typeface="Times New Roman" pitchFamily="18" charset="0"/>
                        <a:cs typeface="Times New Roman" pitchFamily="18" charset="0"/>
                      </a:rPr>
                      <a:t>4</a:t>
                    </a:r>
                    <a:r>
                      <a:rPr lang="en-US" smtClean="0"/>
                      <a:t>8.024</a:t>
                    </a:r>
                    <a:endParaRPr lang="en-US" dirty="0"/>
                  </a:p>
                </c:rich>
              </c:tx>
              <c:dLblPos val="r"/>
              <c:showVal val="1"/>
            </c:dLbl>
            <c:txPr>
              <a:bodyPr/>
              <a:lstStyle/>
              <a:p>
                <a:pPr>
                  <a:defRPr sz="1100" b="1" strike="noStrike">
                    <a:latin typeface="Times New Roman" pitchFamily="18" charset="0"/>
                    <a:cs typeface="Times New Roman" pitchFamily="18" charset="0"/>
                  </a:defRPr>
                </a:pPr>
                <a:endParaRPr lang="ro-RO"/>
              </a:p>
            </c:txPr>
            <c:dLblPos val="b"/>
            <c:showVal val="1"/>
            <c:extLst xmlns:c16r2="http://schemas.microsoft.com/office/drawing/2015/06/chart">
              <c:ext xmlns:c15="http://schemas.microsoft.com/office/drawing/2012/chart" uri="{CE6537A1-D6FC-4f65-9D91-7224C49458BB}">
                <c15:layout/>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#,##0</c:formatCode>
                <c:ptCount val="9"/>
                <c:pt idx="0">
                  <c:v>61359</c:v>
                </c:pt>
                <c:pt idx="1">
                  <c:v>57405</c:v>
                </c:pt>
                <c:pt idx="2">
                  <c:v>57754</c:v>
                </c:pt>
                <c:pt idx="3">
                  <c:v>52618</c:v>
                </c:pt>
                <c:pt idx="4">
                  <c:v>56563</c:v>
                </c:pt>
                <c:pt idx="5">
                  <c:v>57261</c:v>
                </c:pt>
                <c:pt idx="6">
                  <c:v>52613</c:v>
                </c:pt>
                <c:pt idx="7">
                  <c:v>47740</c:v>
                </c:pt>
                <c:pt idx="8">
                  <c:v>48024</c:v>
                </c:pt>
              </c:numCache>
            </c:numRef>
          </c:val>
          <c:extLst xmlns:c16r2="http://schemas.microsoft.com/office/drawing/2015/06/chart">
            <c:ext xmlns:c16="http://schemas.microsoft.com/office/drawing/2014/chart" uri="{C3380CC4-5D6E-409C-BE32-E72D297353CC}">
              <c16:uniqueId val="{00000007-23E0-4A13-AFFB-FD9EC59699C4}"/>
            </c:ext>
          </c:extLst>
        </c:ser>
        <c:dLbls>
          <c:showVal val="1"/>
        </c:dLbls>
        <c:marker val="1"/>
        <c:axId val="64040960"/>
        <c:axId val="64042496"/>
      </c:lineChart>
      <c:catAx>
        <c:axId val="64040960"/>
        <c:scaling>
          <c:orientation val="minMax"/>
        </c:scaling>
        <c:axPos val="b"/>
        <c:numFmt formatCode="General" sourceLinked="1"/>
        <c:tickLblPos val="nextTo"/>
        <c:txPr>
          <a:bodyPr/>
          <a:lstStyle/>
          <a:p>
            <a:pPr>
              <a:defRPr b="1">
                <a:latin typeface="Times New Roman" pitchFamily="18" charset="0"/>
                <a:cs typeface="Times New Roman" pitchFamily="18" charset="0"/>
              </a:defRPr>
            </a:pPr>
            <a:endParaRPr lang="ro-RO"/>
          </a:p>
        </c:txPr>
        <c:crossAx val="64042496"/>
        <c:crosses val="autoZero"/>
        <c:auto val="1"/>
        <c:lblAlgn val="ctr"/>
        <c:lblOffset val="100"/>
      </c:catAx>
      <c:valAx>
        <c:axId val="64042496"/>
        <c:scaling>
          <c:orientation val="minMax"/>
          <c:max val="65000"/>
          <c:min val="40000"/>
        </c:scaling>
        <c:delete val="1"/>
        <c:axPos val="l"/>
        <c:numFmt formatCode="#,##0" sourceLinked="1"/>
        <c:tickLblPos val="none"/>
        <c:crossAx val="64040960"/>
        <c:crosses val="autoZero"/>
        <c:crossBetween val="between"/>
      </c:valAx>
      <c:spPr>
        <a:noFill/>
        <a:ln>
          <a:noFill/>
        </a:ln>
      </c:spPr>
    </c:plotArea>
    <c:plotVisOnly val="1"/>
    <c:dispBlanksAs val="gap"/>
  </c:chart>
  <c:spPr>
    <a:noFill/>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o-RO"/>
  <c:style val="27"/>
  <c:chart>
    <c:autoTitleDeleted val="1"/>
    <c:plotArea>
      <c:layout>
        <c:manualLayout>
          <c:layoutTarget val="inner"/>
          <c:xMode val="edge"/>
          <c:yMode val="edge"/>
          <c:x val="0"/>
          <c:y val="7.2607260726072612E-2"/>
          <c:w val="1"/>
          <c:h val="0.76937293729373268"/>
        </c:manualLayout>
      </c:layout>
      <c:lineChart>
        <c:grouping val="standard"/>
        <c:ser>
          <c:idx val="0"/>
          <c:order val="0"/>
          <c:tx>
            <c:strRef>
              <c:f>Sheet1!$B$1</c:f>
              <c:strCache>
                <c:ptCount val="1"/>
                <c:pt idx="0">
                  <c:v>Series 1</c:v>
                </c:pt>
              </c:strCache>
            </c:strRef>
          </c:tx>
          <c:dLbls>
            <c:dLbl>
              <c:idx val="0"/>
              <c:layout>
                <c:manualLayout>
                  <c:x val="-6.877178814186688E-2"/>
                  <c:y val="0.11544568378313486"/>
                </c:manualLayout>
              </c:layout>
              <c:tx>
                <c:rich>
                  <a:bodyPr/>
                  <a:lstStyle/>
                  <a:p>
                    <a:r>
                      <a:rPr lang="en-US" sz="1100" b="1" dirty="0" smtClean="0">
                        <a:latin typeface="Times New Roman" pitchFamily="18" charset="0"/>
                        <a:cs typeface="Times New Roman" pitchFamily="18" charset="0"/>
                      </a:rPr>
                      <a:t>1</a:t>
                    </a:r>
                    <a:r>
                      <a:rPr lang="en-US" dirty="0" smtClean="0"/>
                      <a:t>5.925</a:t>
                    </a:r>
                    <a:endParaRPr lang="en-US" dirty="0"/>
                  </a:p>
                </c:rich>
              </c:tx>
              <c:dLblPos val="r"/>
              <c:showVal val="1"/>
              <c:extLst xmlns:c16r2="http://schemas.microsoft.com/office/drawing/2015/06/chart">
                <c:ext xmlns:c16="http://schemas.microsoft.com/office/drawing/2014/chart" uri="{C3380CC4-5D6E-409C-BE32-E72D297353CC}">
                  <c16:uniqueId val="{00000000-79DA-45C9-9138-3512E70D517D}"/>
                </c:ext>
                <c:ext xmlns:c15="http://schemas.microsoft.com/office/drawing/2012/chart" uri="{CE6537A1-D6FC-4f65-9D91-7224C49458BB}">
                  <c15:layout/>
                </c:ext>
              </c:extLst>
            </c:dLbl>
            <c:dLbl>
              <c:idx val="1"/>
              <c:tx>
                <c:rich>
                  <a:bodyPr/>
                  <a:lstStyle/>
                  <a:p>
                    <a:r>
                      <a:rPr lang="en-US" sz="1100" b="1" smtClean="0">
                        <a:latin typeface="Times New Roman" pitchFamily="18" charset="0"/>
                        <a:cs typeface="Times New Roman" pitchFamily="18" charset="0"/>
                      </a:rPr>
                      <a:t>1</a:t>
                    </a:r>
                    <a:r>
                      <a:rPr lang="en-US" smtClean="0"/>
                      <a:t>4.793</a:t>
                    </a:r>
                    <a:endParaRPr lang="en-US"/>
                  </a:p>
                </c:rich>
              </c:tx>
              <c:dLblPos val="b"/>
              <c:showVal val="1"/>
              <c:extLst xmlns:c16r2="http://schemas.microsoft.com/office/drawing/2015/06/chart">
                <c:ext xmlns:c16="http://schemas.microsoft.com/office/drawing/2014/chart" uri="{C3380CC4-5D6E-409C-BE32-E72D297353CC}">
                  <c16:uniqueId val="{00000001-79DA-45C9-9138-3512E70D517D}"/>
                </c:ext>
                <c:ext xmlns:c15="http://schemas.microsoft.com/office/drawing/2012/chart" uri="{CE6537A1-D6FC-4f65-9D91-7224C49458BB}">
                  <c15:layout/>
                </c:ext>
              </c:extLst>
            </c:dLbl>
            <c:dLbl>
              <c:idx val="2"/>
              <c:layout>
                <c:manualLayout>
                  <c:x val="-6.4580192316143134E-2"/>
                  <c:y val="0.12322681886986349"/>
                </c:manualLayout>
              </c:layout>
              <c:tx>
                <c:rich>
                  <a:bodyPr/>
                  <a:lstStyle/>
                  <a:p>
                    <a:r>
                      <a:rPr lang="en-US" sz="1100" b="1" dirty="0" smtClean="0">
                        <a:latin typeface="Times New Roman" pitchFamily="18" charset="0"/>
                        <a:cs typeface="Times New Roman" pitchFamily="18" charset="0"/>
                      </a:rPr>
                      <a:t>1</a:t>
                    </a:r>
                    <a:r>
                      <a:rPr lang="en-US" dirty="0" smtClean="0"/>
                      <a:t>5.389</a:t>
                    </a:r>
                    <a:endParaRPr lang="en-US" dirty="0"/>
                  </a:p>
                </c:rich>
              </c:tx>
              <c:dLblPos val="r"/>
              <c:showVal val="1"/>
              <c:extLst xmlns:c16r2="http://schemas.microsoft.com/office/drawing/2015/06/chart">
                <c:ext xmlns:c16="http://schemas.microsoft.com/office/drawing/2014/chart" uri="{C3380CC4-5D6E-409C-BE32-E72D297353CC}">
                  <c16:uniqueId val="{00000002-79DA-45C9-9138-3512E70D517D}"/>
                </c:ext>
                <c:ext xmlns:c15="http://schemas.microsoft.com/office/drawing/2012/chart" uri="{CE6537A1-D6FC-4f65-9D91-7224C49458BB}">
                  <c15:layout/>
                </c:ext>
              </c:extLst>
            </c:dLbl>
            <c:dLbl>
              <c:idx val="3"/>
              <c:layout>
                <c:manualLayout>
                  <c:x val="-5.2905870740516413E-2"/>
                  <c:y val="8.4352779159787644E-2"/>
                </c:manualLayout>
              </c:layout>
              <c:tx>
                <c:rich>
                  <a:bodyPr/>
                  <a:lstStyle/>
                  <a:p>
                    <a:r>
                      <a:rPr lang="en-US" sz="1100" b="1" dirty="0" smtClean="0">
                        <a:latin typeface="Times New Roman" pitchFamily="18" charset="0"/>
                        <a:cs typeface="Times New Roman" pitchFamily="18" charset="0"/>
                      </a:rPr>
                      <a:t>1</a:t>
                    </a:r>
                    <a:r>
                      <a:rPr lang="en-US" dirty="0" smtClean="0"/>
                      <a:t>3.345</a:t>
                    </a:r>
                    <a:endParaRPr lang="en-US" dirty="0"/>
                  </a:p>
                </c:rich>
              </c:tx>
              <c:dLblPos val="r"/>
              <c:showVal val="1"/>
            </c:dLbl>
            <c:dLbl>
              <c:idx val="4"/>
              <c:layout>
                <c:manualLayout>
                  <c:x val="-4.2867734481908205E-2"/>
                  <c:y val="0.16171031828447474"/>
                </c:manualLayout>
              </c:layout>
              <c:tx>
                <c:rich>
                  <a:bodyPr/>
                  <a:lstStyle/>
                  <a:p>
                    <a:r>
                      <a:rPr lang="en-US" sz="1100" b="1" dirty="0" smtClean="0">
                        <a:latin typeface="Times New Roman" pitchFamily="18" charset="0"/>
                        <a:cs typeface="Times New Roman" pitchFamily="18" charset="0"/>
                      </a:rPr>
                      <a:t>1</a:t>
                    </a:r>
                    <a:r>
                      <a:rPr lang="en-US" dirty="0" smtClean="0"/>
                      <a:t>7.649</a:t>
                    </a:r>
                    <a:endParaRPr lang="en-US" dirty="0"/>
                  </a:p>
                </c:rich>
              </c:tx>
              <c:dLblPos val="r"/>
              <c:showVal val="1"/>
              <c:extLst xmlns:c16r2="http://schemas.microsoft.com/office/drawing/2015/06/chart">
                <c:ext xmlns:c16="http://schemas.microsoft.com/office/drawing/2014/chart" uri="{C3380CC4-5D6E-409C-BE32-E72D297353CC}">
                  <c16:uniqueId val="{00000004-79DA-45C9-9138-3512E70D517D}"/>
                </c:ext>
                <c:ext xmlns:c15="http://schemas.microsoft.com/office/drawing/2012/chart" uri="{CE6537A1-D6FC-4f65-9D91-7224C49458BB}">
                  <c15:layout/>
                </c:ext>
              </c:extLst>
            </c:dLbl>
            <c:dLbl>
              <c:idx val="5"/>
              <c:tx>
                <c:rich>
                  <a:bodyPr/>
                  <a:lstStyle/>
                  <a:p>
                    <a:r>
                      <a:rPr lang="en-US" sz="1100" b="1" smtClean="0">
                        <a:latin typeface="Times New Roman" pitchFamily="18" charset="0"/>
                        <a:cs typeface="Times New Roman" pitchFamily="18" charset="0"/>
                      </a:rPr>
                      <a:t>1</a:t>
                    </a:r>
                    <a:r>
                      <a:rPr lang="en-US" smtClean="0"/>
                      <a:t>6.063</a:t>
                    </a:r>
                    <a:endParaRPr lang="en-US"/>
                  </a:p>
                </c:rich>
              </c:tx>
              <c:dLblPos val="b"/>
              <c:showVal val="1"/>
              <c:extLst xmlns:c16r2="http://schemas.microsoft.com/office/drawing/2015/06/chart">
                <c:ext xmlns:c16="http://schemas.microsoft.com/office/drawing/2014/chart" uri="{C3380CC4-5D6E-409C-BE32-E72D297353CC}">
                  <c16:uniqueId val="{00000005-79DA-45C9-9138-3512E70D517D}"/>
                </c:ext>
                <c:ext xmlns:c15="http://schemas.microsoft.com/office/drawing/2012/chart" uri="{CE6537A1-D6FC-4f65-9D91-7224C49458BB}">
                  <c15:layout/>
                </c:ext>
              </c:extLst>
            </c:dLbl>
            <c:dLbl>
              <c:idx val="6"/>
              <c:tx>
                <c:rich>
                  <a:bodyPr/>
                  <a:lstStyle/>
                  <a:p>
                    <a:r>
                      <a:rPr lang="en-US" sz="1100" b="1" smtClean="0">
                        <a:latin typeface="Times New Roman" pitchFamily="18" charset="0"/>
                        <a:cs typeface="Times New Roman" pitchFamily="18" charset="0"/>
                      </a:rPr>
                      <a:t>1</a:t>
                    </a:r>
                    <a:r>
                      <a:rPr lang="en-US" smtClean="0"/>
                      <a:t>6.385</a:t>
                    </a:r>
                    <a:endParaRPr lang="en-US"/>
                  </a:p>
                </c:rich>
              </c:tx>
              <c:dLblPos val="b"/>
              <c:showVal val="1"/>
              <c:extLst xmlns:c16r2="http://schemas.microsoft.com/office/drawing/2015/06/chart">
                <c:ext xmlns:c16="http://schemas.microsoft.com/office/drawing/2014/chart" uri="{C3380CC4-5D6E-409C-BE32-E72D297353CC}">
                  <c16:uniqueId val="{00000006-79DA-45C9-9138-3512E70D517D}"/>
                </c:ext>
                <c:ext xmlns:c15="http://schemas.microsoft.com/office/drawing/2012/chart" uri="{CE6537A1-D6FC-4f65-9D91-7224C49458BB}">
                  <c15:layout/>
                </c:ext>
              </c:extLst>
            </c:dLbl>
            <c:dLbl>
              <c:idx val="7"/>
              <c:tx>
                <c:rich>
                  <a:bodyPr/>
                  <a:lstStyle/>
                  <a:p>
                    <a:r>
                      <a:rPr lang="en-US" sz="1100" b="1" smtClean="0">
                        <a:latin typeface="Times New Roman" pitchFamily="18" charset="0"/>
                        <a:cs typeface="Times New Roman" pitchFamily="18" charset="0"/>
                      </a:rPr>
                      <a:t>1</a:t>
                    </a:r>
                    <a:r>
                      <a:rPr lang="en-US" smtClean="0"/>
                      <a:t>7.023</a:t>
                    </a:r>
                    <a:endParaRPr lang="en-US" dirty="0"/>
                  </a:p>
                </c:rich>
              </c:tx>
              <c:dLblPos val="b"/>
              <c:showVal val="1"/>
              <c:extLst>
                <c:ext xmlns:c15="http://schemas.microsoft.com/office/drawing/2012/chart" uri="{CE6537A1-D6FC-4f65-9D91-7224C49458BB}">
                  <c15:layout/>
                </c:ext>
              </c:extLst>
            </c:dLbl>
            <c:dLbl>
              <c:idx val="8"/>
              <c:layout>
                <c:manualLayout>
                  <c:x val="-1.8321248656703301E-2"/>
                  <c:y val="0.15747809301615193"/>
                </c:manualLayout>
              </c:layout>
              <c:tx>
                <c:rich>
                  <a:bodyPr/>
                  <a:lstStyle/>
                  <a:p>
                    <a:r>
                      <a:rPr lang="en-US" sz="1100" b="1" smtClean="0">
                        <a:latin typeface="Times New Roman" pitchFamily="18" charset="0"/>
                        <a:cs typeface="Times New Roman" pitchFamily="18" charset="0"/>
                      </a:rPr>
                      <a:t>1</a:t>
                    </a:r>
                    <a:r>
                      <a:rPr lang="en-US" smtClean="0"/>
                      <a:t>9.577</a:t>
                    </a:r>
                    <a:endParaRPr lang="en-US" dirty="0"/>
                  </a:p>
                </c:rich>
              </c:tx>
              <c:dLblPos val="r"/>
              <c:showVal val="1"/>
              <c:extLst>
                <c:ext xmlns:c15="http://schemas.microsoft.com/office/drawing/2012/chart" uri="{CE6537A1-D6FC-4f65-9D91-7224C49458BB}">
                  <c15:layout/>
                </c:ext>
              </c:extLst>
            </c:dLbl>
            <c:txPr>
              <a:bodyPr/>
              <a:lstStyle/>
              <a:p>
                <a:pPr>
                  <a:defRPr sz="1100" b="1">
                    <a:latin typeface="Times New Roman" pitchFamily="18" charset="0"/>
                    <a:cs typeface="Times New Roman" pitchFamily="18" charset="0"/>
                  </a:defRPr>
                </a:pPr>
                <a:endParaRPr lang="ro-RO"/>
              </a:p>
            </c:txPr>
            <c:dLblPos val="b"/>
            <c:showVal val="1"/>
            <c:extLst xmlns:c16r2="http://schemas.microsoft.com/office/drawing/2015/06/chart">
              <c:ext xmlns:c15="http://schemas.microsoft.com/office/drawing/2012/chart" uri="{CE6537A1-D6FC-4f65-9D91-7224C49458BB}">
                <c15:layout/>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#,##0</c:formatCode>
                <c:ptCount val="9"/>
                <c:pt idx="0">
                  <c:v>15925</c:v>
                </c:pt>
                <c:pt idx="1">
                  <c:v>14793</c:v>
                </c:pt>
                <c:pt idx="2">
                  <c:v>15389</c:v>
                </c:pt>
                <c:pt idx="3">
                  <c:v>13345</c:v>
                </c:pt>
                <c:pt idx="4">
                  <c:v>17649</c:v>
                </c:pt>
                <c:pt idx="5">
                  <c:v>16063</c:v>
                </c:pt>
                <c:pt idx="6">
                  <c:v>16385</c:v>
                </c:pt>
                <c:pt idx="7">
                  <c:v>17023</c:v>
                </c:pt>
                <c:pt idx="8">
                  <c:v>19577</c:v>
                </c:pt>
              </c:numCache>
            </c:numRef>
          </c:val>
          <c:extLst xmlns:c16r2="http://schemas.microsoft.com/office/drawing/2015/06/chart">
            <c:ext xmlns:c16="http://schemas.microsoft.com/office/drawing/2014/chart" uri="{C3380CC4-5D6E-409C-BE32-E72D297353CC}">
              <c16:uniqueId val="{00000007-79DA-45C9-9138-3512E70D517D}"/>
            </c:ext>
          </c:extLst>
        </c:ser>
        <c:dLbls>
          <c:showVal val="1"/>
        </c:dLbls>
        <c:marker val="1"/>
        <c:axId val="59793408"/>
        <c:axId val="59794944"/>
      </c:lineChart>
      <c:catAx>
        <c:axId val="59793408"/>
        <c:scaling>
          <c:orientation val="minMax"/>
        </c:scaling>
        <c:axPos val="b"/>
        <c:numFmt formatCode="General" sourceLinked="1"/>
        <c:tickLblPos val="nextTo"/>
        <c:txPr>
          <a:bodyPr/>
          <a:lstStyle/>
          <a:p>
            <a:pPr>
              <a:defRPr b="1">
                <a:latin typeface="Times New Roman" pitchFamily="18" charset="0"/>
                <a:cs typeface="Times New Roman" pitchFamily="18" charset="0"/>
              </a:defRPr>
            </a:pPr>
            <a:endParaRPr lang="ro-RO"/>
          </a:p>
        </c:txPr>
        <c:crossAx val="59794944"/>
        <c:crosses val="autoZero"/>
        <c:auto val="1"/>
        <c:lblAlgn val="ctr"/>
        <c:lblOffset val="100"/>
      </c:catAx>
      <c:valAx>
        <c:axId val="59794944"/>
        <c:scaling>
          <c:orientation val="minMax"/>
          <c:min val="12000"/>
        </c:scaling>
        <c:delete val="1"/>
        <c:axPos val="l"/>
        <c:numFmt formatCode="#,##0" sourceLinked="1"/>
        <c:tickLblPos val="none"/>
        <c:crossAx val="59793408"/>
        <c:crosses val="autoZero"/>
        <c:crossBetween val="between"/>
      </c:valAx>
      <c:spPr>
        <a:noFill/>
      </c:spPr>
    </c:plotArea>
    <c:plotVisOnly val="1"/>
    <c:dispBlanksAs val="gap"/>
  </c:chart>
  <c:spPr>
    <a:noFill/>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o-RO"/>
  <c:style val="30"/>
  <c:chart>
    <c:autoTitleDeleted val="1"/>
    <c:plotArea>
      <c:layout>
        <c:manualLayout>
          <c:layoutTarget val="inner"/>
          <c:xMode val="edge"/>
          <c:yMode val="edge"/>
          <c:x val="3.9158100832109646E-3"/>
          <c:y val="7.2607260726072612E-2"/>
          <c:w val="0.99412628487518351"/>
          <c:h val="0.76937293729373268"/>
        </c:manualLayout>
      </c:layout>
      <c:lineChart>
        <c:grouping val="standard"/>
        <c:ser>
          <c:idx val="0"/>
          <c:order val="0"/>
          <c:tx>
            <c:strRef>
              <c:f>Sheet1!$B$1</c:f>
              <c:strCache>
                <c:ptCount val="1"/>
                <c:pt idx="0">
                  <c:v>Series 1</c:v>
                </c:pt>
              </c:strCache>
            </c:strRef>
          </c:tx>
          <c:spPr>
            <a:ln>
              <a:solidFill>
                <a:srgbClr val="4F81BD"/>
              </a:solidFill>
            </a:ln>
          </c:spPr>
          <c:marker>
            <c:spPr>
              <a:solidFill>
                <a:srgbClr val="4F81BD"/>
              </a:solidFill>
              <a:ln>
                <a:noFill/>
              </a:ln>
            </c:spPr>
          </c:marker>
          <c:dLbls>
            <c:dLbl>
              <c:idx val="0"/>
              <c:tx>
                <c:rich>
                  <a:bodyPr/>
                  <a:lstStyle/>
                  <a:p>
                    <a:r>
                      <a:rPr lang="en-US" sz="1100" smtClean="0">
                        <a:latin typeface="Times New Roman" pitchFamily="18" charset="0"/>
                        <a:cs typeface="Times New Roman" pitchFamily="18" charset="0"/>
                      </a:rPr>
                      <a:t>6</a:t>
                    </a:r>
                    <a:r>
                      <a:rPr lang="en-US" smtClean="0"/>
                      <a:t>2.639</a:t>
                    </a:r>
                    <a:endParaRPr lang="en-US"/>
                  </a:p>
                </c:rich>
              </c:tx>
              <c:dLblPos val="t"/>
              <c:showVal val="1"/>
              <c:extLst xmlns:c16r2="http://schemas.microsoft.com/office/drawing/2015/06/chart">
                <c:ext xmlns:c16="http://schemas.microsoft.com/office/drawing/2014/chart" uri="{C3380CC4-5D6E-409C-BE32-E72D297353CC}">
                  <c16:uniqueId val="{00000000-A3DC-4415-B4F9-848B75628249}"/>
                </c:ext>
                <c:ext xmlns:c15="http://schemas.microsoft.com/office/drawing/2012/chart" uri="{CE6537A1-D6FC-4f65-9D91-7224C49458BB}">
                  <c15:layout/>
                </c:ext>
              </c:extLst>
            </c:dLbl>
            <c:dLbl>
              <c:idx val="1"/>
              <c:tx>
                <c:rich>
                  <a:bodyPr/>
                  <a:lstStyle/>
                  <a:p>
                    <a:r>
                      <a:rPr lang="en-US" sz="1100" smtClean="0">
                        <a:latin typeface="Times New Roman" pitchFamily="18" charset="0"/>
                        <a:cs typeface="Times New Roman" pitchFamily="18" charset="0"/>
                      </a:rPr>
                      <a:t>5</a:t>
                    </a:r>
                    <a:r>
                      <a:rPr lang="en-US" smtClean="0"/>
                      <a:t>9.055</a:t>
                    </a:r>
                    <a:endParaRPr lang="en-US"/>
                  </a:p>
                </c:rich>
              </c:tx>
              <c:dLblPos val="t"/>
              <c:showVal val="1"/>
              <c:extLst xmlns:c16r2="http://schemas.microsoft.com/office/drawing/2015/06/chart">
                <c:ext xmlns:c16="http://schemas.microsoft.com/office/drawing/2014/chart" uri="{C3380CC4-5D6E-409C-BE32-E72D297353CC}">
                  <c16:uniqueId val="{00000001-A3DC-4415-B4F9-848B75628249}"/>
                </c:ext>
                <c:ext xmlns:c15="http://schemas.microsoft.com/office/drawing/2012/chart" uri="{CE6537A1-D6FC-4f65-9D91-7224C49458BB}">
                  <c15:layout/>
                </c:ext>
              </c:extLst>
            </c:dLbl>
            <c:dLbl>
              <c:idx val="2"/>
              <c:tx>
                <c:rich>
                  <a:bodyPr/>
                  <a:lstStyle/>
                  <a:p>
                    <a:r>
                      <a:rPr lang="en-US" sz="1100" smtClean="0">
                        <a:latin typeface="Times New Roman" pitchFamily="18" charset="0"/>
                        <a:cs typeface="Times New Roman" pitchFamily="18" charset="0"/>
                      </a:rPr>
                      <a:t>5</a:t>
                    </a:r>
                    <a:r>
                      <a:rPr lang="en-US" smtClean="0"/>
                      <a:t>8.167</a:t>
                    </a:r>
                    <a:endParaRPr lang="en-US"/>
                  </a:p>
                </c:rich>
              </c:tx>
              <c:dLblPos val="t"/>
              <c:showVal val="1"/>
              <c:extLst xmlns:c16r2="http://schemas.microsoft.com/office/drawing/2015/06/chart">
                <c:ext xmlns:c16="http://schemas.microsoft.com/office/drawing/2014/chart" uri="{C3380CC4-5D6E-409C-BE32-E72D297353CC}">
                  <c16:uniqueId val="{00000002-A3DC-4415-B4F9-848B75628249}"/>
                </c:ext>
                <c:ext xmlns:c15="http://schemas.microsoft.com/office/drawing/2012/chart" uri="{CE6537A1-D6FC-4f65-9D91-7224C49458BB}">
                  <c15:layout/>
                </c:ext>
              </c:extLst>
            </c:dLbl>
            <c:dLbl>
              <c:idx val="3"/>
              <c:tx>
                <c:rich>
                  <a:bodyPr/>
                  <a:lstStyle/>
                  <a:p>
                    <a:r>
                      <a:rPr lang="en-US" sz="1100" smtClean="0">
                        <a:latin typeface="Times New Roman" pitchFamily="18" charset="0"/>
                        <a:cs typeface="Times New Roman" pitchFamily="18" charset="0"/>
                      </a:rPr>
                      <a:t>5</a:t>
                    </a:r>
                    <a:r>
                      <a:rPr lang="en-US" smtClean="0"/>
                      <a:t>2.049</a:t>
                    </a:r>
                    <a:endParaRPr lang="en-US"/>
                  </a:p>
                </c:rich>
              </c:tx>
              <c:dLblPos val="t"/>
              <c:showVal val="1"/>
              <c:extLst xmlns:c16r2="http://schemas.microsoft.com/office/drawing/2015/06/chart">
                <c:ext xmlns:c16="http://schemas.microsoft.com/office/drawing/2014/chart" uri="{C3380CC4-5D6E-409C-BE32-E72D297353CC}">
                  <c16:uniqueId val="{00000003-A3DC-4415-B4F9-848B75628249}"/>
                </c:ext>
                <c:ext xmlns:c15="http://schemas.microsoft.com/office/drawing/2012/chart" uri="{CE6537A1-D6FC-4f65-9D91-7224C49458BB}">
                  <c15:layout/>
                </c:ext>
              </c:extLst>
            </c:dLbl>
            <c:dLbl>
              <c:idx val="4"/>
              <c:tx>
                <c:rich>
                  <a:bodyPr/>
                  <a:lstStyle/>
                  <a:p>
                    <a:r>
                      <a:rPr lang="en-US" sz="1100" smtClean="0">
                        <a:latin typeface="Times New Roman" pitchFamily="18" charset="0"/>
                        <a:cs typeface="Times New Roman" pitchFamily="18" charset="0"/>
                      </a:rPr>
                      <a:t>5</a:t>
                    </a:r>
                    <a:r>
                      <a:rPr lang="en-US" smtClean="0"/>
                      <a:t>0.738</a:t>
                    </a:r>
                    <a:endParaRPr lang="en-US"/>
                  </a:p>
                </c:rich>
              </c:tx>
              <c:dLblPos val="t"/>
              <c:showVal val="1"/>
              <c:extLst xmlns:c16r2="http://schemas.microsoft.com/office/drawing/2015/06/chart">
                <c:ext xmlns:c16="http://schemas.microsoft.com/office/drawing/2014/chart" uri="{C3380CC4-5D6E-409C-BE32-E72D297353CC}">
                  <c16:uniqueId val="{00000004-A3DC-4415-B4F9-848B75628249}"/>
                </c:ext>
                <c:ext xmlns:c15="http://schemas.microsoft.com/office/drawing/2012/chart" uri="{CE6537A1-D6FC-4f65-9D91-7224C49458BB}">
                  <c15:layout/>
                </c:ext>
              </c:extLst>
            </c:dLbl>
            <c:dLbl>
              <c:idx val="5"/>
              <c:tx>
                <c:rich>
                  <a:bodyPr/>
                  <a:lstStyle/>
                  <a:p>
                    <a:r>
                      <a:rPr lang="en-US" sz="1100" smtClean="0">
                        <a:latin typeface="Times New Roman" pitchFamily="18" charset="0"/>
                        <a:cs typeface="Times New Roman" pitchFamily="18" charset="0"/>
                      </a:rPr>
                      <a:t>4</a:t>
                    </a:r>
                    <a:r>
                      <a:rPr lang="en-US" smtClean="0"/>
                      <a:t>7.718</a:t>
                    </a:r>
                    <a:endParaRPr lang="en-US"/>
                  </a:p>
                </c:rich>
              </c:tx>
              <c:dLblPos val="t"/>
              <c:showVal val="1"/>
              <c:extLst xmlns:c16r2="http://schemas.microsoft.com/office/drawing/2015/06/chart">
                <c:ext xmlns:c16="http://schemas.microsoft.com/office/drawing/2014/chart" uri="{C3380CC4-5D6E-409C-BE32-E72D297353CC}">
                  <c16:uniqueId val="{00000005-A3DC-4415-B4F9-848B75628249}"/>
                </c:ext>
                <c:ext xmlns:c15="http://schemas.microsoft.com/office/drawing/2012/chart" uri="{CE6537A1-D6FC-4f65-9D91-7224C49458BB}">
                  <c15:layout/>
                </c:ext>
              </c:extLst>
            </c:dLbl>
            <c:dLbl>
              <c:idx val="6"/>
              <c:tx>
                <c:rich>
                  <a:bodyPr/>
                  <a:lstStyle/>
                  <a:p>
                    <a:r>
                      <a:rPr lang="en-US" sz="1100" smtClean="0">
                        <a:latin typeface="Times New Roman" pitchFamily="18" charset="0"/>
                        <a:cs typeface="Times New Roman" pitchFamily="18" charset="0"/>
                      </a:rPr>
                      <a:t>4</a:t>
                    </a:r>
                    <a:r>
                      <a:rPr lang="en-US" smtClean="0"/>
                      <a:t>2.535</a:t>
                    </a:r>
                    <a:endParaRPr lang="en-US"/>
                  </a:p>
                </c:rich>
              </c:tx>
              <c:dLblPos val="t"/>
              <c:showVal val="1"/>
              <c:extLst xmlns:c16r2="http://schemas.microsoft.com/office/drawing/2015/06/chart">
                <c:ext xmlns:c16="http://schemas.microsoft.com/office/drawing/2014/chart" uri="{C3380CC4-5D6E-409C-BE32-E72D297353CC}">
                  <c16:uniqueId val="{00000006-A3DC-4415-B4F9-848B75628249}"/>
                </c:ext>
                <c:ext xmlns:c15="http://schemas.microsoft.com/office/drawing/2012/chart" uri="{CE6537A1-D6FC-4f65-9D91-7224C49458BB}">
                  <c15:layout/>
                </c:ext>
              </c:extLst>
            </c:dLbl>
            <c:dLbl>
              <c:idx val="7"/>
              <c:tx>
                <c:rich>
                  <a:bodyPr/>
                  <a:lstStyle/>
                  <a:p>
                    <a:r>
                      <a:rPr lang="en-US" sz="1100" smtClean="0">
                        <a:latin typeface="Times New Roman" pitchFamily="18" charset="0"/>
                        <a:cs typeface="Times New Roman" pitchFamily="18" charset="0"/>
                      </a:rPr>
                      <a:t>3</a:t>
                    </a:r>
                    <a:r>
                      <a:rPr lang="en-US" smtClean="0"/>
                      <a:t>7.465</a:t>
                    </a:r>
                  </a:p>
                </c:rich>
              </c:tx>
              <c:dLblPos val="t"/>
              <c:showVal val="1"/>
              <c:extLst>
                <c:ext xmlns:c15="http://schemas.microsoft.com/office/drawing/2012/chart" uri="{CE6537A1-D6FC-4f65-9D91-7224C49458BB}">
                  <c15:layout/>
                </c:ext>
              </c:extLst>
            </c:dLbl>
            <c:dLbl>
              <c:idx val="8"/>
              <c:tx>
                <c:rich>
                  <a:bodyPr/>
                  <a:lstStyle/>
                  <a:p>
                    <a:r>
                      <a:rPr lang="en-US" sz="1100" smtClean="0">
                        <a:latin typeface="Times New Roman" pitchFamily="18" charset="0"/>
                        <a:cs typeface="Times New Roman" pitchFamily="18" charset="0"/>
                      </a:rPr>
                      <a:t>3</a:t>
                    </a:r>
                    <a:r>
                      <a:rPr lang="en-US" smtClean="0"/>
                      <a:t>6.148</a:t>
                    </a:r>
                    <a:endParaRPr lang="en-US" dirty="0"/>
                  </a:p>
                </c:rich>
              </c:tx>
              <c:dLblPos val="t"/>
              <c:showVal val="1"/>
              <c:extLst>
                <c:ext xmlns:c15="http://schemas.microsoft.com/office/drawing/2012/chart" uri="{CE6537A1-D6FC-4f65-9D91-7224C49458BB}">
                  <c15:layout/>
                </c:ext>
              </c:extLst>
            </c:dLbl>
            <c:spPr>
              <a:noFill/>
              <a:ln>
                <a:noFill/>
              </a:ln>
              <a:effectLst/>
            </c:spPr>
            <c:txPr>
              <a:bodyPr/>
              <a:lstStyle/>
              <a:p>
                <a:pPr>
                  <a:defRPr sz="1100" b="1">
                    <a:latin typeface="Times New Roman" pitchFamily="18" charset="0"/>
                    <a:cs typeface="Times New Roman" pitchFamily="18" charset="0"/>
                  </a:defRPr>
                </a:pPr>
                <a:endParaRPr lang="ro-RO"/>
              </a:p>
            </c:txPr>
            <c:dLblPos val="t"/>
            <c:showVal val="1"/>
            <c:extLst xmlns:c16r2="http://schemas.microsoft.com/office/drawing/2015/06/chart">
              <c:ext xmlns:c15="http://schemas.microsoft.com/office/drawing/2012/chart" uri="{CE6537A1-D6FC-4f65-9D91-7224C49458BB}">
                <c15:layout/>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#,##0</c:formatCode>
                <c:ptCount val="9"/>
                <c:pt idx="0">
                  <c:v>62639</c:v>
                </c:pt>
                <c:pt idx="1">
                  <c:v>59055</c:v>
                </c:pt>
                <c:pt idx="2">
                  <c:v>58167</c:v>
                </c:pt>
                <c:pt idx="3">
                  <c:v>52049</c:v>
                </c:pt>
                <c:pt idx="4">
                  <c:v>50738</c:v>
                </c:pt>
                <c:pt idx="5">
                  <c:v>47718</c:v>
                </c:pt>
                <c:pt idx="6">
                  <c:v>42535</c:v>
                </c:pt>
                <c:pt idx="7">
                  <c:v>37465</c:v>
                </c:pt>
                <c:pt idx="8">
                  <c:v>36148</c:v>
                </c:pt>
              </c:numCache>
            </c:numRef>
          </c:val>
          <c:extLst xmlns:c16r2="http://schemas.microsoft.com/office/drawing/2015/06/chart">
            <c:ext xmlns:c16="http://schemas.microsoft.com/office/drawing/2014/chart" uri="{C3380CC4-5D6E-409C-BE32-E72D297353CC}">
              <c16:uniqueId val="{00000007-A3DC-4415-B4F9-848B75628249}"/>
            </c:ext>
          </c:extLst>
        </c:ser>
        <c:dLbls>
          <c:showVal val="1"/>
        </c:dLbls>
        <c:marker val="1"/>
        <c:axId val="64377216"/>
        <c:axId val="64378752"/>
      </c:lineChart>
      <c:catAx>
        <c:axId val="64377216"/>
        <c:scaling>
          <c:orientation val="minMax"/>
        </c:scaling>
        <c:axPos val="b"/>
        <c:numFmt formatCode="General" sourceLinked="1"/>
        <c:tickLblPos val="nextTo"/>
        <c:txPr>
          <a:bodyPr/>
          <a:lstStyle/>
          <a:p>
            <a:pPr>
              <a:defRPr sz="1000" b="1">
                <a:latin typeface="Times New Roman" pitchFamily="18" charset="0"/>
                <a:cs typeface="Times New Roman" pitchFamily="18" charset="0"/>
              </a:defRPr>
            </a:pPr>
            <a:endParaRPr lang="ro-RO"/>
          </a:p>
        </c:txPr>
        <c:crossAx val="64378752"/>
        <c:crosses val="autoZero"/>
        <c:auto val="1"/>
        <c:lblAlgn val="ctr"/>
        <c:lblOffset val="100"/>
      </c:catAx>
      <c:valAx>
        <c:axId val="64378752"/>
        <c:scaling>
          <c:orientation val="minMax"/>
          <c:min val="35000"/>
        </c:scaling>
        <c:delete val="1"/>
        <c:axPos val="l"/>
        <c:numFmt formatCode="#,##0" sourceLinked="1"/>
        <c:tickLblPos val="none"/>
        <c:crossAx val="64377216"/>
        <c:crosses val="autoZero"/>
        <c:crossBetween val="between"/>
      </c:valAx>
      <c:spPr>
        <a:noFill/>
      </c:spPr>
    </c:plotArea>
    <c:plotVisOnly val="1"/>
    <c:dispBlanksAs val="gap"/>
  </c:chart>
  <c:spPr>
    <a:noFill/>
    <a:ln>
      <a:noFill/>
    </a:ln>
  </c:spPr>
  <c:txPr>
    <a:bodyPr/>
    <a:lstStyle/>
    <a:p>
      <a:pPr>
        <a:defRPr sz="1800"/>
      </a:pPr>
      <a:endParaRPr lang="ro-RO"/>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o-RO"/>
  <c:style val="30"/>
  <c:chart>
    <c:autoTitleDeleted val="1"/>
    <c:plotArea>
      <c:layout>
        <c:manualLayout>
          <c:layoutTarget val="inner"/>
          <c:xMode val="edge"/>
          <c:yMode val="edge"/>
          <c:x val="9.2911066529055065E-4"/>
          <c:y val="2.5114072279426611E-2"/>
          <c:w val="0.99864862253043563"/>
          <c:h val="0.82793811831213415"/>
        </c:manualLayout>
      </c:layout>
      <c:lineChart>
        <c:grouping val="standard"/>
        <c:ser>
          <c:idx val="0"/>
          <c:order val="0"/>
          <c:tx>
            <c:strRef>
              <c:f>Sheet1!$B$1</c:f>
              <c:strCache>
                <c:ptCount val="1"/>
                <c:pt idx="0">
                  <c:v>Series 1</c:v>
                </c:pt>
              </c:strCache>
            </c:strRef>
          </c:tx>
          <c:spPr>
            <a:ln>
              <a:solidFill>
                <a:srgbClr val="4F81BD"/>
              </a:solidFill>
            </a:ln>
          </c:spPr>
          <c:marker>
            <c:spPr>
              <a:solidFill>
                <a:srgbClr val="4F81BD"/>
              </a:solidFill>
              <a:ln>
                <a:noFill/>
              </a:ln>
            </c:spPr>
          </c:marker>
          <c:dLbls>
            <c:dLbl>
              <c:idx val="0"/>
              <c:layout>
                <c:manualLayout>
                  <c:x val="-5.6579701730832016E-2"/>
                  <c:y val="-0.13107003729796934"/>
                </c:manualLayout>
              </c:layout>
              <c:tx>
                <c:rich>
                  <a:bodyPr/>
                  <a:lstStyle/>
                  <a:p>
                    <a:r>
                      <a:rPr lang="en-US" sz="1100" smtClean="0">
                        <a:latin typeface="Times New Roman" pitchFamily="18" charset="0"/>
                        <a:cs typeface="Times New Roman" pitchFamily="18" charset="0"/>
                      </a:rPr>
                      <a:t>4</a:t>
                    </a:r>
                    <a:r>
                      <a:rPr lang="en-US" smtClean="0"/>
                      <a:t>3.208</a:t>
                    </a:r>
                    <a:endParaRPr lang="en-US"/>
                  </a:p>
                </c:rich>
              </c:tx>
              <c:dLblPos val="r"/>
              <c:showVal val="1"/>
              <c:separator>. </c:separator>
              <c:extLst xmlns:c16r2="http://schemas.microsoft.com/office/drawing/2015/06/chart">
                <c:ext xmlns:c16="http://schemas.microsoft.com/office/drawing/2014/chart" uri="{C3380CC4-5D6E-409C-BE32-E72D297353CC}">
                  <c16:uniqueId val="{00000000-0362-4E69-9F33-2D1DAAB8856E}"/>
                </c:ext>
                <c:ext xmlns:c15="http://schemas.microsoft.com/office/drawing/2012/chart" uri="{CE6537A1-D6FC-4f65-9D91-7224C49458BB}">
                  <c15:layout/>
                </c:ext>
              </c:extLst>
            </c:dLbl>
            <c:dLbl>
              <c:idx val="1"/>
              <c:layout>
                <c:manualLayout>
                  <c:x val="-5.6579701730832016E-2"/>
                  <c:y val="-0.13107003729796934"/>
                </c:manualLayout>
              </c:layout>
              <c:tx>
                <c:rich>
                  <a:bodyPr/>
                  <a:lstStyle/>
                  <a:p>
                    <a:r>
                      <a:rPr lang="en-US" sz="1100" smtClean="0">
                        <a:latin typeface="Times New Roman" pitchFamily="18" charset="0"/>
                        <a:cs typeface="Times New Roman" pitchFamily="18" charset="0"/>
                      </a:rPr>
                      <a:t>3</a:t>
                    </a:r>
                    <a:r>
                      <a:rPr lang="en-US" smtClean="0"/>
                      <a:t>8.695</a:t>
                    </a:r>
                    <a:endParaRPr lang="en-US"/>
                  </a:p>
                </c:rich>
              </c:tx>
              <c:dLblPos val="r"/>
              <c:showVal val="1"/>
              <c:separator>. </c:separator>
              <c:extLst xmlns:c16r2="http://schemas.microsoft.com/office/drawing/2015/06/chart">
                <c:ext xmlns:c16="http://schemas.microsoft.com/office/drawing/2014/chart" uri="{C3380CC4-5D6E-409C-BE32-E72D297353CC}">
                  <c16:uniqueId val="{00000001-0362-4E69-9F33-2D1DAAB8856E}"/>
                </c:ext>
                <c:ext xmlns:c15="http://schemas.microsoft.com/office/drawing/2012/chart" uri="{CE6537A1-D6FC-4f65-9D91-7224C49458BB}">
                  <c15:layout/>
                </c:ext>
              </c:extLst>
            </c:dLbl>
            <c:dLbl>
              <c:idx val="2"/>
              <c:layout>
                <c:manualLayout>
                  <c:x val="-4.8387177409275464E-2"/>
                  <c:y val="-0.11703494957867183"/>
                </c:manualLayout>
              </c:layout>
              <c:tx>
                <c:rich>
                  <a:bodyPr/>
                  <a:lstStyle/>
                  <a:p>
                    <a:r>
                      <a:rPr lang="en-US" sz="1100" smtClean="0">
                        <a:latin typeface="Times New Roman" pitchFamily="18" charset="0"/>
                        <a:cs typeface="Times New Roman" pitchFamily="18" charset="0"/>
                      </a:rPr>
                      <a:t>3</a:t>
                    </a:r>
                    <a:r>
                      <a:rPr lang="en-US" smtClean="0"/>
                      <a:t>8.456</a:t>
                    </a:r>
                    <a:endParaRPr lang="en-US"/>
                  </a:p>
                </c:rich>
              </c:tx>
              <c:dLblPos val="r"/>
              <c:showVal val="1"/>
              <c:separator>. </c:separator>
              <c:extLst xmlns:c16r2="http://schemas.microsoft.com/office/drawing/2015/06/chart">
                <c:ext xmlns:c16="http://schemas.microsoft.com/office/drawing/2014/chart" uri="{C3380CC4-5D6E-409C-BE32-E72D297353CC}">
                  <c16:uniqueId val="{00000002-0362-4E69-9F33-2D1DAAB8856E}"/>
                </c:ext>
                <c:ext xmlns:c15="http://schemas.microsoft.com/office/drawing/2012/chart" uri="{CE6537A1-D6FC-4f65-9D91-7224C49458BB}">
                  <c15:layout/>
                </c:ext>
              </c:extLst>
            </c:dLbl>
            <c:dLbl>
              <c:idx val="3"/>
              <c:layout>
                <c:manualLayout>
                  <c:x val="-4.8387177409275464E-2"/>
                  <c:y val="-0.15212266887691669"/>
                </c:manualLayout>
              </c:layout>
              <c:tx>
                <c:rich>
                  <a:bodyPr/>
                  <a:lstStyle/>
                  <a:p>
                    <a:r>
                      <a:rPr lang="en-US" sz="1100" smtClean="0">
                        <a:latin typeface="Times New Roman" pitchFamily="18" charset="0"/>
                        <a:cs typeface="Times New Roman" pitchFamily="18" charset="0"/>
                      </a:rPr>
                      <a:t>3</a:t>
                    </a:r>
                    <a:r>
                      <a:rPr lang="en-US" smtClean="0"/>
                      <a:t>3.203</a:t>
                    </a:r>
                    <a:endParaRPr lang="en-US"/>
                  </a:p>
                </c:rich>
              </c:tx>
              <c:dLblPos val="r"/>
              <c:showVal val="1"/>
              <c:separator>. </c:separator>
              <c:extLst xmlns:c16r2="http://schemas.microsoft.com/office/drawing/2015/06/chart">
                <c:ext xmlns:c16="http://schemas.microsoft.com/office/drawing/2014/chart" uri="{C3380CC4-5D6E-409C-BE32-E72D297353CC}">
                  <c16:uniqueId val="{00000003-0362-4E69-9F33-2D1DAAB8856E}"/>
                </c:ext>
                <c:ext xmlns:c15="http://schemas.microsoft.com/office/drawing/2012/chart" uri="{CE6537A1-D6FC-4f65-9D91-7224C49458BB}">
                  <c15:layout/>
                </c:ext>
              </c:extLst>
            </c:dLbl>
            <c:dLbl>
              <c:idx val="4"/>
              <c:layout>
                <c:manualLayout>
                  <c:x val="-5.6579701730832016E-2"/>
                  <c:y val="-0.14510512501726774"/>
                </c:manualLayout>
              </c:layout>
              <c:tx>
                <c:rich>
                  <a:bodyPr/>
                  <a:lstStyle/>
                  <a:p>
                    <a:r>
                      <a:rPr lang="en-US" sz="1100" smtClean="0">
                        <a:latin typeface="Times New Roman" pitchFamily="18" charset="0"/>
                        <a:cs typeface="Times New Roman" pitchFamily="18" charset="0"/>
                      </a:rPr>
                      <a:t>3</a:t>
                    </a:r>
                    <a:r>
                      <a:rPr lang="en-US" smtClean="0"/>
                      <a:t>1.724</a:t>
                    </a:r>
                    <a:endParaRPr lang="en-US"/>
                  </a:p>
                </c:rich>
              </c:tx>
              <c:dLblPos val="r"/>
              <c:showVal val="1"/>
              <c:separator>. </c:separator>
              <c:extLst xmlns:c16r2="http://schemas.microsoft.com/office/drawing/2015/06/chart">
                <c:ext xmlns:c16="http://schemas.microsoft.com/office/drawing/2014/chart" uri="{C3380CC4-5D6E-409C-BE32-E72D297353CC}">
                  <c16:uniqueId val="{00000004-0362-4E69-9F33-2D1DAAB8856E}"/>
                </c:ext>
                <c:ext xmlns:c15="http://schemas.microsoft.com/office/drawing/2012/chart" uri="{CE6537A1-D6FC-4f65-9D91-7224C49458BB}">
                  <c15:layout/>
                </c:ext>
              </c:extLst>
            </c:dLbl>
            <c:dLbl>
              <c:idx val="5"/>
              <c:layout>
                <c:manualLayout>
                  <c:x val="-3.072196620583718E-2"/>
                  <c:y val="-0.11929824561403519"/>
                </c:manualLayout>
              </c:layout>
              <c:tx>
                <c:rich>
                  <a:bodyPr/>
                  <a:lstStyle/>
                  <a:p>
                    <a:r>
                      <a:rPr lang="en-US" sz="1100" smtClean="0">
                        <a:latin typeface="Times New Roman" pitchFamily="18" charset="0"/>
                        <a:cs typeface="Times New Roman" pitchFamily="18" charset="0"/>
                      </a:rPr>
                      <a:t>3</a:t>
                    </a:r>
                    <a:r>
                      <a:rPr lang="en-US" smtClean="0"/>
                      <a:t>1.330</a:t>
                    </a:r>
                    <a:endParaRPr lang="en-US"/>
                  </a:p>
                </c:rich>
              </c:tx>
              <c:dLblPos val="r"/>
              <c:showVal val="1"/>
              <c:separator>. </c:separator>
            </c:dLbl>
            <c:dLbl>
              <c:idx val="6"/>
              <c:layout>
                <c:manualLayout>
                  <c:x val="-4.7107014848950766E-2"/>
                  <c:y val="-0.11228070175438599"/>
                </c:manualLayout>
              </c:layout>
              <c:tx>
                <c:rich>
                  <a:bodyPr/>
                  <a:lstStyle/>
                  <a:p>
                    <a:r>
                      <a:rPr lang="en-US" sz="1100" dirty="0" smtClean="0">
                        <a:latin typeface="Times New Roman" pitchFamily="18" charset="0"/>
                        <a:cs typeface="Times New Roman" pitchFamily="18" charset="0"/>
                      </a:rPr>
                      <a:t>2</a:t>
                    </a:r>
                    <a:r>
                      <a:rPr lang="en-US" dirty="0" smtClean="0"/>
                      <a:t>8.272</a:t>
                    </a:r>
                    <a:endParaRPr lang="en-US" dirty="0"/>
                  </a:p>
                </c:rich>
              </c:tx>
              <c:dLblPos val="r"/>
              <c:showVal val="1"/>
              <c:separator>. </c:separator>
            </c:dLbl>
            <c:dLbl>
              <c:idx val="7"/>
              <c:layout>
                <c:manualLayout>
                  <c:x val="-6.1461510859529923E-2"/>
                  <c:y val="-0.14606658378229226"/>
                </c:manualLayout>
              </c:layout>
              <c:tx>
                <c:rich>
                  <a:bodyPr anchorCtr="0"/>
                  <a:lstStyle/>
                  <a:p>
                    <a:pPr algn="ctr" rtl="0">
                      <a:defRPr lang="en-US" sz="1100" b="1" i="0" u="none" strike="noStrike" kern="1200" baseline="0" dirty="0">
                        <a:solidFill>
                          <a:prstClr val="black"/>
                        </a:solidFill>
                        <a:latin typeface="Times New Roman" pitchFamily="18" charset="0"/>
                        <a:ea typeface="+mn-ea"/>
                        <a:cs typeface="Times New Roman" pitchFamily="18" charset="0"/>
                      </a:defRPr>
                    </a:pPr>
                    <a:r>
                      <a:rPr lang="en-US" sz="1100" b="1" i="0" u="none" strike="noStrike" kern="1200" baseline="0" dirty="0" smtClean="0">
                        <a:solidFill>
                          <a:prstClr val="black"/>
                        </a:solidFill>
                        <a:latin typeface="Times New Roman" pitchFamily="18" charset="0"/>
                        <a:ea typeface="+mn-ea"/>
                        <a:cs typeface="Times New Roman" pitchFamily="18" charset="0"/>
                      </a:rPr>
                      <a:t>24.269</a:t>
                    </a:r>
                    <a:endParaRPr lang="en-US" sz="1100" b="1" i="0" u="none" strike="noStrike" kern="1200" baseline="0" dirty="0">
                      <a:solidFill>
                        <a:prstClr val="black"/>
                      </a:solidFill>
                      <a:latin typeface="Times New Roman" pitchFamily="18" charset="0"/>
                      <a:ea typeface="+mn-ea"/>
                      <a:cs typeface="Times New Roman" pitchFamily="18" charset="0"/>
                    </a:endParaRPr>
                  </a:p>
                </c:rich>
              </c:tx>
              <c:spPr>
                <a:noFill/>
                <a:ln>
                  <a:noFill/>
                </a:ln>
                <a:effectLst/>
              </c:spPr>
              <c:dLblPos val="r"/>
              <c:showVal val="1"/>
              <c:separator>. </c:separator>
              <c:extLst>
                <c:ext xmlns:c15="http://schemas.microsoft.com/office/drawing/2012/chart" uri="{CE6537A1-D6FC-4f65-9D91-7224C49458BB}">
                  <c15:layout/>
                </c:ext>
              </c:extLst>
            </c:dLbl>
            <c:dLbl>
              <c:idx val="8"/>
              <c:layout>
                <c:manualLayout>
                  <c:x val="-2.890154859674799E-2"/>
                  <c:y val="-0.11001740571902133"/>
                </c:manualLayout>
              </c:layout>
              <c:tx>
                <c:rich>
                  <a:bodyPr/>
                  <a:lstStyle/>
                  <a:p>
                    <a:r>
                      <a:rPr lang="en-US" sz="1100" smtClean="0">
                        <a:latin typeface="Times New Roman" pitchFamily="18" charset="0"/>
                        <a:cs typeface="Times New Roman" pitchFamily="18" charset="0"/>
                      </a:rPr>
                      <a:t>2</a:t>
                    </a:r>
                    <a:r>
                      <a:rPr lang="en-US" smtClean="0"/>
                      <a:t>2.888</a:t>
                    </a:r>
                    <a:endParaRPr lang="en-US" dirty="0"/>
                  </a:p>
                </c:rich>
              </c:tx>
              <c:dLblPos val="r"/>
              <c:showVal val="1"/>
              <c:separator>. </c:separator>
              <c:extLst>
                <c:ext xmlns:c15="http://schemas.microsoft.com/office/drawing/2012/chart" uri="{CE6537A1-D6FC-4f65-9D91-7224C49458BB}">
                  <c15:layout/>
                </c:ext>
              </c:extLst>
            </c:dLbl>
            <c:spPr>
              <a:noFill/>
              <a:ln>
                <a:noFill/>
              </a:ln>
              <a:effectLst/>
            </c:spPr>
            <c:txPr>
              <a:bodyPr/>
              <a:lstStyle/>
              <a:p>
                <a:pPr>
                  <a:defRPr sz="1100" b="1">
                    <a:latin typeface="Times New Roman" pitchFamily="18" charset="0"/>
                    <a:cs typeface="Times New Roman" pitchFamily="18" charset="0"/>
                  </a:defRPr>
                </a:pPr>
                <a:endParaRPr lang="ro-RO"/>
              </a:p>
            </c:txPr>
            <c:dLblPos val="b"/>
            <c:showVal val="1"/>
            <c:separator>. </c:separator>
            <c:extLst xmlns:c16r2="http://schemas.microsoft.com/office/drawing/2015/06/chart">
              <c:ext xmlns:c15="http://schemas.microsoft.com/office/drawing/2012/chart" uri="{CE6537A1-D6FC-4f65-9D91-7224C49458BB}">
                <c15:layout/>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General</c:formatCode>
                <c:ptCount val="9"/>
                <c:pt idx="0">
                  <c:v>43208</c:v>
                </c:pt>
                <c:pt idx="1">
                  <c:v>38695</c:v>
                </c:pt>
                <c:pt idx="2">
                  <c:v>38456</c:v>
                </c:pt>
                <c:pt idx="3">
                  <c:v>33203</c:v>
                </c:pt>
                <c:pt idx="4">
                  <c:v>31724</c:v>
                </c:pt>
                <c:pt idx="5">
                  <c:v>31330</c:v>
                </c:pt>
                <c:pt idx="6">
                  <c:v>28272</c:v>
                </c:pt>
                <c:pt idx="7">
                  <c:v>24269</c:v>
                </c:pt>
                <c:pt idx="8">
                  <c:v>22888</c:v>
                </c:pt>
              </c:numCache>
            </c:numRef>
          </c:val>
          <c:extLst xmlns:c16r2="http://schemas.microsoft.com/office/drawing/2015/06/chart">
            <c:ext xmlns:c16="http://schemas.microsoft.com/office/drawing/2014/chart" uri="{C3380CC4-5D6E-409C-BE32-E72D297353CC}">
              <c16:uniqueId val="{00000008-0362-4E69-9F33-2D1DAAB8856E}"/>
            </c:ext>
          </c:extLst>
        </c:ser>
        <c:dLbls>
          <c:showVal val="1"/>
        </c:dLbls>
        <c:marker val="1"/>
        <c:axId val="64102784"/>
        <c:axId val="64104320"/>
      </c:lineChart>
      <c:catAx>
        <c:axId val="64102784"/>
        <c:scaling>
          <c:orientation val="minMax"/>
        </c:scaling>
        <c:axPos val="b"/>
        <c:numFmt formatCode="General" sourceLinked="1"/>
        <c:tickLblPos val="nextTo"/>
        <c:txPr>
          <a:bodyPr/>
          <a:lstStyle/>
          <a:p>
            <a:pPr>
              <a:defRPr sz="1000" b="1">
                <a:latin typeface="Times New Roman" pitchFamily="18" charset="0"/>
                <a:cs typeface="Times New Roman" pitchFamily="18" charset="0"/>
              </a:defRPr>
            </a:pPr>
            <a:endParaRPr lang="ro-RO"/>
          </a:p>
        </c:txPr>
        <c:crossAx val="64104320"/>
        <c:crosses val="autoZero"/>
        <c:auto val="1"/>
        <c:lblAlgn val="ctr"/>
        <c:lblOffset val="100"/>
      </c:catAx>
      <c:valAx>
        <c:axId val="64104320"/>
        <c:scaling>
          <c:orientation val="minMax"/>
          <c:min val="18000"/>
        </c:scaling>
        <c:delete val="1"/>
        <c:axPos val="l"/>
        <c:numFmt formatCode="General" sourceLinked="1"/>
        <c:tickLblPos val="none"/>
        <c:crossAx val="64102784"/>
        <c:crosses val="autoZero"/>
        <c:crossBetween val="between"/>
      </c:valAx>
      <c:spPr>
        <a:noFill/>
      </c:spPr>
    </c:plotArea>
    <c:plotVisOnly val="1"/>
    <c:dispBlanksAs val="gap"/>
  </c:chart>
  <c:spPr>
    <a:noFill/>
    <a:ln>
      <a:noFill/>
    </a:ln>
  </c:spPr>
  <c:txPr>
    <a:bodyPr/>
    <a:lstStyle/>
    <a:p>
      <a:pPr>
        <a:defRPr sz="1800"/>
      </a:pPr>
      <a:endParaRPr lang="ro-RO"/>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o-RO"/>
  <c:style val="30"/>
  <c:chart>
    <c:autoTitleDeleted val="1"/>
    <c:plotArea>
      <c:layout>
        <c:manualLayout>
          <c:layoutTarget val="inner"/>
          <c:xMode val="edge"/>
          <c:yMode val="edge"/>
          <c:x val="8.1670203595685087E-4"/>
          <c:y val="0"/>
          <c:w val="0.98664409216889792"/>
          <c:h val="0.8551030403496217"/>
        </c:manualLayout>
      </c:layout>
      <c:lineChart>
        <c:grouping val="standard"/>
        <c:ser>
          <c:idx val="0"/>
          <c:order val="0"/>
          <c:tx>
            <c:strRef>
              <c:f>Sheet1!$B$1</c:f>
              <c:strCache>
                <c:ptCount val="1"/>
                <c:pt idx="0">
                  <c:v>Series 1</c:v>
                </c:pt>
              </c:strCache>
            </c:strRef>
          </c:tx>
          <c:spPr>
            <a:ln>
              <a:solidFill>
                <a:srgbClr val="4F81BD"/>
              </a:solidFill>
            </a:ln>
          </c:spPr>
          <c:marker>
            <c:spPr>
              <a:solidFill>
                <a:schemeClr val="accent1"/>
              </a:solidFill>
              <a:ln>
                <a:noFill/>
              </a:ln>
            </c:spPr>
          </c:marker>
          <c:dLbls>
            <c:dLbl>
              <c:idx val="0"/>
              <c:layout>
                <c:manualLayout>
                  <c:x val="-5.5641903457719959E-2"/>
                  <c:y val="-0.11828000223376336"/>
                </c:manualLayout>
              </c:layout>
              <c:tx>
                <c:rich>
                  <a:bodyPr/>
                  <a:lstStyle/>
                  <a:p>
                    <a:r>
                      <a:rPr lang="en-US" sz="1100" smtClean="0">
                        <a:latin typeface="Times New Roman" pitchFamily="18" charset="0"/>
                        <a:cs typeface="Times New Roman" pitchFamily="18" charset="0"/>
                      </a:rPr>
                      <a:t>1</a:t>
                    </a:r>
                    <a:r>
                      <a:rPr lang="en-US" smtClean="0"/>
                      <a:t>.983</a:t>
                    </a:r>
                    <a:endParaRPr lang="en-US"/>
                  </a:p>
                </c:rich>
              </c:tx>
              <c:dLblPos val="r"/>
              <c:showVal val="1"/>
              <c:extLst xmlns:c16r2="http://schemas.microsoft.com/office/drawing/2015/06/chart">
                <c:ext xmlns:c16="http://schemas.microsoft.com/office/drawing/2014/chart" uri="{C3380CC4-5D6E-409C-BE32-E72D297353CC}">
                  <c16:uniqueId val="{00000000-BDD3-44AF-820B-BAAA970BCB2E}"/>
                </c:ext>
                <c:ext xmlns:c15="http://schemas.microsoft.com/office/drawing/2012/chart" uri="{CE6537A1-D6FC-4f65-9D91-7224C49458BB}">
                  <c15:layout/>
                </c:ext>
              </c:extLst>
            </c:dLbl>
            <c:dLbl>
              <c:idx val="1"/>
              <c:layout>
                <c:manualLayout>
                  <c:x val="-4.736032995875563E-2"/>
                  <c:y val="-0.12537220081532371"/>
                </c:manualLayout>
              </c:layout>
              <c:tx>
                <c:rich>
                  <a:bodyPr/>
                  <a:lstStyle/>
                  <a:p>
                    <a:r>
                      <a:rPr lang="en-US" sz="1100" smtClean="0">
                        <a:latin typeface="Times New Roman" pitchFamily="18" charset="0"/>
                        <a:cs typeface="Times New Roman" pitchFamily="18" charset="0"/>
                      </a:rPr>
                      <a:t>1</a:t>
                    </a:r>
                    <a:r>
                      <a:rPr lang="en-US" smtClean="0"/>
                      <a:t>.822</a:t>
                    </a:r>
                    <a:endParaRPr lang="en-US"/>
                  </a:p>
                </c:rich>
              </c:tx>
              <c:dLblPos val="r"/>
              <c:showVal val="1"/>
              <c:extLst xmlns:c16r2="http://schemas.microsoft.com/office/drawing/2015/06/chart">
                <c:ext xmlns:c16="http://schemas.microsoft.com/office/drawing/2014/chart" uri="{C3380CC4-5D6E-409C-BE32-E72D297353CC}">
                  <c16:uniqueId val="{00000001-BDD3-44AF-820B-BAAA970BCB2E}"/>
                </c:ext>
                <c:ext xmlns:c15="http://schemas.microsoft.com/office/drawing/2012/chart" uri="{CE6537A1-D6FC-4f65-9D91-7224C49458BB}">
                  <c15:layout/>
                </c:ext>
              </c:extLst>
            </c:dLbl>
            <c:dLbl>
              <c:idx val="2"/>
              <c:layout>
                <c:manualLayout>
                  <c:x val="-4.736032995875563E-2"/>
                  <c:y val="-0.11828000223376336"/>
                </c:manualLayout>
              </c:layout>
              <c:tx>
                <c:rich>
                  <a:bodyPr/>
                  <a:lstStyle/>
                  <a:p>
                    <a:r>
                      <a:rPr lang="en-US" sz="1100" smtClean="0">
                        <a:latin typeface="Times New Roman" pitchFamily="18" charset="0"/>
                        <a:cs typeface="Times New Roman" pitchFamily="18" charset="0"/>
                      </a:rPr>
                      <a:t>1</a:t>
                    </a:r>
                    <a:r>
                      <a:rPr lang="en-US" smtClean="0"/>
                      <a:t>.881</a:t>
                    </a:r>
                    <a:endParaRPr lang="en-US"/>
                  </a:p>
                </c:rich>
              </c:tx>
              <c:dLblPos val="r"/>
              <c:showVal val="1"/>
              <c:extLst xmlns:c16r2="http://schemas.microsoft.com/office/drawing/2015/06/chart">
                <c:ext xmlns:c16="http://schemas.microsoft.com/office/drawing/2014/chart" uri="{C3380CC4-5D6E-409C-BE32-E72D297353CC}">
                  <c16:uniqueId val="{00000002-BDD3-44AF-820B-BAAA970BCB2E}"/>
                </c:ext>
                <c:ext xmlns:c15="http://schemas.microsoft.com/office/drawing/2012/chart" uri="{CE6537A1-D6FC-4f65-9D91-7224C49458BB}">
                  <c15:layout/>
                </c:ext>
              </c:extLst>
            </c:dLbl>
            <c:dLbl>
              <c:idx val="3"/>
              <c:layout>
                <c:manualLayout>
                  <c:x val="-3.9078756459790351E-2"/>
                  <c:y val="-0.11118780365220295"/>
                </c:manualLayout>
              </c:layout>
              <c:tx>
                <c:rich>
                  <a:bodyPr/>
                  <a:lstStyle/>
                  <a:p>
                    <a:r>
                      <a:rPr lang="en-US" sz="1100" smtClean="0">
                        <a:latin typeface="Times New Roman" pitchFamily="18" charset="0"/>
                        <a:cs typeface="Times New Roman" pitchFamily="18" charset="0"/>
                      </a:rPr>
                      <a:t>1</a:t>
                    </a:r>
                    <a:r>
                      <a:rPr lang="en-US" smtClean="0"/>
                      <a:t>.310</a:t>
                    </a:r>
                    <a:endParaRPr lang="en-US"/>
                  </a:p>
                </c:rich>
              </c:tx>
              <c:dLblPos val="r"/>
              <c:showVal val="1"/>
              <c:extLst xmlns:c16r2="http://schemas.microsoft.com/office/drawing/2015/06/chart">
                <c:ext xmlns:c16="http://schemas.microsoft.com/office/drawing/2014/chart" uri="{C3380CC4-5D6E-409C-BE32-E72D297353CC}">
                  <c16:uniqueId val="{00000003-BDD3-44AF-820B-BAAA970BCB2E}"/>
                </c:ext>
                <c:ext xmlns:c15="http://schemas.microsoft.com/office/drawing/2012/chart" uri="{CE6537A1-D6FC-4f65-9D91-7224C49458BB}">
                  <c15:layout/>
                </c:ext>
              </c:extLst>
            </c:dLbl>
            <c:dLbl>
              <c:idx val="4"/>
              <c:layout>
                <c:manualLayout>
                  <c:x val="-3.9078756459790351E-2"/>
                  <c:y val="-0.11828000223376327"/>
                </c:manualLayout>
              </c:layout>
              <c:tx>
                <c:rich>
                  <a:bodyPr/>
                  <a:lstStyle/>
                  <a:p>
                    <a:r>
                      <a:rPr lang="en-US" sz="1100" smtClean="0">
                        <a:latin typeface="Times New Roman" pitchFamily="18" charset="0"/>
                        <a:cs typeface="Times New Roman" pitchFamily="18" charset="0"/>
                      </a:rPr>
                      <a:t>1</a:t>
                    </a:r>
                    <a:r>
                      <a:rPr lang="en-US" smtClean="0"/>
                      <a:t>.070</a:t>
                    </a:r>
                    <a:endParaRPr lang="en-US"/>
                  </a:p>
                </c:rich>
              </c:tx>
              <c:dLblPos val="r"/>
              <c:showVal val="1"/>
              <c:extLst xmlns:c16r2="http://schemas.microsoft.com/office/drawing/2015/06/chart">
                <c:ext xmlns:c16="http://schemas.microsoft.com/office/drawing/2014/chart" uri="{C3380CC4-5D6E-409C-BE32-E72D297353CC}">
                  <c16:uniqueId val="{00000004-BDD3-44AF-820B-BAAA970BCB2E}"/>
                </c:ext>
                <c:ext xmlns:c15="http://schemas.microsoft.com/office/drawing/2012/chart" uri="{CE6537A1-D6FC-4f65-9D91-7224C49458BB}">
                  <c15:layout/>
                </c:ext>
              </c:extLst>
            </c:dLbl>
            <c:dLbl>
              <c:idx val="5"/>
              <c:layout>
                <c:manualLayout>
                  <c:x val="-4.2960662525879906E-2"/>
                  <c:y val="-0.11828000223376336"/>
                </c:manualLayout>
              </c:layout>
              <c:dLblPos val="r"/>
              <c:showVal val="1"/>
            </c:dLbl>
            <c:dLbl>
              <c:idx val="6"/>
              <c:layout>
                <c:manualLayout>
                  <c:x val="-3.6749482401656312E-2"/>
                  <c:y val="-0.13246439939688487"/>
                </c:manualLayout>
              </c:layout>
              <c:dLblPos val="r"/>
              <c:showVal val="1"/>
            </c:dLbl>
            <c:dLbl>
              <c:idx val="7"/>
              <c:layout>
                <c:manualLayout>
                  <c:x val="-4.7101449275362285E-2"/>
                  <c:y val="-0.11118780365220295"/>
                </c:manualLayout>
              </c:layout>
              <c:dLblPos val="r"/>
              <c:showVal val="1"/>
            </c:dLbl>
            <c:dLbl>
              <c:idx val="8"/>
              <c:layout>
                <c:manualLayout>
                  <c:x val="-3.0522489036696271E-2"/>
                  <c:y val="-0.11118780365220295"/>
                </c:manualLayout>
              </c:layout>
              <c:dLblPos val="r"/>
              <c:showVal val="1"/>
            </c:dLbl>
            <c:spPr>
              <a:noFill/>
              <a:ln>
                <a:noFill/>
              </a:ln>
              <a:effectLst/>
            </c:spPr>
            <c:txPr>
              <a:bodyPr/>
              <a:lstStyle/>
              <a:p>
                <a:pPr>
                  <a:defRPr sz="1100" b="1">
                    <a:latin typeface="Times New Roman" pitchFamily="18" charset="0"/>
                    <a:cs typeface="Times New Roman" pitchFamily="18" charset="0"/>
                  </a:defRPr>
                </a:pPr>
                <a:endParaRPr lang="ro-RO"/>
              </a:p>
            </c:txPr>
            <c:dLblPos val="b"/>
            <c:showVal val="1"/>
            <c:extLst xmlns:c16r2="http://schemas.microsoft.com/office/drawing/2015/06/chart">
              <c:ext xmlns:c15="http://schemas.microsoft.com/office/drawing/2012/chart" uri="{CE6537A1-D6FC-4f65-9D91-7224C49458BB}">
                <c15:layout/>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General</c:formatCode>
                <c:ptCount val="9"/>
                <c:pt idx="0">
                  <c:v>1983</c:v>
                </c:pt>
                <c:pt idx="1">
                  <c:v>1822</c:v>
                </c:pt>
                <c:pt idx="2">
                  <c:v>1881</c:v>
                </c:pt>
                <c:pt idx="3">
                  <c:v>1310</c:v>
                </c:pt>
                <c:pt idx="4">
                  <c:v>1070</c:v>
                </c:pt>
                <c:pt idx="5">
                  <c:v>927</c:v>
                </c:pt>
                <c:pt idx="6">
                  <c:v>776</c:v>
                </c:pt>
                <c:pt idx="7">
                  <c:v>606</c:v>
                </c:pt>
                <c:pt idx="8">
                  <c:v>563</c:v>
                </c:pt>
              </c:numCache>
            </c:numRef>
          </c:val>
          <c:extLst xmlns:c16r2="http://schemas.microsoft.com/office/drawing/2015/06/chart">
            <c:ext xmlns:c16="http://schemas.microsoft.com/office/drawing/2014/chart" uri="{C3380CC4-5D6E-409C-BE32-E72D297353CC}">
              <c16:uniqueId val="{00000005-BDD3-44AF-820B-BAAA970BCB2E}"/>
            </c:ext>
          </c:extLst>
        </c:ser>
        <c:dLbls>
          <c:showVal val="1"/>
        </c:dLbls>
        <c:marker val="1"/>
        <c:axId val="57131008"/>
        <c:axId val="57132544"/>
      </c:lineChart>
      <c:catAx>
        <c:axId val="57131008"/>
        <c:scaling>
          <c:orientation val="minMax"/>
        </c:scaling>
        <c:axPos val="b"/>
        <c:numFmt formatCode="General" sourceLinked="1"/>
        <c:tickLblPos val="nextTo"/>
        <c:txPr>
          <a:bodyPr/>
          <a:lstStyle/>
          <a:p>
            <a:pPr>
              <a:defRPr sz="1000" b="1">
                <a:latin typeface="Times New Roman" pitchFamily="18" charset="0"/>
                <a:cs typeface="Times New Roman" pitchFamily="18" charset="0"/>
              </a:defRPr>
            </a:pPr>
            <a:endParaRPr lang="ro-RO"/>
          </a:p>
        </c:txPr>
        <c:crossAx val="57132544"/>
        <c:crosses val="autoZero"/>
        <c:auto val="1"/>
        <c:lblAlgn val="ctr"/>
        <c:lblOffset val="100"/>
      </c:catAx>
      <c:valAx>
        <c:axId val="57132544"/>
        <c:scaling>
          <c:orientation val="minMax"/>
        </c:scaling>
        <c:delete val="1"/>
        <c:axPos val="l"/>
        <c:numFmt formatCode="General" sourceLinked="1"/>
        <c:tickLblPos val="none"/>
        <c:crossAx val="57131008"/>
        <c:crosses val="autoZero"/>
        <c:crossBetween val="between"/>
      </c:valAx>
      <c:spPr>
        <a:noFill/>
      </c:spPr>
    </c:plotArea>
    <c:plotVisOnly val="1"/>
    <c:dispBlanksAs val="gap"/>
  </c:chart>
  <c:spPr>
    <a:noFill/>
    <a:ln>
      <a:noFill/>
    </a:ln>
  </c:spPr>
  <c:txPr>
    <a:bodyPr/>
    <a:lstStyle/>
    <a:p>
      <a:pPr>
        <a:defRPr sz="1800"/>
      </a:pPr>
      <a:endParaRPr lang="ro-RO"/>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o-RO"/>
  <c:style val="30"/>
  <c:chart>
    <c:autoTitleDeleted val="1"/>
    <c:plotArea>
      <c:layout>
        <c:manualLayout>
          <c:layoutTarget val="inner"/>
          <c:xMode val="edge"/>
          <c:yMode val="edge"/>
          <c:x val="6.6022675000676473E-5"/>
          <c:y val="2.8246011037476631E-2"/>
          <c:w val="0.99993397732499933"/>
          <c:h val="0.83289768397718944"/>
        </c:manualLayout>
      </c:layout>
      <c:lineChart>
        <c:grouping val="standard"/>
        <c:ser>
          <c:idx val="0"/>
          <c:order val="0"/>
          <c:tx>
            <c:strRef>
              <c:f>Sheet1!$B$1</c:f>
              <c:strCache>
                <c:ptCount val="1"/>
                <c:pt idx="0">
                  <c:v>Series 1</c:v>
                </c:pt>
              </c:strCache>
            </c:strRef>
          </c:tx>
          <c:spPr>
            <a:ln>
              <a:solidFill>
                <a:srgbClr val="4F81BD"/>
              </a:solidFill>
            </a:ln>
          </c:spPr>
          <c:marker>
            <c:spPr>
              <a:solidFill>
                <a:srgbClr val="4F81BD"/>
              </a:solidFill>
              <a:ln>
                <a:noFill/>
              </a:ln>
            </c:spPr>
          </c:marker>
          <c:dLbls>
            <c:dLbl>
              <c:idx val="0"/>
              <c:layout>
                <c:manualLayout>
                  <c:x val="-5.3951447558416903E-2"/>
                  <c:y val="-0.10760616066686679"/>
                </c:manualLayout>
              </c:layout>
              <c:tx>
                <c:rich>
                  <a:bodyPr/>
                  <a:lstStyle/>
                  <a:p>
                    <a:r>
                      <a:rPr lang="en-US" sz="1100" smtClean="0">
                        <a:latin typeface="Times New Roman" pitchFamily="18" charset="0"/>
                        <a:cs typeface="Times New Roman" pitchFamily="18" charset="0"/>
                      </a:rPr>
                      <a:t>2</a:t>
                    </a:r>
                    <a:r>
                      <a:rPr lang="en-US" smtClean="0"/>
                      <a:t>0.325</a:t>
                    </a:r>
                    <a:endParaRPr lang="en-US"/>
                  </a:p>
                </c:rich>
              </c:tx>
              <c:dLblPos val="r"/>
              <c:showVal val="1"/>
              <c:extLst xmlns:c16r2="http://schemas.microsoft.com/office/drawing/2015/06/chart">
                <c:ext xmlns:c16="http://schemas.microsoft.com/office/drawing/2014/chart" uri="{C3380CC4-5D6E-409C-BE32-E72D297353CC}">
                  <c16:uniqueId val="{00000000-3E18-4B84-BCCC-02C8EE5F3BCC}"/>
                </c:ext>
                <c:ext xmlns:c15="http://schemas.microsoft.com/office/drawing/2012/chart" uri="{CE6537A1-D6FC-4f65-9D91-7224C49458BB}">
                  <c15:layout/>
                </c:ext>
              </c:extLst>
            </c:dLbl>
            <c:dLbl>
              <c:idx val="1"/>
              <c:layout>
                <c:manualLayout>
                  <c:x val="-5.3951447558416903E-2"/>
                  <c:y val="-0.12960029556422833"/>
                </c:manualLayout>
              </c:layout>
              <c:tx>
                <c:rich>
                  <a:bodyPr/>
                  <a:lstStyle/>
                  <a:p>
                    <a:r>
                      <a:rPr lang="en-US" sz="1100" smtClean="0">
                        <a:latin typeface="Times New Roman" pitchFamily="18" charset="0"/>
                        <a:cs typeface="Times New Roman" pitchFamily="18" charset="0"/>
                      </a:rPr>
                      <a:t>1</a:t>
                    </a:r>
                    <a:r>
                      <a:rPr lang="en-US" smtClean="0"/>
                      <a:t>7.642</a:t>
                    </a:r>
                    <a:endParaRPr lang="en-US"/>
                  </a:p>
                </c:rich>
              </c:tx>
              <c:dLblPos val="r"/>
              <c:showVal val="1"/>
              <c:extLst xmlns:c16r2="http://schemas.microsoft.com/office/drawing/2015/06/chart">
                <c:ext xmlns:c16="http://schemas.microsoft.com/office/drawing/2014/chart" uri="{C3380CC4-5D6E-409C-BE32-E72D297353CC}">
                  <c16:uniqueId val="{00000001-3E18-4B84-BCCC-02C8EE5F3BCC}"/>
                </c:ext>
                <c:ext xmlns:c15="http://schemas.microsoft.com/office/drawing/2012/chart" uri="{CE6537A1-D6FC-4f65-9D91-7224C49458BB}">
                  <c15:layout/>
                </c:ext>
              </c:extLst>
            </c:dLbl>
            <c:dLbl>
              <c:idx val="2"/>
              <c:layout>
                <c:manualLayout>
                  <c:x val="-4.9898762654668194E-2"/>
                  <c:y val="-0.13693167386334773"/>
                </c:manualLayout>
              </c:layout>
              <c:tx>
                <c:rich>
                  <a:bodyPr/>
                  <a:lstStyle/>
                  <a:p>
                    <a:r>
                      <a:rPr lang="en-US" sz="1100" smtClean="0">
                        <a:latin typeface="Times New Roman" pitchFamily="18" charset="0"/>
                        <a:cs typeface="Times New Roman" pitchFamily="18" charset="0"/>
                      </a:rPr>
                      <a:t>1</a:t>
                    </a:r>
                    <a:r>
                      <a:rPr lang="en-US" smtClean="0"/>
                      <a:t>7.636</a:t>
                    </a:r>
                    <a:endParaRPr lang="en-US"/>
                  </a:p>
                </c:rich>
              </c:tx>
              <c:dLblPos val="r"/>
              <c:showVal val="1"/>
              <c:extLst xmlns:c16r2="http://schemas.microsoft.com/office/drawing/2015/06/chart">
                <c:ext xmlns:c16="http://schemas.microsoft.com/office/drawing/2014/chart" uri="{C3380CC4-5D6E-409C-BE32-E72D297353CC}">
                  <c16:uniqueId val="{00000002-3E18-4B84-BCCC-02C8EE5F3BCC}"/>
                </c:ext>
                <c:ext xmlns:c15="http://schemas.microsoft.com/office/drawing/2012/chart" uri="{CE6537A1-D6FC-4f65-9D91-7224C49458BB}">
                  <c15:layout/>
                </c:ext>
              </c:extLst>
            </c:dLbl>
            <c:dLbl>
              <c:idx val="3"/>
              <c:layout>
                <c:manualLayout>
                  <c:x val="-4.9898762654668194E-2"/>
                  <c:y val="-0.1369316738633477"/>
                </c:manualLayout>
              </c:layout>
              <c:tx>
                <c:rich>
                  <a:bodyPr/>
                  <a:lstStyle/>
                  <a:p>
                    <a:r>
                      <a:rPr lang="en-US" sz="1100" smtClean="0">
                        <a:latin typeface="Times New Roman" pitchFamily="18" charset="0"/>
                        <a:cs typeface="Times New Roman" pitchFamily="18" charset="0"/>
                      </a:rPr>
                      <a:t>1</a:t>
                    </a:r>
                    <a:r>
                      <a:rPr lang="en-US" smtClean="0"/>
                      <a:t>4.539</a:t>
                    </a:r>
                    <a:endParaRPr lang="en-US"/>
                  </a:p>
                </c:rich>
              </c:tx>
              <c:dLblPos val="r"/>
              <c:showVal val="1"/>
              <c:extLst xmlns:c16r2="http://schemas.microsoft.com/office/drawing/2015/06/chart">
                <c:ext xmlns:c16="http://schemas.microsoft.com/office/drawing/2014/chart" uri="{C3380CC4-5D6E-409C-BE32-E72D297353CC}">
                  <c16:uniqueId val="{00000003-3E18-4B84-BCCC-02C8EE5F3BCC}"/>
                </c:ext>
                <c:ext xmlns:c15="http://schemas.microsoft.com/office/drawing/2012/chart" uri="{CE6537A1-D6FC-4f65-9D91-7224C49458BB}">
                  <c15:layout/>
                </c:ext>
              </c:extLst>
            </c:dLbl>
            <c:dLbl>
              <c:idx val="4"/>
              <c:layout>
                <c:manualLayout>
                  <c:x val="-5.0177823516741334E-2"/>
                  <c:y val="-0.14228069365229737"/>
                </c:manualLayout>
              </c:layout>
              <c:tx>
                <c:rich>
                  <a:bodyPr/>
                  <a:lstStyle/>
                  <a:p>
                    <a:r>
                      <a:rPr lang="en-US" sz="1100" dirty="0" smtClean="0">
                        <a:latin typeface="Times New Roman" pitchFamily="18" charset="0"/>
                        <a:cs typeface="Times New Roman" pitchFamily="18" charset="0"/>
                      </a:rPr>
                      <a:t>1</a:t>
                    </a:r>
                    <a:r>
                      <a:rPr lang="en-US" dirty="0" smtClean="0"/>
                      <a:t>3.225</a:t>
                    </a:r>
                    <a:endParaRPr lang="en-US" dirty="0"/>
                  </a:p>
                </c:rich>
              </c:tx>
              <c:dLblPos val="r"/>
              <c:showVal val="1"/>
              <c:extLst xmlns:c16r2="http://schemas.microsoft.com/office/drawing/2015/06/chart">
                <c:ext xmlns:c16="http://schemas.microsoft.com/office/drawing/2014/chart" uri="{C3380CC4-5D6E-409C-BE32-E72D297353CC}">
                  <c16:uniqueId val="{00000004-3E18-4B84-BCCC-02C8EE5F3BCC}"/>
                </c:ext>
                <c:ext xmlns:c15="http://schemas.microsoft.com/office/drawing/2012/chart" uri="{CE6537A1-D6FC-4f65-9D91-7224C49458BB}">
                  <c15:layout/>
                </c:ext>
              </c:extLst>
            </c:dLbl>
            <c:dLbl>
              <c:idx val="5"/>
              <c:layout>
                <c:manualLayout>
                  <c:x val="-4.7872420202794023E-2"/>
                  <c:y val="-0.12226891726510752"/>
                </c:manualLayout>
              </c:layout>
              <c:tx>
                <c:rich>
                  <a:bodyPr/>
                  <a:lstStyle/>
                  <a:p>
                    <a:r>
                      <a:rPr lang="en-US" sz="1100" smtClean="0">
                        <a:latin typeface="Times New Roman" pitchFamily="18" charset="0"/>
                        <a:cs typeface="Times New Roman" pitchFamily="18" charset="0"/>
                      </a:rPr>
                      <a:t>1</a:t>
                    </a:r>
                    <a:r>
                      <a:rPr lang="en-US" smtClean="0"/>
                      <a:t>2.674</a:t>
                    </a:r>
                    <a:endParaRPr lang="en-US"/>
                  </a:p>
                </c:rich>
              </c:tx>
              <c:dLblPos val="r"/>
              <c:showVal val="1"/>
              <c:extLst xmlns:c16r2="http://schemas.microsoft.com/office/drawing/2015/06/chart">
                <c:ext xmlns:c16="http://schemas.microsoft.com/office/drawing/2014/chart" uri="{C3380CC4-5D6E-409C-BE32-E72D297353CC}">
                  <c16:uniqueId val="{00000005-3E18-4B84-BCCC-02C8EE5F3BCC}"/>
                </c:ext>
                <c:ext xmlns:c15="http://schemas.microsoft.com/office/drawing/2012/chart" uri="{CE6537A1-D6FC-4f65-9D91-7224C49458BB}">
                  <c15:layout/>
                </c:ext>
              </c:extLst>
            </c:dLbl>
            <c:dLbl>
              <c:idx val="6"/>
              <c:layout>
                <c:manualLayout>
                  <c:x val="-5.3951447558416903E-2"/>
                  <c:y val="-0.12226891726510726"/>
                </c:manualLayout>
              </c:layout>
              <c:tx>
                <c:rich>
                  <a:bodyPr/>
                  <a:lstStyle/>
                  <a:p>
                    <a:r>
                      <a:rPr lang="en-US" sz="1100" smtClean="0">
                        <a:latin typeface="Times New Roman" pitchFamily="18" charset="0"/>
                        <a:cs typeface="Times New Roman" pitchFamily="18" charset="0"/>
                      </a:rPr>
                      <a:t>1</a:t>
                    </a:r>
                    <a:r>
                      <a:rPr lang="en-US" smtClean="0"/>
                      <a:t>1.345</a:t>
                    </a:r>
                    <a:endParaRPr lang="en-US" dirty="0"/>
                  </a:p>
                </c:rich>
              </c:tx>
              <c:dLblPos val="r"/>
              <c:showVal val="1"/>
              <c:extLst>
                <c:ext xmlns:c15="http://schemas.microsoft.com/office/drawing/2012/chart" uri="{CE6537A1-D6FC-4f65-9D91-7224C49458BB}">
                  <c15:layout/>
                </c:ext>
              </c:extLst>
            </c:dLbl>
            <c:dLbl>
              <c:idx val="7"/>
              <c:layout>
                <c:manualLayout>
                  <c:x val="-4.4326320912014196E-2"/>
                  <c:y val="-0.11493753896598702"/>
                </c:manualLayout>
              </c:layout>
              <c:tx>
                <c:rich>
                  <a:bodyPr/>
                  <a:lstStyle/>
                  <a:p>
                    <a:r>
                      <a:rPr lang="en-US" sz="1100" smtClean="0">
                        <a:latin typeface="Times New Roman" pitchFamily="18" charset="0"/>
                        <a:cs typeface="Times New Roman" pitchFamily="18" charset="0"/>
                      </a:rPr>
                      <a:t>9</a:t>
                    </a:r>
                    <a:r>
                      <a:rPr lang="en-US" smtClean="0"/>
                      <a:t>.526</a:t>
                    </a:r>
                    <a:endParaRPr lang="en-US" dirty="0"/>
                  </a:p>
                </c:rich>
              </c:tx>
              <c:dLblPos val="r"/>
              <c:showVal val="1"/>
              <c:extLst>
                <c:ext xmlns:c15="http://schemas.microsoft.com/office/drawing/2012/chart" uri="{CE6537A1-D6FC-4f65-9D91-7224C49458BB}">
                  <c15:layout/>
                </c:ext>
              </c:extLst>
            </c:dLbl>
            <c:dLbl>
              <c:idx val="8"/>
              <c:layout>
                <c:manualLayout>
                  <c:x val="-4.0086638106407134E-2"/>
                  <c:y val="-0.10760616066686679"/>
                </c:manualLayout>
              </c:layout>
              <c:tx>
                <c:rich>
                  <a:bodyPr/>
                  <a:lstStyle/>
                  <a:p>
                    <a:r>
                      <a:rPr lang="en-US" sz="1100" smtClean="0">
                        <a:latin typeface="Times New Roman" pitchFamily="18" charset="0"/>
                        <a:cs typeface="Times New Roman" pitchFamily="18" charset="0"/>
                      </a:rPr>
                      <a:t>8</a:t>
                    </a:r>
                    <a:r>
                      <a:rPr lang="en-US" smtClean="0"/>
                      <a:t>.533</a:t>
                    </a:r>
                    <a:endParaRPr lang="en-US" dirty="0"/>
                  </a:p>
                </c:rich>
              </c:tx>
              <c:dLblPos val="r"/>
              <c:showVal val="1"/>
              <c:extLst>
                <c:ext xmlns:c15="http://schemas.microsoft.com/office/drawing/2012/chart" uri="{CE6537A1-D6FC-4f65-9D91-7224C49458BB}">
                  <c15:layout/>
                </c:ext>
              </c:extLst>
            </c:dLbl>
            <c:spPr>
              <a:noFill/>
              <a:ln>
                <a:noFill/>
              </a:ln>
              <a:effectLst/>
            </c:spPr>
            <c:txPr>
              <a:bodyPr/>
              <a:lstStyle/>
              <a:p>
                <a:pPr>
                  <a:defRPr sz="1100" b="1">
                    <a:latin typeface="Times New Roman" pitchFamily="18" charset="0"/>
                    <a:cs typeface="Times New Roman" pitchFamily="18" charset="0"/>
                  </a:defRPr>
                </a:pPr>
                <a:endParaRPr lang="ro-RO"/>
              </a:p>
            </c:txPr>
            <c:dLblPos val="b"/>
            <c:showVal val="1"/>
            <c:extLst xmlns:c16r2="http://schemas.microsoft.com/office/drawing/2015/06/chart">
              <c:ext xmlns:c15="http://schemas.microsoft.com/office/drawing/2012/chart" uri="{CE6537A1-D6FC-4f65-9D91-7224C49458BB}">
                <c15:layout/>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General</c:formatCode>
                <c:ptCount val="9"/>
                <c:pt idx="0">
                  <c:v>20325</c:v>
                </c:pt>
                <c:pt idx="1">
                  <c:v>17642</c:v>
                </c:pt>
                <c:pt idx="2">
                  <c:v>17636</c:v>
                </c:pt>
                <c:pt idx="3">
                  <c:v>14539</c:v>
                </c:pt>
                <c:pt idx="4">
                  <c:v>13225</c:v>
                </c:pt>
                <c:pt idx="5">
                  <c:v>12674</c:v>
                </c:pt>
                <c:pt idx="6">
                  <c:v>11345</c:v>
                </c:pt>
                <c:pt idx="7" formatCode="#,##0">
                  <c:v>9526</c:v>
                </c:pt>
                <c:pt idx="8">
                  <c:v>8533</c:v>
                </c:pt>
              </c:numCache>
            </c:numRef>
          </c:val>
          <c:extLst xmlns:c16r2="http://schemas.microsoft.com/office/drawing/2015/06/chart">
            <c:ext xmlns:c16="http://schemas.microsoft.com/office/drawing/2014/chart" uri="{C3380CC4-5D6E-409C-BE32-E72D297353CC}">
              <c16:uniqueId val="{00000006-3E18-4B84-BCCC-02C8EE5F3BCC}"/>
            </c:ext>
          </c:extLst>
        </c:ser>
        <c:dLbls>
          <c:showVal val="1"/>
        </c:dLbls>
        <c:marker val="1"/>
        <c:axId val="64266240"/>
        <c:axId val="64267776"/>
      </c:lineChart>
      <c:catAx>
        <c:axId val="64266240"/>
        <c:scaling>
          <c:orientation val="minMax"/>
        </c:scaling>
        <c:axPos val="b"/>
        <c:numFmt formatCode="General" sourceLinked="1"/>
        <c:tickLblPos val="nextTo"/>
        <c:txPr>
          <a:bodyPr/>
          <a:lstStyle/>
          <a:p>
            <a:pPr>
              <a:defRPr sz="1000" b="1">
                <a:latin typeface="Times New Roman" pitchFamily="18" charset="0"/>
                <a:cs typeface="Times New Roman" pitchFamily="18" charset="0"/>
              </a:defRPr>
            </a:pPr>
            <a:endParaRPr lang="ro-RO"/>
          </a:p>
        </c:txPr>
        <c:crossAx val="64267776"/>
        <c:crosses val="autoZero"/>
        <c:auto val="1"/>
        <c:lblAlgn val="ctr"/>
        <c:lblOffset val="100"/>
      </c:catAx>
      <c:valAx>
        <c:axId val="64267776"/>
        <c:scaling>
          <c:orientation val="minMax"/>
          <c:min val="5000"/>
        </c:scaling>
        <c:delete val="1"/>
        <c:axPos val="l"/>
        <c:numFmt formatCode="General" sourceLinked="1"/>
        <c:tickLblPos val="none"/>
        <c:crossAx val="64266240"/>
        <c:crosses val="autoZero"/>
        <c:crossBetween val="between"/>
      </c:valAx>
      <c:spPr>
        <a:noFill/>
      </c:spPr>
    </c:plotArea>
    <c:plotVisOnly val="1"/>
    <c:dispBlanksAs val="gap"/>
  </c:chart>
  <c:spPr>
    <a:noFill/>
    <a:ln>
      <a:noFill/>
    </a:ln>
  </c:spPr>
  <c:txPr>
    <a:bodyPr/>
    <a:lstStyle/>
    <a:p>
      <a:pPr>
        <a:defRPr sz="1800"/>
      </a:pPr>
      <a:endParaRPr lang="ro-RO"/>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o-RO"/>
  <c:style val="30"/>
  <c:chart>
    <c:autoTitleDeleted val="1"/>
    <c:plotArea>
      <c:layout>
        <c:manualLayout>
          <c:layoutTarget val="inner"/>
          <c:xMode val="edge"/>
          <c:yMode val="edge"/>
          <c:x val="0"/>
          <c:y val="7.7601410934744666E-2"/>
          <c:w val="1"/>
          <c:h val="0.75350970017636687"/>
        </c:manualLayout>
      </c:layout>
      <c:lineChart>
        <c:grouping val="standard"/>
        <c:ser>
          <c:idx val="0"/>
          <c:order val="0"/>
          <c:tx>
            <c:strRef>
              <c:f>Sheet1!$B$1</c:f>
              <c:strCache>
                <c:ptCount val="1"/>
                <c:pt idx="0">
                  <c:v>Series 1</c:v>
                </c:pt>
              </c:strCache>
            </c:strRef>
          </c:tx>
          <c:spPr>
            <a:ln>
              <a:solidFill>
                <a:srgbClr val="4F81BD"/>
              </a:solidFill>
            </a:ln>
          </c:spPr>
          <c:marker>
            <c:spPr>
              <a:solidFill>
                <a:schemeClr val="accent1"/>
              </a:solidFill>
              <a:ln>
                <a:noFill/>
              </a:ln>
            </c:spPr>
          </c:marker>
          <c:dLbls>
            <c:dLbl>
              <c:idx val="0"/>
              <c:layout>
                <c:manualLayout>
                  <c:x val="-6.5077590376731734E-2"/>
                  <c:y val="-0.12075490563679539"/>
                </c:manualLayout>
              </c:layout>
              <c:tx>
                <c:rich>
                  <a:bodyPr/>
                  <a:lstStyle/>
                  <a:p>
                    <a:r>
                      <a:rPr lang="en-US" sz="1100" dirty="0" smtClean="0">
                        <a:latin typeface="Times New Roman" pitchFamily="18" charset="0"/>
                        <a:cs typeface="Times New Roman" pitchFamily="18" charset="0"/>
                      </a:rPr>
                      <a:t>1</a:t>
                    </a:r>
                    <a:r>
                      <a:rPr lang="en-US" sz="1100" dirty="0" smtClean="0"/>
                      <a:t>1.153</a:t>
                    </a:r>
                    <a:endParaRPr lang="en-US" sz="1100" dirty="0"/>
                  </a:p>
                </c:rich>
              </c:tx>
              <c:dLblPos val="r"/>
              <c:showVal val="1"/>
              <c:extLst xmlns:c16r2="http://schemas.microsoft.com/office/drawing/2015/06/chart">
                <c:ext xmlns:c16="http://schemas.microsoft.com/office/drawing/2014/chart" uri="{C3380CC4-5D6E-409C-BE32-E72D297353CC}">
                  <c16:uniqueId val="{00000000-1D6E-46BB-93B7-C4629F7BD0C5}"/>
                </c:ext>
                <c:ext xmlns:c15="http://schemas.microsoft.com/office/drawing/2012/chart" uri="{CE6537A1-D6FC-4f65-9D91-7224C49458BB}">
                  <c15:layout/>
                </c:ext>
              </c:extLst>
            </c:dLbl>
            <c:dLbl>
              <c:idx val="1"/>
              <c:layout>
                <c:manualLayout>
                  <c:x val="-4.0923789360166836E-2"/>
                  <c:y val="-0.14192837006485301"/>
                </c:manualLayout>
              </c:layout>
              <c:tx>
                <c:rich>
                  <a:bodyPr/>
                  <a:lstStyle/>
                  <a:p>
                    <a:r>
                      <a:rPr lang="en-US" sz="1100" dirty="0" smtClean="0">
                        <a:latin typeface="Times New Roman" pitchFamily="18" charset="0"/>
                        <a:cs typeface="Times New Roman" pitchFamily="18" charset="0"/>
                      </a:rPr>
                      <a:t>8</a:t>
                    </a:r>
                    <a:r>
                      <a:rPr lang="en-US" sz="1100" dirty="0" smtClean="0"/>
                      <a:t>.414</a:t>
                    </a:r>
                    <a:endParaRPr lang="en-US" sz="1100" dirty="0"/>
                  </a:p>
                </c:rich>
              </c:tx>
              <c:dLblPos val="r"/>
              <c:showVal val="1"/>
              <c:extLst xmlns:c16r2="http://schemas.microsoft.com/office/drawing/2015/06/chart">
                <c:ext xmlns:c16="http://schemas.microsoft.com/office/drawing/2014/chart" uri="{C3380CC4-5D6E-409C-BE32-E72D297353CC}">
                  <c16:uniqueId val="{00000001-1D6E-46BB-93B7-C4629F7BD0C5}"/>
                </c:ext>
                <c:ext xmlns:c15="http://schemas.microsoft.com/office/drawing/2012/chart" uri="{CE6537A1-D6FC-4f65-9D91-7224C49458BB}">
                  <c15:layout/>
                </c:ext>
              </c:extLst>
            </c:dLbl>
            <c:dLbl>
              <c:idx val="2"/>
              <c:layout>
                <c:manualLayout>
                  <c:x val="-5.0990952414936133E-2"/>
                  <c:y val="-0.13518699051507471"/>
                </c:manualLayout>
              </c:layout>
              <c:tx>
                <c:rich>
                  <a:bodyPr/>
                  <a:lstStyle/>
                  <a:p>
                    <a:r>
                      <a:rPr lang="en-US" sz="1100" dirty="0" smtClean="0">
                        <a:latin typeface="Times New Roman" pitchFamily="18" charset="0"/>
                        <a:cs typeface="Times New Roman" pitchFamily="18" charset="0"/>
                      </a:rPr>
                      <a:t>8</a:t>
                    </a:r>
                    <a:r>
                      <a:rPr lang="en-US" sz="1100" dirty="0" smtClean="0"/>
                      <a:t>.088</a:t>
                    </a:r>
                    <a:endParaRPr lang="en-US" sz="1100" dirty="0"/>
                  </a:p>
                </c:rich>
              </c:tx>
              <c:dLblPos val="r"/>
              <c:showVal val="1"/>
              <c:extLst xmlns:c16r2="http://schemas.microsoft.com/office/drawing/2015/06/chart">
                <c:ext xmlns:c16="http://schemas.microsoft.com/office/drawing/2014/chart" uri="{C3380CC4-5D6E-409C-BE32-E72D297353CC}">
                  <c16:uniqueId val="{00000002-1D6E-46BB-93B7-C4629F7BD0C5}"/>
                </c:ext>
                <c:ext xmlns:c15="http://schemas.microsoft.com/office/drawing/2012/chart" uri="{CE6537A1-D6FC-4f65-9D91-7224C49458BB}">
                  <c15:layout/>
                </c:ext>
              </c:extLst>
            </c:dLbl>
            <c:dLbl>
              <c:idx val="3"/>
              <c:layout>
                <c:manualLayout>
                  <c:x val="-4.9869559356439983E-2"/>
                  <c:y val="-0.14269438542404494"/>
                </c:manualLayout>
              </c:layout>
              <c:tx>
                <c:rich>
                  <a:bodyPr/>
                  <a:lstStyle/>
                  <a:p>
                    <a:r>
                      <a:rPr lang="en-US" sz="1100" dirty="0" smtClean="0">
                        <a:latin typeface="Times New Roman" pitchFamily="18" charset="0"/>
                        <a:cs typeface="Times New Roman" pitchFamily="18" charset="0"/>
                      </a:rPr>
                      <a:t>7</a:t>
                    </a:r>
                    <a:r>
                      <a:rPr lang="en-US" sz="1100" dirty="0" smtClean="0"/>
                      <a:t>.623</a:t>
                    </a:r>
                    <a:endParaRPr lang="en-US" sz="1100" dirty="0"/>
                  </a:p>
                </c:rich>
              </c:tx>
              <c:dLblPos val="r"/>
              <c:showVal val="1"/>
              <c:extLst xmlns:c16r2="http://schemas.microsoft.com/office/drawing/2015/06/chart">
                <c:ext xmlns:c16="http://schemas.microsoft.com/office/drawing/2014/chart" uri="{C3380CC4-5D6E-409C-BE32-E72D297353CC}">
                  <c16:uniqueId val="{00000003-1D6E-46BB-93B7-C4629F7BD0C5}"/>
                </c:ext>
                <c:ext xmlns:c15="http://schemas.microsoft.com/office/drawing/2012/chart" uri="{CE6537A1-D6FC-4f65-9D91-7224C49458BB}">
                  <c15:layout/>
                </c:ext>
              </c:extLst>
            </c:dLbl>
            <c:dLbl>
              <c:idx val="4"/>
              <c:layout>
                <c:manualLayout>
                  <c:x val="-4.4470347550967008E-2"/>
                  <c:y val="-0.12298184949103592"/>
                </c:manualLayout>
              </c:layout>
              <c:tx>
                <c:rich>
                  <a:bodyPr/>
                  <a:lstStyle/>
                  <a:p>
                    <a:r>
                      <a:rPr lang="en-US" sz="1100" dirty="0" smtClean="0">
                        <a:latin typeface="Times New Roman" pitchFamily="18" charset="0"/>
                        <a:cs typeface="Times New Roman" pitchFamily="18" charset="0"/>
                      </a:rPr>
                      <a:t>8</a:t>
                    </a:r>
                    <a:r>
                      <a:rPr lang="en-US" sz="1100" dirty="0" smtClean="0"/>
                      <a:t>.656</a:t>
                    </a:r>
                    <a:endParaRPr lang="en-US" sz="1100" dirty="0"/>
                  </a:p>
                </c:rich>
              </c:tx>
              <c:dLblPos val="r"/>
              <c:showVal val="1"/>
              <c:extLst xmlns:c16r2="http://schemas.microsoft.com/office/drawing/2015/06/chart">
                <c:ext xmlns:c16="http://schemas.microsoft.com/office/drawing/2014/chart" uri="{C3380CC4-5D6E-409C-BE32-E72D297353CC}">
                  <c16:uniqueId val="{00000004-1D6E-46BB-93B7-C4629F7BD0C5}"/>
                </c:ext>
                <c:ext xmlns:c15="http://schemas.microsoft.com/office/drawing/2012/chart" uri="{CE6537A1-D6FC-4f65-9D91-7224C49458BB}">
                  <c15:layout/>
                </c:ext>
              </c:extLst>
            </c:dLbl>
            <c:dLbl>
              <c:idx val="5"/>
              <c:layout>
                <c:manualLayout>
                  <c:x val="-3.9012774460594236E-2"/>
                  <c:y val="-0.13818050521462499"/>
                </c:manualLayout>
              </c:layout>
              <c:tx>
                <c:rich>
                  <a:bodyPr/>
                  <a:lstStyle/>
                  <a:p>
                    <a:r>
                      <a:rPr lang="en-US" sz="1100" dirty="0" smtClean="0">
                        <a:latin typeface="Times New Roman" pitchFamily="18" charset="0"/>
                        <a:cs typeface="Times New Roman" pitchFamily="18" charset="0"/>
                      </a:rPr>
                      <a:t>7</a:t>
                    </a:r>
                    <a:r>
                      <a:rPr lang="en-US" sz="1100" dirty="0" smtClean="0"/>
                      <a:t>.064</a:t>
                    </a:r>
                    <a:endParaRPr lang="en-US" sz="1100" dirty="0"/>
                  </a:p>
                </c:rich>
              </c:tx>
              <c:dLblPos val="r"/>
              <c:showVal val="1"/>
              <c:extLst xmlns:c16r2="http://schemas.microsoft.com/office/drawing/2015/06/chart">
                <c:ext xmlns:c16="http://schemas.microsoft.com/office/drawing/2014/chart" uri="{C3380CC4-5D6E-409C-BE32-E72D297353CC}">
                  <c16:uniqueId val="{00000005-1D6E-46BB-93B7-C4629F7BD0C5}"/>
                </c:ext>
                <c:ext xmlns:c15="http://schemas.microsoft.com/office/drawing/2012/chart" uri="{CE6537A1-D6FC-4f65-9D91-7224C49458BB}">
                  <c15:layout/>
                </c:ext>
              </c:extLst>
            </c:dLbl>
            <c:dLbl>
              <c:idx val="6"/>
              <c:layout>
                <c:manualLayout>
                  <c:x val="-5.8157178993109244E-2"/>
                  <c:y val="-0.12470885583746465"/>
                </c:manualLayout>
              </c:layout>
              <c:tx>
                <c:rich>
                  <a:bodyPr/>
                  <a:lstStyle/>
                  <a:p>
                    <a:r>
                      <a:rPr lang="en-US" sz="1100" smtClean="0">
                        <a:latin typeface="Times New Roman" pitchFamily="18" charset="0"/>
                        <a:cs typeface="Times New Roman" pitchFamily="18" charset="0"/>
                      </a:rPr>
                      <a:t>5</a:t>
                    </a:r>
                    <a:r>
                      <a:rPr lang="en-US" smtClean="0"/>
                      <a:t>.802</a:t>
                    </a:r>
                    <a:endParaRPr lang="en-US" dirty="0"/>
                  </a:p>
                </c:rich>
              </c:tx>
              <c:dLblPos val="r"/>
              <c:showVal val="1"/>
              <c:extLst>
                <c:ext xmlns:c15="http://schemas.microsoft.com/office/drawing/2012/chart" uri="{CE6537A1-D6FC-4f65-9D91-7224C49458BB}">
                  <c15:layout/>
                </c:ext>
              </c:extLst>
            </c:dLbl>
            <c:dLbl>
              <c:idx val="7"/>
              <c:layout>
                <c:manualLayout>
                  <c:x val="-5.0100784229765882E-2"/>
                  <c:y val="-0.13176352955880519"/>
                </c:manualLayout>
              </c:layout>
              <c:tx>
                <c:rich>
                  <a:bodyPr/>
                  <a:lstStyle/>
                  <a:p>
                    <a:r>
                      <a:rPr lang="en-US" sz="1100" smtClean="0">
                        <a:latin typeface="Times New Roman" pitchFamily="18" charset="0"/>
                        <a:cs typeface="Times New Roman" pitchFamily="18" charset="0"/>
                      </a:rPr>
                      <a:t>5</a:t>
                    </a:r>
                    <a:r>
                      <a:rPr lang="en-US" smtClean="0"/>
                      <a:t>.641</a:t>
                    </a:r>
                    <a:endParaRPr lang="en-US" dirty="0"/>
                  </a:p>
                </c:rich>
              </c:tx>
              <c:dLblPos val="r"/>
              <c:showVal val="1"/>
              <c:extLst>
                <c:ext xmlns:c15="http://schemas.microsoft.com/office/drawing/2012/chart" uri="{CE6537A1-D6FC-4f65-9D91-7224C49458BB}">
                  <c15:layout/>
                </c:ext>
              </c:extLst>
            </c:dLbl>
            <c:spPr>
              <a:noFill/>
              <a:ln>
                <a:noFill/>
              </a:ln>
              <a:effectLst/>
            </c:spPr>
            <c:txPr>
              <a:bodyPr/>
              <a:lstStyle/>
              <a:p>
                <a:pPr>
                  <a:defRPr sz="1100" b="1">
                    <a:latin typeface="Times New Roman" pitchFamily="18" charset="0"/>
                    <a:cs typeface="Times New Roman" pitchFamily="18" charset="0"/>
                  </a:defRPr>
                </a:pPr>
                <a:endParaRPr lang="ro-RO"/>
              </a:p>
            </c:txPr>
            <c:dLblPos val="b"/>
            <c:showVal val="1"/>
            <c:extLst xmlns:c16r2="http://schemas.microsoft.com/office/drawing/2015/06/chart">
              <c:ext xmlns:c15="http://schemas.microsoft.com/office/drawing/2012/chart" uri="{CE6537A1-D6FC-4f65-9D91-7224C49458BB}">
                <c15:layout/>
                <c15:showLeaderLines val="0"/>
              </c:ext>
            </c:extLst>
          </c:dLbls>
          <c:cat>
            <c:numRef>
              <c:f>Sheet1!$A$2:$A$9</c:f>
              <c:numCache>
                <c:formatCode>General</c:formatCode>
                <c:ptCount val="8"/>
                <c:pt idx="0">
                  <c:v>2011</c:v>
                </c:pt>
                <c:pt idx="1">
                  <c:v>2012</c:v>
                </c:pt>
                <c:pt idx="2">
                  <c:v>2013</c:v>
                </c:pt>
                <c:pt idx="3">
                  <c:v>2014</c:v>
                </c:pt>
                <c:pt idx="4">
                  <c:v>2015</c:v>
                </c:pt>
                <c:pt idx="5">
                  <c:v>2016</c:v>
                </c:pt>
                <c:pt idx="6">
                  <c:v>2017</c:v>
                </c:pt>
                <c:pt idx="7">
                  <c:v>2018</c:v>
                </c:pt>
              </c:numCache>
            </c:numRef>
          </c:cat>
          <c:val>
            <c:numRef>
              <c:f>Sheet1!$B$2:$B$9</c:f>
              <c:numCache>
                <c:formatCode>#,##0</c:formatCode>
                <c:ptCount val="8"/>
                <c:pt idx="0">
                  <c:v>11153</c:v>
                </c:pt>
                <c:pt idx="1">
                  <c:v>8414</c:v>
                </c:pt>
                <c:pt idx="2">
                  <c:v>8088</c:v>
                </c:pt>
                <c:pt idx="3">
                  <c:v>7623</c:v>
                </c:pt>
                <c:pt idx="4">
                  <c:v>8656</c:v>
                </c:pt>
                <c:pt idx="5">
                  <c:v>7054</c:v>
                </c:pt>
                <c:pt idx="6">
                  <c:v>5802</c:v>
                </c:pt>
                <c:pt idx="7">
                  <c:v>5641</c:v>
                </c:pt>
              </c:numCache>
            </c:numRef>
          </c:val>
          <c:extLst xmlns:c16r2="http://schemas.microsoft.com/office/drawing/2015/06/chart">
            <c:ext xmlns:c16="http://schemas.microsoft.com/office/drawing/2014/chart" uri="{C3380CC4-5D6E-409C-BE32-E72D297353CC}">
              <c16:uniqueId val="{00000006-1D6E-46BB-93B7-C4629F7BD0C5}"/>
            </c:ext>
          </c:extLst>
        </c:ser>
        <c:dLbls>
          <c:showVal val="1"/>
        </c:dLbls>
        <c:marker val="1"/>
        <c:axId val="64340736"/>
        <c:axId val="64342272"/>
      </c:lineChart>
      <c:catAx>
        <c:axId val="64340736"/>
        <c:scaling>
          <c:orientation val="minMax"/>
        </c:scaling>
        <c:axPos val="b"/>
        <c:numFmt formatCode="General" sourceLinked="1"/>
        <c:tickLblPos val="nextTo"/>
        <c:txPr>
          <a:bodyPr/>
          <a:lstStyle/>
          <a:p>
            <a:pPr>
              <a:defRPr sz="1000" b="1">
                <a:latin typeface="Times New Roman" pitchFamily="18" charset="0"/>
                <a:ea typeface="Tahoma" pitchFamily="34" charset="0"/>
                <a:cs typeface="Times New Roman" pitchFamily="18" charset="0"/>
              </a:defRPr>
            </a:pPr>
            <a:endParaRPr lang="ro-RO"/>
          </a:p>
        </c:txPr>
        <c:crossAx val="64342272"/>
        <c:crosses val="autoZero"/>
        <c:auto val="1"/>
        <c:lblAlgn val="ctr"/>
        <c:lblOffset val="100"/>
      </c:catAx>
      <c:valAx>
        <c:axId val="64342272"/>
        <c:scaling>
          <c:orientation val="minMax"/>
          <c:min val="4000"/>
        </c:scaling>
        <c:delete val="1"/>
        <c:axPos val="l"/>
        <c:numFmt formatCode="#,##0" sourceLinked="1"/>
        <c:tickLblPos val="none"/>
        <c:crossAx val="64340736"/>
        <c:crosses val="autoZero"/>
        <c:crossBetween val="between"/>
      </c:valAx>
      <c:spPr>
        <a:noFill/>
      </c:spPr>
    </c:plotArea>
    <c:plotVisOnly val="1"/>
    <c:dispBlanksAs val="gap"/>
  </c:chart>
  <c:spPr>
    <a:noFill/>
    <a:ln>
      <a:noFill/>
    </a:ln>
  </c:spPr>
  <c:txPr>
    <a:bodyPr/>
    <a:lstStyle/>
    <a:p>
      <a:pPr>
        <a:defRPr sz="1800"/>
      </a:pPr>
      <a:endParaRPr lang="ro-RO"/>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o-RO"/>
  <c:style val="30"/>
  <c:chart>
    <c:autoTitleDeleted val="1"/>
    <c:plotArea>
      <c:layout>
        <c:manualLayout>
          <c:layoutTarget val="inner"/>
          <c:xMode val="edge"/>
          <c:yMode val="edge"/>
          <c:x val="3.6304740257983478E-4"/>
          <c:y val="0"/>
          <c:w val="0.9991829887243413"/>
          <c:h val="0.84152580927384402"/>
        </c:manualLayout>
      </c:layout>
      <c:lineChart>
        <c:grouping val="standard"/>
        <c:ser>
          <c:idx val="0"/>
          <c:order val="0"/>
          <c:tx>
            <c:strRef>
              <c:f>Sheet1!$B$1</c:f>
              <c:strCache>
                <c:ptCount val="1"/>
                <c:pt idx="0">
                  <c:v>Series 1</c:v>
                </c:pt>
              </c:strCache>
            </c:strRef>
          </c:tx>
          <c:spPr>
            <a:ln>
              <a:solidFill>
                <a:srgbClr val="4F81BD"/>
              </a:solidFill>
            </a:ln>
          </c:spPr>
          <c:marker>
            <c:spPr>
              <a:solidFill>
                <a:srgbClr val="4F81BD"/>
              </a:solidFill>
              <a:ln>
                <a:noFill/>
              </a:ln>
            </c:spPr>
          </c:marker>
          <c:dLbls>
            <c:dLbl>
              <c:idx val="0"/>
              <c:layout>
                <c:manualLayout>
                  <c:x val="-4.9708706283509436E-2"/>
                  <c:y val="8.8391902690395791E-2"/>
                </c:manualLayout>
              </c:layout>
              <c:dLblPos val="r"/>
              <c:showVal val="1"/>
              <c:extLst xmlns:c16r2="http://schemas.microsoft.com/office/drawing/2015/06/chart">
                <c:ext xmlns:c16="http://schemas.microsoft.com/office/drawing/2014/chart" uri="{C3380CC4-5D6E-409C-BE32-E72D297353CC}">
                  <c16:uniqueId val="{00000000-6EEA-44D7-BC29-2B8E42B76305}"/>
                </c:ext>
                <c:ext xmlns:c15="http://schemas.microsoft.com/office/drawing/2012/chart" uri="{CE6537A1-D6FC-4f65-9D91-7224C49458BB}">
                  <c15:layout/>
                </c:ext>
              </c:extLst>
            </c:dLbl>
            <c:dLbl>
              <c:idx val="1"/>
              <c:layout>
                <c:manualLayout>
                  <c:x val="-7.4138888888888893E-2"/>
                  <c:y val="0.1295419947506562"/>
                </c:manualLayout>
              </c:layout>
              <c:dLblPos val="r"/>
              <c:showVal val="1"/>
              <c:extLst xmlns:c16r2="http://schemas.microsoft.com/office/drawing/2015/06/chart">
                <c:ext xmlns:c16="http://schemas.microsoft.com/office/drawing/2014/chart" uri="{C3380CC4-5D6E-409C-BE32-E72D297353CC}">
                  <c16:uniqueId val="{00000001-6EEA-44D7-BC29-2B8E42B76305}"/>
                </c:ext>
                <c:ext xmlns:c15="http://schemas.microsoft.com/office/drawing/2012/chart" uri="{CE6537A1-D6FC-4f65-9D91-7224C49458BB}">
                  <c15:layout/>
                </c:ext>
              </c:extLst>
            </c:dLbl>
            <c:dLbl>
              <c:idx val="2"/>
              <c:layout>
                <c:manualLayout>
                  <c:x val="-7.4138888888888893E-2"/>
                  <c:y val="8.7875328083991247E-2"/>
                </c:manualLayout>
              </c:layout>
              <c:dLblPos val="r"/>
              <c:showVal val="1"/>
              <c:extLst xmlns:c16r2="http://schemas.microsoft.com/office/drawing/2015/06/chart">
                <c:ext xmlns:c16="http://schemas.microsoft.com/office/drawing/2014/chart" uri="{C3380CC4-5D6E-409C-BE32-E72D297353CC}">
                  <c16:uniqueId val="{00000002-6EEA-44D7-BC29-2B8E42B76305}"/>
                </c:ext>
                <c:ext xmlns:c15="http://schemas.microsoft.com/office/drawing/2012/chart" uri="{CE6537A1-D6FC-4f65-9D91-7224C49458BB}">
                  <c15:layout/>
                </c:ext>
              </c:extLst>
            </c:dLbl>
            <c:dLbl>
              <c:idx val="3"/>
              <c:layout>
                <c:manualLayout>
                  <c:x val="-7.9694444444446136E-2"/>
                  <c:y val="9.620866141732283E-2"/>
                </c:manualLayout>
              </c:layout>
              <c:dLblPos val="r"/>
              <c:showVal val="1"/>
              <c:extLst xmlns:c16r2="http://schemas.microsoft.com/office/drawing/2015/06/chart">
                <c:ext xmlns:c16="http://schemas.microsoft.com/office/drawing/2014/chart" uri="{C3380CC4-5D6E-409C-BE32-E72D297353CC}">
                  <c16:uniqueId val="{00000003-6EEA-44D7-BC29-2B8E42B76305}"/>
                </c:ext>
                <c:ext xmlns:c15="http://schemas.microsoft.com/office/drawing/2012/chart" uri="{CE6537A1-D6FC-4f65-9D91-7224C49458BB}">
                  <c15:layout/>
                </c:ext>
              </c:extLst>
            </c:dLbl>
            <c:dLbl>
              <c:idx val="4"/>
              <c:layout>
                <c:manualLayout>
                  <c:x val="-5.5691612266415419E-2"/>
                  <c:y val="0.12902375445838862"/>
                </c:manualLayout>
              </c:layout>
              <c:dLblPos val="r"/>
              <c:showVal val="1"/>
            </c:dLbl>
            <c:spPr>
              <a:noFill/>
              <a:ln>
                <a:noFill/>
              </a:ln>
              <a:effectLst/>
            </c:spPr>
            <c:txPr>
              <a:bodyPr/>
              <a:lstStyle/>
              <a:p>
                <a:pPr>
                  <a:defRPr sz="1050">
                    <a:effectLst/>
                    <a:latin typeface="Times New Roman" pitchFamily="18" charset="0"/>
                    <a:cs typeface="Times New Roman" pitchFamily="18" charset="0"/>
                  </a:defRPr>
                </a:pPr>
                <a:endParaRPr lang="ro-RO"/>
              </a:p>
            </c:txPr>
            <c:dLblPos val="b"/>
            <c:showVal val="1"/>
            <c:extLst xmlns:c16r2="http://schemas.microsoft.com/office/drawing/2015/06/chart">
              <c:ext xmlns:c15="http://schemas.microsoft.com/office/drawing/2012/chart" uri="{CE6537A1-D6FC-4f65-9D91-7224C49458BB}">
                <c15:layout/>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General</c:formatCode>
                <c:ptCount val="9"/>
                <c:pt idx="0">
                  <c:v>219</c:v>
                </c:pt>
                <c:pt idx="1">
                  <c:v>258</c:v>
                </c:pt>
                <c:pt idx="2">
                  <c:v>256</c:v>
                </c:pt>
                <c:pt idx="3">
                  <c:v>264</c:v>
                </c:pt>
                <c:pt idx="4">
                  <c:v>334</c:v>
                </c:pt>
                <c:pt idx="5">
                  <c:v>322</c:v>
                </c:pt>
                <c:pt idx="6">
                  <c:v>346</c:v>
                </c:pt>
                <c:pt idx="7">
                  <c:v>249</c:v>
                </c:pt>
                <c:pt idx="8">
                  <c:v>342</c:v>
                </c:pt>
              </c:numCache>
            </c:numRef>
          </c:val>
          <c:extLst xmlns:c16r2="http://schemas.microsoft.com/office/drawing/2015/06/chart">
            <c:ext xmlns:c16="http://schemas.microsoft.com/office/drawing/2014/chart" uri="{C3380CC4-5D6E-409C-BE32-E72D297353CC}">
              <c16:uniqueId val="{00000005-6EEA-44D7-BC29-2B8E42B76305}"/>
            </c:ext>
          </c:extLst>
        </c:ser>
        <c:dLbls>
          <c:showVal val="1"/>
        </c:dLbls>
        <c:marker val="1"/>
        <c:axId val="107270144"/>
        <c:axId val="107271680"/>
      </c:lineChart>
      <c:catAx>
        <c:axId val="107270144"/>
        <c:scaling>
          <c:orientation val="minMax"/>
        </c:scaling>
        <c:axPos val="b"/>
        <c:numFmt formatCode="General" sourceLinked="1"/>
        <c:tickLblPos val="nextTo"/>
        <c:txPr>
          <a:bodyPr/>
          <a:lstStyle/>
          <a:p>
            <a:pPr>
              <a:defRPr sz="1000">
                <a:latin typeface="Times New Roman" pitchFamily="18" charset="0"/>
                <a:cs typeface="Times New Roman" pitchFamily="18" charset="0"/>
              </a:defRPr>
            </a:pPr>
            <a:endParaRPr lang="ro-RO"/>
          </a:p>
        </c:txPr>
        <c:crossAx val="107271680"/>
        <c:crosses val="autoZero"/>
        <c:auto val="1"/>
        <c:lblAlgn val="ctr"/>
        <c:lblOffset val="100"/>
      </c:catAx>
      <c:valAx>
        <c:axId val="107271680"/>
        <c:scaling>
          <c:orientation val="minMax"/>
          <c:min val="150"/>
        </c:scaling>
        <c:delete val="1"/>
        <c:axPos val="l"/>
        <c:numFmt formatCode="General" sourceLinked="1"/>
        <c:tickLblPos val="none"/>
        <c:crossAx val="107270144"/>
        <c:crosses val="autoZero"/>
        <c:crossBetween val="between"/>
      </c:valAx>
      <c:spPr>
        <a:noFill/>
      </c:spPr>
    </c:plotArea>
    <c:plotVisOnly val="1"/>
    <c:dispBlanksAs val="gap"/>
  </c:chart>
  <c:spPr>
    <a:noFill/>
    <a:ln>
      <a:noFill/>
    </a:ln>
  </c:spPr>
  <c:txPr>
    <a:bodyPr/>
    <a:lstStyle/>
    <a:p>
      <a:pPr>
        <a:defRPr sz="1200" b="1"/>
      </a:pPr>
      <a:endParaRPr lang="ro-RO"/>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o-RO"/>
  <c:style val="27"/>
  <c:chart>
    <c:plotArea>
      <c:layout>
        <c:manualLayout>
          <c:layoutTarget val="inner"/>
          <c:xMode val="edge"/>
          <c:yMode val="edge"/>
          <c:x val="1.9694731659281248E-2"/>
          <c:y val="0"/>
          <c:w val="0.96841058087827647"/>
          <c:h val="0.87719374134027261"/>
        </c:manualLayout>
      </c:layout>
      <c:barChart>
        <c:barDir val="col"/>
        <c:grouping val="clustered"/>
        <c:ser>
          <c:idx val="0"/>
          <c:order val="0"/>
          <c:tx>
            <c:strRef>
              <c:f>Sheet1!$B$1</c:f>
              <c:strCache>
                <c:ptCount val="1"/>
                <c:pt idx="0">
                  <c:v>Accidente grave</c:v>
                </c:pt>
              </c:strCache>
            </c:strRef>
          </c:tx>
          <c:spPr>
            <a:solidFill>
              <a:schemeClr val="accent1">
                <a:lumMod val="75000"/>
              </a:schemeClr>
            </a:solidFill>
          </c:spPr>
          <c:dLbls>
            <c:dLbl>
              <c:idx val="7"/>
              <c:layout>
                <c:manualLayout>
                  <c:x val="-1.7128112834254906E-2"/>
                  <c:y val="-1.9281413352742683E-2"/>
                </c:manualLayout>
              </c:layout>
              <c:dLblPos val="outEnd"/>
              <c:showVal val="1"/>
              <c:extLst>
                <c:ext xmlns:c15="http://schemas.microsoft.com/office/drawing/2012/chart" uri="{CE6537A1-D6FC-4f65-9D91-7224C49458BB}">
                  <c15:layout/>
                </c:ext>
              </c:extLst>
            </c:dLbl>
            <c:spPr>
              <a:noFill/>
              <a:ln>
                <a:noFill/>
              </a:ln>
              <a:effectLst/>
            </c:spPr>
            <c:txPr>
              <a:bodyPr/>
              <a:lstStyle/>
              <a:p>
                <a:pPr>
                  <a:defRPr sz="1100" b="1">
                    <a:latin typeface="Times New Roman" pitchFamily="18" charset="0"/>
                    <a:cs typeface="Times New Roman" pitchFamily="18" charset="0"/>
                  </a:defRPr>
                </a:pPr>
                <a:endParaRPr lang="ro-RO"/>
              </a:p>
            </c:txPr>
            <c:dLblPos val="outEnd"/>
            <c:showVal val="1"/>
            <c:extLst xmlns:c16r2="http://schemas.microsoft.com/office/drawing/2015/06/chart">
              <c:ext xmlns:c15="http://schemas.microsoft.com/office/drawing/2012/chart" uri="{CE6537A1-D6FC-4f65-9D91-7224C49458BB}">
                <c15:layout/>
                <c15:showLeaderLines val="0"/>
              </c:ext>
            </c:extLst>
          </c:dLbls>
          <c:cat>
            <c:numRef>
              <c:f>Sheet1!$A$2:$A$9</c:f>
              <c:numCache>
                <c:formatCode>General</c:formatCode>
                <c:ptCount val="8"/>
                <c:pt idx="0">
                  <c:v>2011</c:v>
                </c:pt>
                <c:pt idx="1">
                  <c:v>2012</c:v>
                </c:pt>
                <c:pt idx="2">
                  <c:v>2013</c:v>
                </c:pt>
                <c:pt idx="3">
                  <c:v>2014</c:v>
                </c:pt>
                <c:pt idx="4">
                  <c:v>2015</c:v>
                </c:pt>
                <c:pt idx="5">
                  <c:v>2016</c:v>
                </c:pt>
                <c:pt idx="6">
                  <c:v>2017</c:v>
                </c:pt>
                <c:pt idx="7">
                  <c:v>2018</c:v>
                </c:pt>
              </c:numCache>
            </c:numRef>
          </c:cat>
          <c:val>
            <c:numRef>
              <c:f>Sheet1!$B$2:$B$9</c:f>
              <c:numCache>
                <c:formatCode>General</c:formatCode>
                <c:ptCount val="8"/>
                <c:pt idx="0">
                  <c:v>920</c:v>
                </c:pt>
                <c:pt idx="1">
                  <c:v>960</c:v>
                </c:pt>
                <c:pt idx="2">
                  <c:v>783</c:v>
                </c:pt>
                <c:pt idx="3">
                  <c:v>614</c:v>
                </c:pt>
                <c:pt idx="4">
                  <c:v>670</c:v>
                </c:pt>
                <c:pt idx="5">
                  <c:v>489</c:v>
                </c:pt>
                <c:pt idx="6">
                  <c:v>471</c:v>
                </c:pt>
                <c:pt idx="7">
                  <c:v>566</c:v>
                </c:pt>
              </c:numCache>
            </c:numRef>
          </c:val>
          <c:extLst xmlns:c16r2="http://schemas.microsoft.com/office/drawing/2015/06/chart">
            <c:ext xmlns:c16="http://schemas.microsoft.com/office/drawing/2014/chart" uri="{C3380CC4-5D6E-409C-BE32-E72D297353CC}">
              <c16:uniqueId val="{00000000-17C8-4FF6-82DC-6867E59E5EAB}"/>
            </c:ext>
          </c:extLst>
        </c:ser>
        <c:ser>
          <c:idx val="1"/>
          <c:order val="1"/>
          <c:tx>
            <c:strRef>
              <c:f>Sheet1!$C$1</c:f>
              <c:strCache>
                <c:ptCount val="1"/>
                <c:pt idx="0">
                  <c:v>Raniti grav</c:v>
                </c:pt>
              </c:strCache>
            </c:strRef>
          </c:tx>
          <c:dLbls>
            <c:dLbl>
              <c:idx val="0"/>
              <c:layout>
                <c:manualLayout>
                  <c:x val="2.107726393879299E-2"/>
                  <c:y val="2.5169855233694829E-2"/>
                </c:manualLayout>
              </c:layout>
              <c:dLblPos val="outEnd"/>
              <c:showVal val="1"/>
              <c:extLst xmlns:c16r2="http://schemas.microsoft.com/office/drawing/2015/06/chart">
                <c:ext xmlns:c16="http://schemas.microsoft.com/office/drawing/2014/chart" uri="{C3380CC4-5D6E-409C-BE32-E72D297353CC}">
                  <c16:uniqueId val="{00000001-17C8-4FF6-82DC-6867E59E5EAB}"/>
                </c:ext>
                <c:ext xmlns:c15="http://schemas.microsoft.com/office/drawing/2012/chart" uri="{CE6537A1-D6FC-4f65-9D91-7224C49458BB}">
                  <c15:layout/>
                </c:ext>
              </c:extLst>
            </c:dLbl>
            <c:dLbl>
              <c:idx val="1"/>
              <c:layout>
                <c:manualLayout>
                  <c:x val="2.1077263938792952E-2"/>
                  <c:y val="2.5169855233694829E-2"/>
                </c:manualLayout>
              </c:layout>
              <c:dLblPos val="outEnd"/>
              <c:showVal val="1"/>
              <c:extLst xmlns:c16r2="http://schemas.microsoft.com/office/drawing/2015/06/chart">
                <c:ext xmlns:c16="http://schemas.microsoft.com/office/drawing/2014/chart" uri="{C3380CC4-5D6E-409C-BE32-E72D297353CC}">
                  <c16:uniqueId val="{00000002-17C8-4FF6-82DC-6867E59E5EAB}"/>
                </c:ext>
                <c:ext xmlns:c15="http://schemas.microsoft.com/office/drawing/2012/chart" uri="{CE6537A1-D6FC-4f65-9D91-7224C49458BB}">
                  <c15:layout/>
                </c:ext>
              </c:extLst>
            </c:dLbl>
            <c:dLbl>
              <c:idx val="2"/>
              <c:layout>
                <c:manualLayout>
                  <c:x val="2.3419182154214402E-2"/>
                  <c:y val="2.0974879361412381E-2"/>
                </c:manualLayout>
              </c:layout>
              <c:dLblPos val="outEnd"/>
              <c:showVal val="1"/>
              <c:extLst xmlns:c16r2="http://schemas.microsoft.com/office/drawing/2015/06/chart">
                <c:ext xmlns:c16="http://schemas.microsoft.com/office/drawing/2014/chart" uri="{C3380CC4-5D6E-409C-BE32-E72D297353CC}">
                  <c16:uniqueId val="{00000003-17C8-4FF6-82DC-6867E59E5EAB}"/>
                </c:ext>
                <c:ext xmlns:c15="http://schemas.microsoft.com/office/drawing/2012/chart" uri="{CE6537A1-D6FC-4f65-9D91-7224C49458BB}">
                  <c15:layout/>
                </c:ext>
              </c:extLst>
            </c:dLbl>
            <c:dLbl>
              <c:idx val="3"/>
              <c:layout>
                <c:manualLayout>
                  <c:x val="1.6393427507950083E-2"/>
                  <c:y val="2.0974879361412381E-2"/>
                </c:manualLayout>
              </c:layout>
              <c:dLblPos val="outEnd"/>
              <c:showVal val="1"/>
              <c:extLst xmlns:c16r2="http://schemas.microsoft.com/office/drawing/2015/06/chart">
                <c:ext xmlns:c16="http://schemas.microsoft.com/office/drawing/2014/chart" uri="{C3380CC4-5D6E-409C-BE32-E72D297353CC}">
                  <c16:uniqueId val="{00000004-17C8-4FF6-82DC-6867E59E5EAB}"/>
                </c:ext>
                <c:ext xmlns:c15="http://schemas.microsoft.com/office/drawing/2012/chart" uri="{CE6537A1-D6FC-4f65-9D91-7224C49458BB}">
                  <c15:layout/>
                </c:ext>
              </c:extLst>
            </c:dLbl>
            <c:dLbl>
              <c:idx val="4"/>
              <c:layout>
                <c:manualLayout>
                  <c:x val="1.4051509292528833E-2"/>
                  <c:y val="1.6779903489129892E-2"/>
                </c:manualLayout>
              </c:layout>
              <c:dLblPos val="outEnd"/>
              <c:showVal val="1"/>
              <c:extLst xmlns:c16r2="http://schemas.microsoft.com/office/drawing/2015/06/chart">
                <c:ext xmlns:c16="http://schemas.microsoft.com/office/drawing/2014/chart" uri="{C3380CC4-5D6E-409C-BE32-E72D297353CC}">
                  <c16:uniqueId val="{00000005-17C8-4FF6-82DC-6867E59E5EAB}"/>
                </c:ext>
                <c:ext xmlns:c15="http://schemas.microsoft.com/office/drawing/2012/chart" uri="{CE6537A1-D6FC-4f65-9D91-7224C49458BB}">
                  <c15:layout/>
                </c:ext>
              </c:extLst>
            </c:dLbl>
            <c:dLbl>
              <c:idx val="5"/>
              <c:layout>
                <c:manualLayout>
                  <c:x val="1.4051509292528911E-2"/>
                  <c:y val="1.2584927616847609E-2"/>
                </c:manualLayout>
              </c:layout>
              <c:dLblPos val="outEnd"/>
              <c:showVal val="1"/>
              <c:extLst xmlns:c16r2="http://schemas.microsoft.com/office/drawing/2015/06/chart">
                <c:ext xmlns:c16="http://schemas.microsoft.com/office/drawing/2014/chart" uri="{C3380CC4-5D6E-409C-BE32-E72D297353CC}">
                  <c16:uniqueId val="{00000006-17C8-4FF6-82DC-6867E59E5EAB}"/>
                </c:ext>
                <c:ext xmlns:c15="http://schemas.microsoft.com/office/drawing/2012/chart" uri="{CE6537A1-D6FC-4f65-9D91-7224C49458BB}">
                  <c15:layout/>
                </c:ext>
              </c:extLst>
            </c:dLbl>
            <c:dLbl>
              <c:idx val="6"/>
              <c:layout>
                <c:manualLayout>
                  <c:x val="2.1077263938792952E-2"/>
                  <c:y val="8.3899517445649528E-3"/>
                </c:manualLayout>
              </c:layout>
              <c:dLblPos val="outEnd"/>
              <c:showVal val="1"/>
              <c:extLst xmlns:c16r2="http://schemas.microsoft.com/office/drawing/2015/06/chart">
                <c:ext xmlns:c16="http://schemas.microsoft.com/office/drawing/2014/chart" uri="{C3380CC4-5D6E-409C-BE32-E72D297353CC}">
                  <c16:uniqueId val="{00000007-17C8-4FF6-82DC-6867E59E5EAB}"/>
                </c:ext>
                <c:ext xmlns:c15="http://schemas.microsoft.com/office/drawing/2012/chart" uri="{CE6537A1-D6FC-4f65-9D91-7224C49458BB}">
                  <c15:layout/>
                </c:ext>
              </c:extLst>
            </c:dLbl>
            <c:dLbl>
              <c:idx val="7"/>
              <c:layout>
                <c:manualLayout>
                  <c:x val="1.7094014537539608E-2"/>
                  <c:y val="1.0084033613445441E-2"/>
                </c:manualLayout>
              </c:layout>
              <c:dLblPos val="outEnd"/>
              <c:showVal val="1"/>
              <c:extLst>
                <c:ext xmlns:c15="http://schemas.microsoft.com/office/drawing/2012/chart" uri="{CE6537A1-D6FC-4f65-9D91-7224C49458BB}">
                  <c15:layout/>
                </c:ext>
              </c:extLst>
            </c:dLbl>
            <c:spPr>
              <a:noFill/>
              <a:ln>
                <a:noFill/>
              </a:ln>
              <a:effectLst/>
            </c:spPr>
            <c:txPr>
              <a:bodyPr/>
              <a:lstStyle/>
              <a:p>
                <a:pPr>
                  <a:defRPr sz="1100" b="1">
                    <a:latin typeface="Times New Roman" pitchFamily="18" charset="0"/>
                    <a:cs typeface="Times New Roman" pitchFamily="18" charset="0"/>
                  </a:defRPr>
                </a:pPr>
                <a:endParaRPr lang="ro-RO"/>
              </a:p>
            </c:txPr>
            <c:dLblPos val="outEnd"/>
            <c:showVal val="1"/>
            <c:extLst xmlns:c16r2="http://schemas.microsoft.com/office/drawing/2015/06/chart">
              <c:ext xmlns:c15="http://schemas.microsoft.com/office/drawing/2012/chart" uri="{CE6537A1-D6FC-4f65-9D91-7224C49458BB}">
                <c15:showLeaderLines val="0"/>
              </c:ext>
            </c:extLst>
          </c:dLbls>
          <c:cat>
            <c:numRef>
              <c:f>Sheet1!$A$2:$A$9</c:f>
              <c:numCache>
                <c:formatCode>General</c:formatCode>
                <c:ptCount val="8"/>
                <c:pt idx="0">
                  <c:v>2011</c:v>
                </c:pt>
                <c:pt idx="1">
                  <c:v>2012</c:v>
                </c:pt>
                <c:pt idx="2">
                  <c:v>2013</c:v>
                </c:pt>
                <c:pt idx="3">
                  <c:v>2014</c:v>
                </c:pt>
                <c:pt idx="4">
                  <c:v>2015</c:v>
                </c:pt>
                <c:pt idx="5">
                  <c:v>2016</c:v>
                </c:pt>
                <c:pt idx="6">
                  <c:v>2017</c:v>
                </c:pt>
                <c:pt idx="7">
                  <c:v>2018</c:v>
                </c:pt>
              </c:numCache>
            </c:numRef>
          </c:cat>
          <c:val>
            <c:numRef>
              <c:f>Sheet1!$C$2:$C$9</c:f>
              <c:numCache>
                <c:formatCode>General</c:formatCode>
                <c:ptCount val="8"/>
                <c:pt idx="0">
                  <c:v>899</c:v>
                </c:pt>
                <c:pt idx="1">
                  <c:v>946</c:v>
                </c:pt>
                <c:pt idx="2">
                  <c:v>762</c:v>
                </c:pt>
                <c:pt idx="3">
                  <c:v>585</c:v>
                </c:pt>
                <c:pt idx="4">
                  <c:v>628</c:v>
                </c:pt>
                <c:pt idx="5">
                  <c:v>442</c:v>
                </c:pt>
                <c:pt idx="6">
                  <c:v>408</c:v>
                </c:pt>
                <c:pt idx="7">
                  <c:v>520</c:v>
                </c:pt>
              </c:numCache>
            </c:numRef>
          </c:val>
          <c:extLst xmlns:c16r2="http://schemas.microsoft.com/office/drawing/2015/06/chart">
            <c:ext xmlns:c16="http://schemas.microsoft.com/office/drawing/2014/chart" uri="{C3380CC4-5D6E-409C-BE32-E72D297353CC}">
              <c16:uniqueId val="{00000008-17C8-4FF6-82DC-6867E59E5EAB}"/>
            </c:ext>
          </c:extLst>
        </c:ser>
        <c:ser>
          <c:idx val="2"/>
          <c:order val="2"/>
          <c:tx>
            <c:strRef>
              <c:f>Sheet1!$D$1</c:f>
              <c:strCache>
                <c:ptCount val="1"/>
                <c:pt idx="0">
                  <c:v>Persoane decedate</c:v>
                </c:pt>
              </c:strCache>
            </c:strRef>
          </c:tx>
          <c:dLbls>
            <c:dLbl>
              <c:idx val="0"/>
              <c:layout>
                <c:manualLayout>
                  <c:x val="4.6838364308428833E-3"/>
                  <c:y val="8.3899517445649528E-3"/>
                </c:manualLayout>
              </c:layout>
              <c:dLblPos val="outEnd"/>
              <c:showVal val="1"/>
              <c:extLst xmlns:c16r2="http://schemas.microsoft.com/office/drawing/2015/06/chart">
                <c:ext xmlns:c16="http://schemas.microsoft.com/office/drawing/2014/chart" uri="{C3380CC4-5D6E-409C-BE32-E72D297353CC}">
                  <c16:uniqueId val="{00000009-17C8-4FF6-82DC-6867E59E5EAB}"/>
                </c:ext>
                <c:ext xmlns:c15="http://schemas.microsoft.com/office/drawing/2012/chart" uri="{CE6537A1-D6FC-4f65-9D91-7224C49458BB}">
                  <c15:layout/>
                </c:ext>
              </c:extLst>
            </c:dLbl>
            <c:dLbl>
              <c:idx val="1"/>
              <c:layout>
                <c:manualLayout>
                  <c:x val="7.0257546462643176E-3"/>
                  <c:y val="0"/>
                </c:manualLayout>
              </c:layout>
              <c:dLblPos val="outEnd"/>
              <c:showVal val="1"/>
              <c:extLst xmlns:c16r2="http://schemas.microsoft.com/office/drawing/2015/06/chart">
                <c:ext xmlns:c16="http://schemas.microsoft.com/office/drawing/2014/chart" uri="{C3380CC4-5D6E-409C-BE32-E72D297353CC}">
                  <c16:uniqueId val="{0000000A-17C8-4FF6-82DC-6867E59E5EAB}"/>
                </c:ext>
                <c:ext xmlns:c15="http://schemas.microsoft.com/office/drawing/2012/chart" uri="{CE6537A1-D6FC-4f65-9D91-7224C49458BB}">
                  <c15:layout/>
                </c:ext>
              </c:extLst>
            </c:dLbl>
            <c:dLbl>
              <c:idx val="2"/>
              <c:layout>
                <c:manualLayout>
                  <c:x val="7.0257546462643714E-3"/>
                  <c:y val="0"/>
                </c:manualLayout>
              </c:layout>
              <c:dLblPos val="outEnd"/>
              <c:showVal val="1"/>
              <c:extLst xmlns:c16r2="http://schemas.microsoft.com/office/drawing/2015/06/chart">
                <c:ext xmlns:c16="http://schemas.microsoft.com/office/drawing/2014/chart" uri="{C3380CC4-5D6E-409C-BE32-E72D297353CC}">
                  <c16:uniqueId val="{0000000B-17C8-4FF6-82DC-6867E59E5EAB}"/>
                </c:ext>
                <c:ext xmlns:c15="http://schemas.microsoft.com/office/drawing/2012/chart" uri="{CE6537A1-D6FC-4f65-9D91-7224C49458BB}">
                  <c15:layout/>
                </c:ext>
              </c:extLst>
            </c:dLbl>
            <c:dLbl>
              <c:idx val="3"/>
              <c:layout>
                <c:manualLayout>
                  <c:x val="7.0257546462643176E-3"/>
                  <c:y val="0"/>
                </c:manualLayout>
              </c:layout>
              <c:dLblPos val="outEnd"/>
              <c:showVal val="1"/>
              <c:extLst xmlns:c16r2="http://schemas.microsoft.com/office/drawing/2015/06/chart">
                <c:ext xmlns:c16="http://schemas.microsoft.com/office/drawing/2014/chart" uri="{C3380CC4-5D6E-409C-BE32-E72D297353CC}">
                  <c16:uniqueId val="{0000000C-17C8-4FF6-82DC-6867E59E5EAB}"/>
                </c:ext>
                <c:ext xmlns:c15="http://schemas.microsoft.com/office/drawing/2012/chart" uri="{CE6537A1-D6FC-4f65-9D91-7224C49458BB}">
                  <c15:layout/>
                </c:ext>
              </c:extLst>
            </c:dLbl>
            <c:dLbl>
              <c:idx val="4"/>
              <c:layout>
                <c:manualLayout>
                  <c:x val="7.0257546462643176E-3"/>
                  <c:y val="4.1949758722823836E-3"/>
                </c:manualLayout>
              </c:layout>
              <c:dLblPos val="outEnd"/>
              <c:showVal val="1"/>
              <c:extLst xmlns:c16r2="http://schemas.microsoft.com/office/drawing/2015/06/chart">
                <c:ext xmlns:c16="http://schemas.microsoft.com/office/drawing/2014/chart" uri="{C3380CC4-5D6E-409C-BE32-E72D297353CC}">
                  <c16:uniqueId val="{0000000D-17C8-4FF6-82DC-6867E59E5EAB}"/>
                </c:ext>
                <c:ext xmlns:c15="http://schemas.microsoft.com/office/drawing/2012/chart" uri="{CE6537A1-D6FC-4f65-9D91-7224C49458BB}">
                  <c15:layout/>
                </c:ext>
              </c:extLst>
            </c:dLbl>
            <c:dLbl>
              <c:idx val="5"/>
              <c:layout>
                <c:manualLayout>
                  <c:x val="7.0257546462643176E-3"/>
                  <c:y val="0"/>
                </c:manualLayout>
              </c:layout>
              <c:dLblPos val="outEnd"/>
              <c:showVal val="1"/>
              <c:extLst xmlns:c16r2="http://schemas.microsoft.com/office/drawing/2015/06/chart">
                <c:ext xmlns:c16="http://schemas.microsoft.com/office/drawing/2014/chart" uri="{C3380CC4-5D6E-409C-BE32-E72D297353CC}">
                  <c16:uniqueId val="{0000000E-17C8-4FF6-82DC-6867E59E5EAB}"/>
                </c:ext>
                <c:ext xmlns:c15="http://schemas.microsoft.com/office/drawing/2012/chart" uri="{CE6537A1-D6FC-4f65-9D91-7224C49458BB}">
                  <c15:layout/>
                </c:ext>
              </c:extLst>
            </c:dLbl>
            <c:dLbl>
              <c:idx val="6"/>
              <c:layout>
                <c:manualLayout>
                  <c:x val="7.0257546462643176E-3"/>
                  <c:y val="0"/>
                </c:manualLayout>
              </c:layout>
              <c:dLblPos val="outEnd"/>
              <c:showVal val="1"/>
              <c:extLst xmlns:c16r2="http://schemas.microsoft.com/office/drawing/2015/06/chart">
                <c:ext xmlns:c16="http://schemas.microsoft.com/office/drawing/2014/chart" uri="{C3380CC4-5D6E-409C-BE32-E72D297353CC}">
                  <c16:uniqueId val="{0000000F-17C8-4FF6-82DC-6867E59E5EAB}"/>
                </c:ext>
                <c:ext xmlns:c15="http://schemas.microsoft.com/office/drawing/2012/chart" uri="{CE6537A1-D6FC-4f65-9D91-7224C49458BB}">
                  <c15:layout/>
                </c:ext>
              </c:extLst>
            </c:dLbl>
            <c:dLbl>
              <c:idx val="7"/>
              <c:layout>
                <c:manualLayout>
                  <c:x val="5.6980048458465373E-3"/>
                  <c:y val="0"/>
                </c:manualLayout>
              </c:layout>
              <c:dLblPos val="outEnd"/>
              <c:showVal val="1"/>
              <c:extLst>
                <c:ext xmlns:c15="http://schemas.microsoft.com/office/drawing/2012/chart" uri="{CE6537A1-D6FC-4f65-9D91-7224C49458BB}">
                  <c15:layout/>
                </c:ext>
              </c:extLst>
            </c:dLbl>
            <c:spPr>
              <a:noFill/>
              <a:ln>
                <a:noFill/>
              </a:ln>
              <a:effectLst/>
            </c:spPr>
            <c:txPr>
              <a:bodyPr/>
              <a:lstStyle/>
              <a:p>
                <a:pPr>
                  <a:defRPr sz="1100" b="1">
                    <a:latin typeface="Times New Roman" pitchFamily="18" charset="0"/>
                    <a:cs typeface="Times New Roman" pitchFamily="18" charset="0"/>
                  </a:defRPr>
                </a:pPr>
                <a:endParaRPr lang="ro-RO"/>
              </a:p>
            </c:txPr>
            <c:dLblPos val="outEnd"/>
            <c:showVal val="1"/>
            <c:extLst xmlns:c16r2="http://schemas.microsoft.com/office/drawing/2015/06/chart">
              <c:ext xmlns:c15="http://schemas.microsoft.com/office/drawing/2012/chart" uri="{CE6537A1-D6FC-4f65-9D91-7224C49458BB}">
                <c15:showLeaderLines val="0"/>
              </c:ext>
            </c:extLst>
          </c:dLbls>
          <c:cat>
            <c:numRef>
              <c:f>Sheet1!$A$2:$A$9</c:f>
              <c:numCache>
                <c:formatCode>General</c:formatCode>
                <c:ptCount val="8"/>
                <c:pt idx="0">
                  <c:v>2011</c:v>
                </c:pt>
                <c:pt idx="1">
                  <c:v>2012</c:v>
                </c:pt>
                <c:pt idx="2">
                  <c:v>2013</c:v>
                </c:pt>
                <c:pt idx="3">
                  <c:v>2014</c:v>
                </c:pt>
                <c:pt idx="4">
                  <c:v>2015</c:v>
                </c:pt>
                <c:pt idx="5">
                  <c:v>2016</c:v>
                </c:pt>
                <c:pt idx="6">
                  <c:v>2017</c:v>
                </c:pt>
                <c:pt idx="7">
                  <c:v>2018</c:v>
                </c:pt>
              </c:numCache>
            </c:numRef>
          </c:cat>
          <c:val>
            <c:numRef>
              <c:f>Sheet1!$D$2:$D$9</c:f>
              <c:numCache>
                <c:formatCode>General</c:formatCode>
                <c:ptCount val="8"/>
                <c:pt idx="0">
                  <c:v>86</c:v>
                </c:pt>
                <c:pt idx="1">
                  <c:v>79</c:v>
                </c:pt>
                <c:pt idx="2">
                  <c:v>62</c:v>
                </c:pt>
                <c:pt idx="3">
                  <c:v>61</c:v>
                </c:pt>
                <c:pt idx="4">
                  <c:v>68</c:v>
                </c:pt>
                <c:pt idx="5">
                  <c:v>66</c:v>
                </c:pt>
                <c:pt idx="6">
                  <c:v>74</c:v>
                </c:pt>
                <c:pt idx="7">
                  <c:v>56</c:v>
                </c:pt>
              </c:numCache>
            </c:numRef>
          </c:val>
          <c:extLst xmlns:c16r2="http://schemas.microsoft.com/office/drawing/2015/06/chart">
            <c:ext xmlns:c16="http://schemas.microsoft.com/office/drawing/2014/chart" uri="{C3380CC4-5D6E-409C-BE32-E72D297353CC}">
              <c16:uniqueId val="{00000010-17C8-4FF6-82DC-6867E59E5EAB}"/>
            </c:ext>
          </c:extLst>
        </c:ser>
        <c:dLbls>
          <c:showVal val="1"/>
        </c:dLbls>
        <c:axId val="107235584"/>
        <c:axId val="107151360"/>
      </c:barChart>
      <c:catAx>
        <c:axId val="107235584"/>
        <c:scaling>
          <c:orientation val="minMax"/>
        </c:scaling>
        <c:axPos val="b"/>
        <c:numFmt formatCode="General" sourceLinked="1"/>
        <c:tickLblPos val="nextTo"/>
        <c:txPr>
          <a:bodyPr/>
          <a:lstStyle/>
          <a:p>
            <a:pPr>
              <a:defRPr sz="1050" b="1">
                <a:latin typeface="Times New Roman" pitchFamily="18" charset="0"/>
                <a:cs typeface="Times New Roman" pitchFamily="18" charset="0"/>
              </a:defRPr>
            </a:pPr>
            <a:endParaRPr lang="ro-RO"/>
          </a:p>
        </c:txPr>
        <c:crossAx val="107151360"/>
        <c:crosses val="autoZero"/>
        <c:auto val="1"/>
        <c:lblAlgn val="ctr"/>
        <c:lblOffset val="100"/>
      </c:catAx>
      <c:valAx>
        <c:axId val="107151360"/>
        <c:scaling>
          <c:orientation val="minMax"/>
        </c:scaling>
        <c:delete val="1"/>
        <c:axPos val="l"/>
        <c:numFmt formatCode="General" sourceLinked="1"/>
        <c:tickLblPos val="none"/>
        <c:crossAx val="107235584"/>
        <c:crosses val="autoZero"/>
        <c:crossBetween val="between"/>
      </c:valAx>
      <c:spPr>
        <a:noFill/>
      </c:spPr>
    </c:plotArea>
    <c:legend>
      <c:legendPos val="r"/>
      <c:layout>
        <c:manualLayout>
          <c:xMode val="edge"/>
          <c:yMode val="edge"/>
          <c:x val="0.38010832102412762"/>
          <c:y val="4.5853131019567013E-2"/>
          <c:w val="0.61799181183876195"/>
          <c:h val="8.4798169459587264E-2"/>
        </c:manualLayout>
      </c:layout>
      <c:txPr>
        <a:bodyPr/>
        <a:lstStyle/>
        <a:p>
          <a:pPr>
            <a:defRPr sz="900" b="1">
              <a:latin typeface="Times New Roman" pitchFamily="18" charset="0"/>
              <a:cs typeface="Times New Roman" pitchFamily="18" charset="0"/>
            </a:defRPr>
          </a:pPr>
          <a:endParaRPr lang="ro-RO"/>
        </a:p>
      </c:txPr>
    </c:legend>
    <c:plotVisOnly val="1"/>
    <c:dispBlanksAs val="gap"/>
  </c:chart>
  <c:spPr>
    <a:noFill/>
    <a:ln>
      <a:noFill/>
    </a:ln>
  </c:spPr>
  <c:txPr>
    <a:bodyPr/>
    <a:lstStyle/>
    <a:p>
      <a:pPr>
        <a:defRPr sz="1800">
          <a:latin typeface="Calibri" pitchFamily="34" charset="0"/>
        </a:defRPr>
      </a:pPr>
      <a:endParaRPr lang="ro-RO"/>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plotArea>
      <c:layout>
        <c:manualLayout>
          <c:layoutTarget val="inner"/>
          <c:xMode val="edge"/>
          <c:yMode val="edge"/>
          <c:x val="3.7376234119602392E-2"/>
          <c:y val="3.9503078942055382E-2"/>
          <c:w val="0.96262376588039766"/>
          <c:h val="0.84863264688067863"/>
        </c:manualLayout>
      </c:layout>
      <c:lineChart>
        <c:grouping val="standard"/>
        <c:ser>
          <c:idx val="0"/>
          <c:order val="0"/>
          <c:tx>
            <c:strRef>
              <c:f>Sheet1!$B$1</c:f>
              <c:strCache>
                <c:ptCount val="1"/>
                <c:pt idx="0">
                  <c:v>Rezultate B.R.</c:v>
                </c:pt>
              </c:strCache>
            </c:strRef>
          </c:tx>
          <c:dLbls>
            <c:dLbl>
              <c:idx val="0"/>
              <c:delete val="1"/>
              <c:extLst xmlns:c16r2="http://schemas.microsoft.com/office/drawing/2015/06/chart">
                <c:ext xmlns:c16="http://schemas.microsoft.com/office/drawing/2014/chart" uri="{C3380CC4-5D6E-409C-BE32-E72D297353CC}">
                  <c16:uniqueId val="{00000000-6F9F-469E-B426-D8057B1C2154}"/>
                </c:ext>
                <c:ext xmlns:c15="http://schemas.microsoft.com/office/drawing/2012/chart" uri="{CE6537A1-D6FC-4f65-9D91-7224C49458BB}"/>
              </c:extLst>
            </c:dLbl>
            <c:dLbl>
              <c:idx val="7"/>
              <c:layout>
                <c:manualLayout>
                  <c:x val="-4.022548862294964E-2"/>
                  <c:y val="5.8229428794904746E-2"/>
                </c:manualLayout>
              </c:layout>
              <c:spPr>
                <a:noFill/>
                <a:ln w="38100" cap="flat" cmpd="sng" algn="ctr">
                  <a:noFill/>
                  <a:prstDash val="solid"/>
                </a:ln>
                <a:effectLst>
                  <a:outerShdw blurRad="40000" dist="20000" dir="5400000" rotWithShape="0">
                    <a:srgbClr val="000000">
                      <a:alpha val="38000"/>
                    </a:srgbClr>
                  </a:outerShdw>
                </a:effectLst>
              </c:spPr>
              <c:txPr>
                <a:bodyPr/>
                <a:lstStyle/>
                <a:p>
                  <a:pPr>
                    <a:defRPr sz="1100" b="1">
                      <a:solidFill>
                        <a:sysClr val="windowText" lastClr="000000"/>
                      </a:solidFill>
                      <a:latin typeface="Times New Roman" pitchFamily="18" charset="0"/>
                      <a:ea typeface="+mn-ea"/>
                      <a:cs typeface="Times New Roman" pitchFamily="18" charset="0"/>
                    </a:defRPr>
                  </a:pPr>
                  <a:endParaRPr lang="ro-RO"/>
                </a:p>
              </c:txPr>
              <c:dLblPos val="r"/>
              <c:showVal val="1"/>
              <c:extLst>
                <c:ext xmlns:c15="http://schemas.microsoft.com/office/drawing/2012/chart" uri="{CE6537A1-D6FC-4f65-9D91-7224C49458BB}">
                  <c15:layout/>
                </c:ext>
              </c:extLst>
            </c:dLbl>
            <c:dLbl>
              <c:idx val="8"/>
              <c:layout>
                <c:manualLayout>
                  <c:x val="-2.9619637213086001E-2"/>
                  <c:y val="-7.5981361999511832E-2"/>
                </c:manualLayout>
              </c:layout>
              <c:dLblPos val="r"/>
              <c:showVal val="1"/>
            </c:dLbl>
            <c:spPr>
              <a:noFill/>
              <a:ln>
                <a:noFill/>
              </a:ln>
              <a:effectLst/>
            </c:spPr>
            <c:txPr>
              <a:bodyPr/>
              <a:lstStyle/>
              <a:p>
                <a:pPr>
                  <a:defRPr sz="1100" b="1">
                    <a:solidFill>
                      <a:sysClr val="windowText" lastClr="000000"/>
                    </a:solidFill>
                    <a:latin typeface="Times New Roman" pitchFamily="18" charset="0"/>
                    <a:cs typeface="Times New Roman" pitchFamily="18" charset="0"/>
                  </a:defRPr>
                </a:pPr>
                <a:endParaRPr lang="ro-RO"/>
              </a:p>
            </c:txPr>
            <c:dLblPos val="t"/>
            <c:showVal val="1"/>
            <c:extLst xmlns:c16r2="http://schemas.microsoft.com/office/drawing/2015/06/chart">
              <c:ext xmlns:c15="http://schemas.microsoft.com/office/drawing/2012/chart" uri="{CE6537A1-D6FC-4f65-9D91-7224C49458BB}">
                <c15:layout/>
                <c15:showLeaderLines val="0"/>
              </c:ext>
            </c:extLst>
          </c:dLbls>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Sheet1!$B$2:$B$12</c:f>
              <c:numCache>
                <c:formatCode>General</c:formatCode>
                <c:ptCount val="11"/>
                <c:pt idx="0">
                  <c:v>112</c:v>
                </c:pt>
                <c:pt idx="1">
                  <c:v>86</c:v>
                </c:pt>
                <c:pt idx="2">
                  <c:v>79</c:v>
                </c:pt>
                <c:pt idx="3">
                  <c:v>62</c:v>
                </c:pt>
                <c:pt idx="4">
                  <c:v>61</c:v>
                </c:pt>
                <c:pt idx="5">
                  <c:v>68</c:v>
                </c:pt>
                <c:pt idx="6">
                  <c:v>66</c:v>
                </c:pt>
                <c:pt idx="7">
                  <c:v>74</c:v>
                </c:pt>
                <c:pt idx="8">
                  <c:v>56</c:v>
                </c:pt>
              </c:numCache>
            </c:numRef>
          </c:val>
          <c:extLst xmlns:c16r2="http://schemas.microsoft.com/office/drawing/2015/06/chart">
            <c:ext xmlns:c16="http://schemas.microsoft.com/office/drawing/2014/chart" uri="{C3380CC4-5D6E-409C-BE32-E72D297353CC}">
              <c16:uniqueId val="{00000002-6F9F-469E-B426-D8057B1C2154}"/>
            </c:ext>
          </c:extLst>
        </c:ser>
        <c:ser>
          <c:idx val="1"/>
          <c:order val="1"/>
          <c:tx>
            <c:strRef>
              <c:f>Sheet1!$C$1</c:f>
              <c:strCache>
                <c:ptCount val="1"/>
                <c:pt idx="0">
                  <c:v>Program U.E.</c:v>
                </c:pt>
              </c:strCache>
            </c:strRef>
          </c:tx>
          <c:marker>
            <c:symbol val="square"/>
            <c:size val="7"/>
            <c:spPr>
              <a:solidFill>
                <a:srgbClr val="FF0000"/>
              </a:solidFill>
            </c:spPr>
          </c:marker>
          <c:dLbls>
            <c:spPr>
              <a:noFill/>
              <a:ln>
                <a:noFill/>
              </a:ln>
              <a:effectLst/>
            </c:spPr>
            <c:txPr>
              <a:bodyPr/>
              <a:lstStyle/>
              <a:p>
                <a:pPr>
                  <a:defRPr sz="1100" b="1">
                    <a:latin typeface="Times New Roman" pitchFamily="18" charset="0"/>
                    <a:cs typeface="Times New Roman" pitchFamily="18" charset="0"/>
                  </a:defRPr>
                </a:pPr>
                <a:endParaRPr lang="ro-RO"/>
              </a:p>
            </c:txPr>
            <c:dLblPos val="t"/>
            <c:showVal val="1"/>
            <c:extLst xmlns:c16r2="http://schemas.microsoft.com/office/drawing/2015/06/chart">
              <c:ext xmlns:c15="http://schemas.microsoft.com/office/drawing/2012/chart" uri="{CE6537A1-D6FC-4f65-9D91-7224C49458BB}">
                <c15:layout/>
                <c15:showLeaderLines val="0"/>
              </c:ext>
            </c:extLst>
          </c:dLbls>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Sheet1!$C$2:$C$12</c:f>
              <c:numCache>
                <c:formatCode>General</c:formatCode>
                <c:ptCount val="11"/>
                <c:pt idx="0">
                  <c:v>112</c:v>
                </c:pt>
                <c:pt idx="1">
                  <c:v>106</c:v>
                </c:pt>
                <c:pt idx="2">
                  <c:v>101</c:v>
                </c:pt>
                <c:pt idx="3">
                  <c:v>95</c:v>
                </c:pt>
                <c:pt idx="4">
                  <c:v>90</c:v>
                </c:pt>
                <c:pt idx="5">
                  <c:v>84</c:v>
                </c:pt>
                <c:pt idx="6">
                  <c:v>79</c:v>
                </c:pt>
                <c:pt idx="7">
                  <c:v>73</c:v>
                </c:pt>
                <c:pt idx="8">
                  <c:v>67</c:v>
                </c:pt>
                <c:pt idx="9">
                  <c:v>61</c:v>
                </c:pt>
                <c:pt idx="10">
                  <c:v>56</c:v>
                </c:pt>
              </c:numCache>
            </c:numRef>
          </c:val>
          <c:extLst xmlns:c16r2="http://schemas.microsoft.com/office/drawing/2015/06/chart">
            <c:ext xmlns:c16="http://schemas.microsoft.com/office/drawing/2014/chart" uri="{C3380CC4-5D6E-409C-BE32-E72D297353CC}">
              <c16:uniqueId val="{00000003-6F9F-469E-B426-D8057B1C2154}"/>
            </c:ext>
          </c:extLst>
        </c:ser>
        <c:dLbls>
          <c:showVal val="1"/>
        </c:dLbls>
        <c:marker val="1"/>
        <c:axId val="107248640"/>
        <c:axId val="125534976"/>
      </c:lineChart>
      <c:catAx>
        <c:axId val="107248640"/>
        <c:scaling>
          <c:orientation val="minMax"/>
        </c:scaling>
        <c:axPos val="b"/>
        <c:minorGridlines/>
        <c:numFmt formatCode="General" sourceLinked="1"/>
        <c:tickLblPos val="nextTo"/>
        <c:txPr>
          <a:bodyPr/>
          <a:lstStyle/>
          <a:p>
            <a:pPr>
              <a:defRPr sz="1050" b="1">
                <a:latin typeface="Times New Roman" pitchFamily="18" charset="0"/>
                <a:cs typeface="Times New Roman" pitchFamily="18" charset="0"/>
              </a:defRPr>
            </a:pPr>
            <a:endParaRPr lang="ro-RO"/>
          </a:p>
        </c:txPr>
        <c:crossAx val="125534976"/>
        <c:crosses val="autoZero"/>
        <c:auto val="1"/>
        <c:lblAlgn val="ctr"/>
        <c:lblOffset val="100"/>
        <c:tickLblSkip val="1"/>
      </c:catAx>
      <c:valAx>
        <c:axId val="125534976"/>
        <c:scaling>
          <c:orientation val="minMax"/>
          <c:max val="115"/>
          <c:min val="40"/>
        </c:scaling>
        <c:axPos val="l"/>
        <c:numFmt formatCode="General" sourceLinked="1"/>
        <c:tickLblPos val="nextTo"/>
        <c:txPr>
          <a:bodyPr/>
          <a:lstStyle/>
          <a:p>
            <a:pPr>
              <a:defRPr sz="1000">
                <a:latin typeface="Times New Roman" pitchFamily="18" charset="0"/>
                <a:cs typeface="Times New Roman" pitchFamily="18" charset="0"/>
              </a:defRPr>
            </a:pPr>
            <a:endParaRPr lang="ro-RO"/>
          </a:p>
        </c:txPr>
        <c:crossAx val="107248640"/>
        <c:crosses val="autoZero"/>
        <c:crossBetween val="between"/>
      </c:valAx>
    </c:plotArea>
    <c:legend>
      <c:legendPos val="r"/>
      <c:legendEntry>
        <c:idx val="0"/>
        <c:txPr>
          <a:bodyPr/>
          <a:lstStyle/>
          <a:p>
            <a:pPr>
              <a:defRPr sz="900" b="1">
                <a:latin typeface="Times New Roman" pitchFamily="18" charset="0"/>
                <a:cs typeface="Times New Roman" pitchFamily="18" charset="0"/>
              </a:defRPr>
            </a:pPr>
            <a:endParaRPr lang="ro-RO"/>
          </a:p>
        </c:txPr>
      </c:legendEntry>
      <c:legendEntry>
        <c:idx val="1"/>
        <c:txPr>
          <a:bodyPr/>
          <a:lstStyle/>
          <a:p>
            <a:pPr>
              <a:defRPr sz="900" b="1">
                <a:latin typeface="Times New Roman" pitchFamily="18" charset="0"/>
                <a:cs typeface="Times New Roman" pitchFamily="18" charset="0"/>
              </a:defRPr>
            </a:pPr>
            <a:endParaRPr lang="ro-RO"/>
          </a:p>
        </c:txPr>
      </c:legendEntry>
      <c:layout>
        <c:manualLayout>
          <c:xMode val="edge"/>
          <c:yMode val="edge"/>
          <c:x val="0.71919930008749222"/>
          <c:y val="0.12698412698412698"/>
          <c:w val="0.26712693275800081"/>
          <c:h val="0.13890288713910945"/>
        </c:manualLayout>
      </c:layout>
      <c:txPr>
        <a:bodyPr/>
        <a:lstStyle/>
        <a:p>
          <a:pPr>
            <a:defRPr sz="900">
              <a:latin typeface="Times New Roman" pitchFamily="18" charset="0"/>
              <a:cs typeface="Times New Roman" pitchFamily="18" charset="0"/>
            </a:defRPr>
          </a:pPr>
          <a:endParaRPr lang="ro-RO"/>
        </a:p>
      </c:txPr>
    </c:legend>
    <c:plotVisOnly val="1"/>
    <c:dispBlanksAs val="gap"/>
  </c:chart>
  <c:spPr>
    <a:noFill/>
    <a:ln>
      <a:noFill/>
    </a:ln>
  </c:spPr>
  <c:txPr>
    <a:bodyPr/>
    <a:lstStyle/>
    <a:p>
      <a:pPr>
        <a:defRPr sz="1800"/>
      </a:pPr>
      <a:endParaRPr lang="ro-RO"/>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000" b="1" i="0" u="none" strike="noStrike" baseline="0">
                <a:solidFill>
                  <a:srgbClr val="000000"/>
                </a:solidFill>
                <a:latin typeface="Arial"/>
                <a:ea typeface="Arial"/>
                <a:cs typeface="Arial"/>
              </a:defRPr>
            </a:pPr>
            <a:r>
              <a:rPr lang="ro-RO"/>
              <a:t>incidente specifice pe grupe de varsta a neuroinfectiei West Nile in municipiul Bucuresti - 2018</a:t>
            </a:r>
          </a:p>
        </c:rich>
      </c:tx>
      <c:layout>
        <c:manualLayout>
          <c:xMode val="edge"/>
          <c:yMode val="edge"/>
          <c:x val="0.10207336523126002"/>
          <c:y val="2.1551724137930977E-2"/>
        </c:manualLayout>
      </c:layout>
      <c:spPr>
        <a:noFill/>
        <a:ln w="25400">
          <a:noFill/>
        </a:ln>
      </c:spPr>
    </c:title>
    <c:plotArea>
      <c:layout>
        <c:manualLayout>
          <c:layoutTarget val="inner"/>
          <c:xMode val="edge"/>
          <c:yMode val="edge"/>
          <c:x val="9.7288676236044633E-2"/>
          <c:y val="0.30603448275862088"/>
          <c:w val="0.88835725677830968"/>
          <c:h val="0.52155172413792805"/>
        </c:manualLayout>
      </c:layout>
      <c:barChart>
        <c:barDir val="col"/>
        <c:grouping val="clustered"/>
        <c:ser>
          <c:idx val="1"/>
          <c:order val="0"/>
          <c:tx>
            <c:strRef>
              <c:f>Sheet1!$A$2</c:f>
              <c:strCache>
                <c:ptCount val="1"/>
                <c:pt idx="0">
                  <c:v>Incidente</c:v>
                </c:pt>
              </c:strCache>
            </c:strRef>
          </c:tx>
          <c:spPr>
            <a:solidFill>
              <a:srgbClr val="00CCFF"/>
            </a:solidFill>
            <a:ln w="12700">
              <a:solidFill>
                <a:srgbClr val="000000"/>
              </a:solidFill>
              <a:prstDash val="solid"/>
            </a:ln>
          </c:spPr>
          <c:dLbls>
            <c:spPr>
              <a:noFill/>
              <a:ln w="25400">
                <a:noFill/>
              </a:ln>
            </c:spPr>
            <c:txPr>
              <a:bodyPr/>
              <a:lstStyle/>
              <a:p>
                <a:pPr>
                  <a:defRPr sz="1000" b="0" i="0" u="none" strike="noStrike" baseline="0">
                    <a:solidFill>
                      <a:srgbClr val="000000"/>
                    </a:solidFill>
                    <a:latin typeface="Arial"/>
                    <a:ea typeface="Arial"/>
                    <a:cs typeface="Arial"/>
                  </a:defRPr>
                </a:pPr>
                <a:endParaRPr lang="ro-RO"/>
              </a:p>
            </c:txPr>
            <c:showVal val="1"/>
          </c:dLbls>
          <c:cat>
            <c:strRef>
              <c:f>Sheet1!$B$1:$F$1</c:f>
              <c:strCache>
                <c:ptCount val="5"/>
                <c:pt idx="0">
                  <c:v>0-19</c:v>
                </c:pt>
                <c:pt idx="1">
                  <c:v>20-39</c:v>
                </c:pt>
                <c:pt idx="2">
                  <c:v>40-59</c:v>
                </c:pt>
                <c:pt idx="3">
                  <c:v>60-79</c:v>
                </c:pt>
                <c:pt idx="4">
                  <c:v>80-99</c:v>
                </c:pt>
              </c:strCache>
            </c:strRef>
          </c:cat>
          <c:val>
            <c:numRef>
              <c:f>Sheet1!$B$2:$F$2</c:f>
              <c:numCache>
                <c:formatCode>General</c:formatCode>
                <c:ptCount val="5"/>
                <c:pt idx="0">
                  <c:v>0</c:v>
                </c:pt>
                <c:pt idx="1">
                  <c:v>0.47000000000000008</c:v>
                </c:pt>
                <c:pt idx="2">
                  <c:v>1.62</c:v>
                </c:pt>
                <c:pt idx="3">
                  <c:v>4.4400000000000004</c:v>
                </c:pt>
                <c:pt idx="4">
                  <c:v>15.03</c:v>
                </c:pt>
              </c:numCache>
            </c:numRef>
          </c:val>
        </c:ser>
        <c:dLbls>
          <c:showVal val="1"/>
        </c:dLbls>
        <c:axId val="59119872"/>
        <c:axId val="59125760"/>
      </c:barChart>
      <c:catAx>
        <c:axId val="59119872"/>
        <c:scaling>
          <c:orientation val="minMax"/>
        </c:scaling>
        <c:axPos val="b"/>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o-RO"/>
          </a:p>
        </c:txPr>
        <c:crossAx val="59125760"/>
        <c:crosses val="autoZero"/>
        <c:lblAlgn val="ctr"/>
        <c:lblOffset val="100"/>
        <c:tickLblSkip val="1"/>
        <c:tickMarkSkip val="1"/>
      </c:catAx>
      <c:valAx>
        <c:axId val="59125760"/>
        <c:scaling>
          <c:orientation val="minMax"/>
        </c:scaling>
        <c:axPos val="l"/>
        <c:title>
          <c:tx>
            <c:rich>
              <a:bodyPr/>
              <a:lstStyle/>
              <a:p>
                <a:pPr>
                  <a:defRPr sz="1000" b="1" i="0" u="none" strike="noStrike" baseline="0">
                    <a:solidFill>
                      <a:srgbClr val="000000"/>
                    </a:solidFill>
                    <a:latin typeface="Arial"/>
                    <a:ea typeface="Arial"/>
                    <a:cs typeface="Arial"/>
                  </a:defRPr>
                </a:pPr>
                <a:r>
                  <a:rPr lang="ro-RO"/>
                  <a:t>Cazuri la 100000 locuitori</a:t>
                </a:r>
              </a:p>
            </c:rich>
          </c:tx>
          <c:layout>
            <c:manualLayout>
              <c:xMode val="edge"/>
              <c:yMode val="edge"/>
              <c:x val="1.7543859649122921E-2"/>
              <c:y val="0.21120689655172525"/>
            </c:manualLayout>
          </c:layout>
          <c:spPr>
            <a:noFill/>
            <a:ln w="25400">
              <a:noFill/>
            </a:ln>
          </c:spPr>
        </c:title>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o-RO"/>
          </a:p>
        </c:txPr>
        <c:crossAx val="59119872"/>
        <c:crosses val="autoZero"/>
        <c:crossBetween val="between"/>
      </c:valAx>
      <c:spPr>
        <a:solidFill>
          <a:srgbClr val="FFFFFF"/>
        </a:solidFill>
        <a:ln w="25400">
          <a:noFill/>
        </a:ln>
      </c:spPr>
    </c:plotArea>
    <c:plotVisOnly val="1"/>
    <c:dispBlanksAs val="gap"/>
  </c:chart>
  <c:spPr>
    <a:no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ro-RO"/>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plotArea>
      <c:layout>
        <c:manualLayout>
          <c:layoutTarget val="inner"/>
          <c:xMode val="edge"/>
          <c:yMode val="edge"/>
          <c:x val="0.10271936429340155"/>
          <c:y val="6.2746287148890093E-2"/>
          <c:w val="0.80673499267936966"/>
          <c:h val="0.66058394160583944"/>
        </c:manualLayout>
      </c:layout>
      <c:barChart>
        <c:barDir val="col"/>
        <c:grouping val="clustered"/>
        <c:ser>
          <c:idx val="0"/>
          <c:order val="0"/>
          <c:tx>
            <c:strRef>
              <c:f>Sheet1!$A$2</c:f>
              <c:strCache>
                <c:ptCount val="1"/>
                <c:pt idx="0">
                  <c:v>2017</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2" cap="flat" cmpd="sng" algn="ctr">
              <a:solidFill>
                <a:schemeClr val="accent1">
                  <a:shade val="95000"/>
                </a:schemeClr>
              </a:solidFill>
              <a:round/>
            </a:ln>
            <a:effectLst>
              <a:outerShdw blurRad="40000" dist="20000" dir="5400000" rotWithShape="0">
                <a:srgbClr val="000000">
                  <a:alpha val="38000"/>
                </a:srgbClr>
              </a:outerShdw>
            </a:effectLst>
          </c:spPr>
          <c:dLbls>
            <c:spPr>
              <a:noFill/>
              <a:ln w="25393">
                <a:noFill/>
              </a:ln>
            </c:spPr>
            <c:txPr>
              <a:bodyPr wrap="square" lIns="38100" tIns="19050" rIns="38100" bIns="19050" anchor="ctr">
                <a:spAutoFit/>
              </a:bodyPr>
              <a:lstStyle/>
              <a:p>
                <a:pPr>
                  <a:defRPr sz="1100" b="1" i="0" u="none" strike="noStrike" baseline="0">
                    <a:solidFill>
                      <a:srgbClr val="000000"/>
                    </a:solidFill>
                    <a:latin typeface="Times New Roman"/>
                    <a:ea typeface="Times New Roman"/>
                    <a:cs typeface="Times New Roman"/>
                  </a:defRPr>
                </a:pPr>
                <a:endParaRPr lang="ro-RO"/>
              </a:p>
            </c:txPr>
            <c:showVal val="1"/>
            <c:extLst>
              <c:ext xmlns:c15="http://schemas.microsoft.com/office/drawing/2012/chart" uri="{CE6537A1-D6FC-4f65-9D91-7224C49458BB}">
                <c15:showLeaderLines val="0"/>
              </c:ext>
            </c:extLst>
          </c:dLbls>
          <c:cat>
            <c:strRef>
              <c:f>Sheet1!$B$1:$D$1</c:f>
              <c:strCache>
                <c:ptCount val="3"/>
                <c:pt idx="0">
                  <c:v>Total intervenţii</c:v>
                </c:pt>
                <c:pt idx="1">
                  <c:v>Intervenţii proprii</c:v>
                </c:pt>
                <c:pt idx="2">
                  <c:v>Intervenţii în sprijin</c:v>
                </c:pt>
              </c:strCache>
            </c:strRef>
          </c:cat>
          <c:val>
            <c:numRef>
              <c:f>Sheet1!$B$2:$D$2</c:f>
              <c:numCache>
                <c:formatCode>General</c:formatCode>
                <c:ptCount val="3"/>
                <c:pt idx="0">
                  <c:v>75819</c:v>
                </c:pt>
                <c:pt idx="1">
                  <c:v>68382</c:v>
                </c:pt>
                <c:pt idx="2">
                  <c:v>7437</c:v>
                </c:pt>
              </c:numCache>
            </c:numRef>
          </c:val>
        </c:ser>
        <c:ser>
          <c:idx val="1"/>
          <c:order val="1"/>
          <c:tx>
            <c:strRef>
              <c:f>Sheet1!$A$3</c:f>
              <c:strCache>
                <c:ptCount val="1"/>
                <c:pt idx="0">
                  <c:v>2018</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2" cap="flat" cmpd="sng" algn="ctr">
              <a:solidFill>
                <a:schemeClr val="accent2">
                  <a:shade val="95000"/>
                </a:schemeClr>
              </a:solidFill>
              <a:round/>
            </a:ln>
            <a:effectLst>
              <a:outerShdw blurRad="40000" dist="20000" dir="5400000" rotWithShape="0">
                <a:srgbClr val="000000">
                  <a:alpha val="38000"/>
                </a:srgbClr>
              </a:outerShdw>
            </a:effectLst>
          </c:spPr>
          <c:dLbls>
            <c:spPr>
              <a:noFill/>
              <a:ln w="25393">
                <a:noFill/>
              </a:ln>
            </c:spPr>
            <c:txPr>
              <a:bodyPr wrap="square" lIns="38100" tIns="19050" rIns="38100" bIns="19050" anchor="ctr">
                <a:spAutoFit/>
              </a:bodyPr>
              <a:lstStyle/>
              <a:p>
                <a:pPr>
                  <a:defRPr sz="1100" b="1" i="0" u="none" strike="noStrike" baseline="0">
                    <a:solidFill>
                      <a:srgbClr val="000000"/>
                    </a:solidFill>
                    <a:latin typeface="Times New Roman"/>
                    <a:ea typeface="Times New Roman"/>
                    <a:cs typeface="Times New Roman"/>
                  </a:defRPr>
                </a:pPr>
                <a:endParaRPr lang="ro-RO"/>
              </a:p>
            </c:txPr>
            <c:showVal val="1"/>
            <c:extLst>
              <c:ext xmlns:c15="http://schemas.microsoft.com/office/drawing/2012/chart" uri="{CE6537A1-D6FC-4f65-9D91-7224C49458BB}">
                <c15:showLeaderLines val="0"/>
              </c:ext>
            </c:extLst>
          </c:dLbls>
          <c:cat>
            <c:strRef>
              <c:f>Sheet1!$B$1:$D$1</c:f>
              <c:strCache>
                <c:ptCount val="3"/>
                <c:pt idx="0">
                  <c:v>Total intervenţii</c:v>
                </c:pt>
                <c:pt idx="1">
                  <c:v>Intervenţii proprii</c:v>
                </c:pt>
                <c:pt idx="2">
                  <c:v>Intervenţii în sprijin</c:v>
                </c:pt>
              </c:strCache>
            </c:strRef>
          </c:cat>
          <c:val>
            <c:numRef>
              <c:f>Sheet1!$B$3:$D$3</c:f>
              <c:numCache>
                <c:formatCode>General</c:formatCode>
                <c:ptCount val="3"/>
                <c:pt idx="0">
                  <c:v>87749</c:v>
                </c:pt>
                <c:pt idx="1">
                  <c:v>80191</c:v>
                </c:pt>
                <c:pt idx="2">
                  <c:v>7558</c:v>
                </c:pt>
              </c:numCache>
            </c:numRef>
          </c:val>
        </c:ser>
        <c:gapWidth val="100"/>
        <c:overlap val="-24"/>
        <c:axId val="124983552"/>
        <c:axId val="125001728"/>
      </c:barChart>
      <c:catAx>
        <c:axId val="124983552"/>
        <c:scaling>
          <c:orientation val="minMax"/>
        </c:scaling>
        <c:axPos val="b"/>
        <c:numFmt formatCode="General" sourceLinked="1"/>
        <c:majorTickMark val="none"/>
        <c:tickLblPos val="nextTo"/>
        <c:spPr>
          <a:noFill/>
          <a:ln w="9522" cap="flat" cmpd="sng" algn="ctr">
            <a:solidFill>
              <a:schemeClr val="tx1">
                <a:lumMod val="15000"/>
                <a:lumOff val="85000"/>
              </a:schemeClr>
            </a:solidFill>
            <a:round/>
          </a:ln>
          <a:effectLst/>
        </c:spPr>
        <c:txPr>
          <a:bodyPr rot="0" vert="horz"/>
          <a:lstStyle/>
          <a:p>
            <a:pPr>
              <a:defRPr sz="1100" b="1" i="0" u="none" strike="noStrike" baseline="0">
                <a:solidFill>
                  <a:srgbClr val="000000"/>
                </a:solidFill>
                <a:latin typeface="Times New Roman"/>
                <a:ea typeface="Times New Roman"/>
                <a:cs typeface="Times New Roman"/>
              </a:defRPr>
            </a:pPr>
            <a:endParaRPr lang="ro-RO"/>
          </a:p>
        </c:txPr>
        <c:crossAx val="125001728"/>
        <c:crosses val="autoZero"/>
        <c:auto val="1"/>
        <c:lblAlgn val="ctr"/>
        <c:lblOffset val="100"/>
        <c:tickLblSkip val="1"/>
        <c:tickMarkSkip val="1"/>
      </c:catAx>
      <c:valAx>
        <c:axId val="125001728"/>
        <c:scaling>
          <c:orientation val="minMax"/>
        </c:scaling>
        <c:axPos val="l"/>
        <c:majorGridlines>
          <c:spPr>
            <a:ln w="9522" cap="flat" cmpd="sng" algn="ctr">
              <a:solidFill>
                <a:schemeClr val="tx1">
                  <a:lumMod val="15000"/>
                  <a:lumOff val="85000"/>
                </a:schemeClr>
              </a:solidFill>
              <a:round/>
            </a:ln>
            <a:effectLst/>
          </c:spPr>
        </c:majorGridlines>
        <c:numFmt formatCode="General" sourceLinked="1"/>
        <c:majorTickMark val="none"/>
        <c:tickLblPos val="nextTo"/>
        <c:spPr>
          <a:ln w="9522">
            <a:noFill/>
          </a:ln>
        </c:spPr>
        <c:txPr>
          <a:bodyPr rot="0" vert="horz"/>
          <a:lstStyle/>
          <a:p>
            <a:pPr>
              <a:defRPr sz="1100" b="1" i="0" u="none" strike="noStrike" baseline="0">
                <a:solidFill>
                  <a:srgbClr val="000000"/>
                </a:solidFill>
                <a:latin typeface="Times New Roman"/>
                <a:ea typeface="Times New Roman"/>
                <a:cs typeface="Times New Roman"/>
              </a:defRPr>
            </a:pPr>
            <a:endParaRPr lang="ro-RO"/>
          </a:p>
        </c:txPr>
        <c:crossAx val="124983552"/>
        <c:crosses val="autoZero"/>
        <c:crossBetween val="between"/>
      </c:valAx>
      <c:spPr>
        <a:noFill/>
        <a:ln w="25393">
          <a:noFill/>
        </a:ln>
      </c:spPr>
    </c:plotArea>
    <c:legend>
      <c:legendPos val="b"/>
      <c:layout>
        <c:manualLayout>
          <c:xMode val="edge"/>
          <c:yMode val="edge"/>
          <c:x val="0.4214063564635066"/>
          <c:y val="0.84904986876640465"/>
          <c:w val="0.15331148122613808"/>
          <c:h val="8.2457067866516714E-2"/>
        </c:manualLayout>
      </c:layout>
      <c:spPr>
        <a:noFill/>
        <a:ln w="25393">
          <a:noFill/>
        </a:ln>
      </c:spPr>
      <c:txPr>
        <a:bodyPr/>
        <a:lstStyle/>
        <a:p>
          <a:pPr>
            <a:defRPr sz="1010" b="1" i="0" u="none" strike="noStrike" baseline="0">
              <a:solidFill>
                <a:srgbClr val="000000"/>
              </a:solidFill>
              <a:latin typeface="Times New Roman"/>
              <a:ea typeface="Times New Roman"/>
              <a:cs typeface="Times New Roman"/>
            </a:defRPr>
          </a:pPr>
          <a:endParaRPr lang="ro-RO"/>
        </a:p>
      </c:txPr>
    </c:legend>
    <c:plotVisOnly val="1"/>
    <c:dispBlanksAs val="gap"/>
  </c:chart>
  <c:spPr>
    <a:solidFill>
      <a:schemeClr val="bg1"/>
    </a:solidFill>
    <a:ln w="9522" cap="flat" cmpd="sng" algn="ctr">
      <a:solidFill>
        <a:schemeClr val="tx1">
          <a:lumMod val="15000"/>
          <a:lumOff val="85000"/>
        </a:schemeClr>
      </a:solidFill>
      <a:round/>
    </a:ln>
    <a:effectLst/>
  </c:spPr>
  <c:txPr>
    <a:bodyPr/>
    <a:lstStyle/>
    <a:p>
      <a:pPr>
        <a:defRPr sz="1100" b="1" i="0" u="none" strike="noStrike" baseline="0">
          <a:solidFill>
            <a:srgbClr val="000000"/>
          </a:solidFill>
          <a:latin typeface="Times New Roman"/>
          <a:ea typeface="Times New Roman"/>
          <a:cs typeface="Times New Roman"/>
        </a:defRPr>
      </a:pPr>
      <a:endParaRPr lang="ro-RO"/>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plotArea>
      <c:layout>
        <c:manualLayout>
          <c:layoutTarget val="inner"/>
          <c:xMode val="edge"/>
          <c:yMode val="edge"/>
          <c:x val="0.10271936429340155"/>
          <c:y val="6.2746287148890009E-2"/>
          <c:w val="0.82737493151006469"/>
          <c:h val="0.590816700238049"/>
        </c:manualLayout>
      </c:layout>
      <c:barChart>
        <c:barDir val="col"/>
        <c:grouping val="clustered"/>
        <c:ser>
          <c:idx val="0"/>
          <c:order val="0"/>
          <c:tx>
            <c:strRef>
              <c:f>Sheet1!$A$2</c:f>
              <c:strCache>
                <c:ptCount val="1"/>
                <c:pt idx="0">
                  <c:v>2017</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4" cap="flat" cmpd="sng" algn="ctr">
              <a:solidFill>
                <a:schemeClr val="accent1">
                  <a:shade val="95000"/>
                </a:schemeClr>
              </a:solidFill>
              <a:round/>
            </a:ln>
            <a:effectLst>
              <a:outerShdw blurRad="40000" dist="20000" dir="5400000" rotWithShape="0">
                <a:srgbClr val="000000">
                  <a:alpha val="38000"/>
                </a:srgbClr>
              </a:outerShdw>
            </a:effectLst>
          </c:spPr>
          <c:dLbls>
            <c:spPr>
              <a:noFill/>
              <a:ln w="25398">
                <a:noFill/>
              </a:ln>
            </c:spPr>
            <c:txPr>
              <a:bodyPr wrap="square" lIns="38100" tIns="19050" rIns="38100" bIns="19050" anchor="ctr">
                <a:spAutoFit/>
              </a:bodyPr>
              <a:lstStyle/>
              <a:p>
                <a:pPr>
                  <a:defRPr sz="1100" b="1" i="0" u="none" strike="noStrike" baseline="0">
                    <a:solidFill>
                      <a:srgbClr val="000000"/>
                    </a:solidFill>
                    <a:latin typeface="Times New Roman"/>
                    <a:ea typeface="Times New Roman"/>
                    <a:cs typeface="Times New Roman"/>
                  </a:defRPr>
                </a:pPr>
                <a:endParaRPr lang="ro-RO"/>
              </a:p>
            </c:txPr>
            <c:showVal val="1"/>
            <c:extLst>
              <c:ext xmlns:c15="http://schemas.microsoft.com/office/drawing/2012/chart" uri="{CE6537A1-D6FC-4f65-9D91-7224C49458BB}">
                <c15:showLeaderLines val="0"/>
              </c:ext>
            </c:extLst>
          </c:dLbls>
          <c:cat>
            <c:strRef>
              <c:f>Sheet1!$B$1:$C$1</c:f>
              <c:strCache>
                <c:ptCount val="2"/>
                <c:pt idx="0">
                  <c:v>Adulţi</c:v>
                </c:pt>
                <c:pt idx="1">
                  <c:v>Copii</c:v>
                </c:pt>
              </c:strCache>
            </c:strRef>
          </c:cat>
          <c:val>
            <c:numRef>
              <c:f>Sheet1!$B$2:$C$2</c:f>
              <c:numCache>
                <c:formatCode>General</c:formatCode>
                <c:ptCount val="2"/>
                <c:pt idx="0">
                  <c:v>65878</c:v>
                </c:pt>
                <c:pt idx="1">
                  <c:v>5285</c:v>
                </c:pt>
              </c:numCache>
            </c:numRef>
          </c:val>
        </c:ser>
        <c:ser>
          <c:idx val="1"/>
          <c:order val="1"/>
          <c:tx>
            <c:strRef>
              <c:f>Sheet1!$A$3</c:f>
              <c:strCache>
                <c:ptCount val="1"/>
                <c:pt idx="0">
                  <c:v>2018</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4" cap="flat" cmpd="sng" algn="ctr">
              <a:solidFill>
                <a:schemeClr val="accent2">
                  <a:shade val="95000"/>
                </a:schemeClr>
              </a:solidFill>
              <a:round/>
            </a:ln>
            <a:effectLst>
              <a:outerShdw blurRad="40000" dist="20000" dir="5400000" rotWithShape="0">
                <a:srgbClr val="000000">
                  <a:alpha val="38000"/>
                </a:srgbClr>
              </a:outerShdw>
            </a:effectLst>
          </c:spPr>
          <c:dLbls>
            <c:spPr>
              <a:noFill/>
              <a:ln w="25398">
                <a:noFill/>
              </a:ln>
            </c:spPr>
            <c:txPr>
              <a:bodyPr wrap="square" lIns="38100" tIns="19050" rIns="38100" bIns="19050" anchor="ctr">
                <a:spAutoFit/>
              </a:bodyPr>
              <a:lstStyle/>
              <a:p>
                <a:pPr>
                  <a:defRPr sz="1100" b="1" i="0" u="none" strike="noStrike" baseline="0">
                    <a:solidFill>
                      <a:srgbClr val="000000"/>
                    </a:solidFill>
                    <a:latin typeface="Times New Roman"/>
                    <a:ea typeface="Times New Roman"/>
                    <a:cs typeface="Times New Roman"/>
                  </a:defRPr>
                </a:pPr>
                <a:endParaRPr lang="ro-RO"/>
              </a:p>
            </c:txPr>
            <c:showVal val="1"/>
            <c:extLst>
              <c:ext xmlns:c15="http://schemas.microsoft.com/office/drawing/2012/chart" uri="{CE6537A1-D6FC-4f65-9D91-7224C49458BB}">
                <c15:showLeaderLines val="0"/>
              </c:ext>
            </c:extLst>
          </c:dLbls>
          <c:cat>
            <c:strRef>
              <c:f>Sheet1!$B$1:$C$1</c:f>
              <c:strCache>
                <c:ptCount val="2"/>
                <c:pt idx="0">
                  <c:v>Adulţi</c:v>
                </c:pt>
                <c:pt idx="1">
                  <c:v>Copii</c:v>
                </c:pt>
              </c:strCache>
            </c:strRef>
          </c:cat>
          <c:val>
            <c:numRef>
              <c:f>Sheet1!$B$3:$C$3</c:f>
              <c:numCache>
                <c:formatCode>General</c:formatCode>
                <c:ptCount val="2"/>
                <c:pt idx="0">
                  <c:v>77206</c:v>
                </c:pt>
                <c:pt idx="1">
                  <c:v>6305</c:v>
                </c:pt>
              </c:numCache>
            </c:numRef>
          </c:val>
        </c:ser>
        <c:gapWidth val="100"/>
        <c:overlap val="-24"/>
        <c:axId val="132719360"/>
        <c:axId val="132720896"/>
      </c:barChart>
      <c:catAx>
        <c:axId val="132719360"/>
        <c:scaling>
          <c:orientation val="minMax"/>
        </c:scaling>
        <c:axPos val="b"/>
        <c:numFmt formatCode="General" sourceLinked="1"/>
        <c:majorTickMark val="none"/>
        <c:tickLblPos val="nextTo"/>
        <c:spPr>
          <a:noFill/>
          <a:ln w="9524" cap="flat" cmpd="sng" algn="ctr">
            <a:solidFill>
              <a:schemeClr val="tx1">
                <a:lumMod val="15000"/>
                <a:lumOff val="85000"/>
              </a:schemeClr>
            </a:solidFill>
            <a:round/>
          </a:ln>
          <a:effectLst/>
        </c:spPr>
        <c:txPr>
          <a:bodyPr rot="0" vert="horz"/>
          <a:lstStyle/>
          <a:p>
            <a:pPr>
              <a:defRPr sz="1100" b="1" i="0" u="none" strike="noStrike" baseline="0">
                <a:solidFill>
                  <a:srgbClr val="000000"/>
                </a:solidFill>
                <a:latin typeface="Times New Roman"/>
                <a:ea typeface="Times New Roman"/>
                <a:cs typeface="Times New Roman"/>
              </a:defRPr>
            </a:pPr>
            <a:endParaRPr lang="ro-RO"/>
          </a:p>
        </c:txPr>
        <c:crossAx val="132720896"/>
        <c:crosses val="autoZero"/>
        <c:auto val="1"/>
        <c:lblAlgn val="ctr"/>
        <c:lblOffset val="100"/>
        <c:tickLblSkip val="1"/>
        <c:tickMarkSkip val="1"/>
      </c:catAx>
      <c:valAx>
        <c:axId val="132720896"/>
        <c:scaling>
          <c:orientation val="minMax"/>
        </c:scaling>
        <c:axPos val="l"/>
        <c:majorGridlines>
          <c:spPr>
            <a:ln w="9524" cap="flat" cmpd="sng" algn="ctr">
              <a:solidFill>
                <a:schemeClr val="tx1">
                  <a:lumMod val="15000"/>
                  <a:lumOff val="85000"/>
                </a:schemeClr>
              </a:solidFill>
              <a:round/>
            </a:ln>
            <a:effectLst/>
          </c:spPr>
        </c:majorGridlines>
        <c:numFmt formatCode="General" sourceLinked="1"/>
        <c:majorTickMark val="none"/>
        <c:tickLblPos val="nextTo"/>
        <c:spPr>
          <a:ln w="9524">
            <a:noFill/>
          </a:ln>
        </c:spPr>
        <c:txPr>
          <a:bodyPr rot="0" vert="horz"/>
          <a:lstStyle/>
          <a:p>
            <a:pPr>
              <a:defRPr sz="1100" b="1" i="0" u="none" strike="noStrike" baseline="0">
                <a:solidFill>
                  <a:srgbClr val="000000"/>
                </a:solidFill>
                <a:latin typeface="Times New Roman"/>
                <a:ea typeface="Times New Roman"/>
                <a:cs typeface="Times New Roman"/>
              </a:defRPr>
            </a:pPr>
            <a:endParaRPr lang="ro-RO"/>
          </a:p>
        </c:txPr>
        <c:crossAx val="132719360"/>
        <c:crosses val="autoZero"/>
        <c:crossBetween val="between"/>
      </c:valAx>
      <c:spPr>
        <a:noFill/>
        <a:ln w="25398">
          <a:noFill/>
        </a:ln>
      </c:spPr>
    </c:plotArea>
    <c:legend>
      <c:legendPos val="b"/>
      <c:spPr>
        <a:noFill/>
        <a:ln w="25398">
          <a:noFill/>
        </a:ln>
      </c:spPr>
      <c:txPr>
        <a:bodyPr/>
        <a:lstStyle/>
        <a:p>
          <a:pPr>
            <a:defRPr sz="1010" b="1" i="0" u="none" strike="noStrike" baseline="0">
              <a:solidFill>
                <a:srgbClr val="000000"/>
              </a:solidFill>
              <a:latin typeface="Times New Roman"/>
              <a:ea typeface="Times New Roman"/>
              <a:cs typeface="Times New Roman"/>
            </a:defRPr>
          </a:pPr>
          <a:endParaRPr lang="ro-RO"/>
        </a:p>
      </c:txPr>
    </c:legend>
    <c:plotVisOnly val="1"/>
    <c:dispBlanksAs val="gap"/>
  </c:chart>
  <c:spPr>
    <a:solidFill>
      <a:schemeClr val="bg1"/>
    </a:solidFill>
    <a:ln w="9524" cap="flat" cmpd="sng" algn="ctr">
      <a:solidFill>
        <a:schemeClr val="tx1">
          <a:lumMod val="15000"/>
          <a:lumOff val="85000"/>
        </a:schemeClr>
      </a:solidFill>
      <a:round/>
    </a:ln>
    <a:effectLst/>
  </c:spPr>
  <c:txPr>
    <a:bodyPr/>
    <a:lstStyle/>
    <a:p>
      <a:pPr>
        <a:defRPr sz="1100" b="1" i="0" u="none" strike="noStrike" baseline="0">
          <a:solidFill>
            <a:srgbClr val="000000"/>
          </a:solidFill>
          <a:latin typeface="Times New Roman"/>
          <a:ea typeface="Times New Roman"/>
          <a:cs typeface="Times New Roman"/>
        </a:defRPr>
      </a:pPr>
      <a:endParaRPr lang="ro-RO"/>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rotX val="0"/>
      <c:rotY val="0"/>
      <c:perspective val="30"/>
    </c:view3D>
    <c:plotArea>
      <c:layout/>
      <c:bar3DChart>
        <c:barDir val="col"/>
        <c:grouping val="clustered"/>
        <c:ser>
          <c:idx val="0"/>
          <c:order val="0"/>
          <c:tx>
            <c:strRef>
              <c:f>Sheet1!$B$1</c:f>
              <c:strCache>
                <c:ptCount val="1"/>
                <c:pt idx="0">
                  <c:v>2018</c:v>
                </c:pt>
              </c:strCache>
            </c:strRef>
          </c:tx>
          <c:dPt>
            <c:idx val="1"/>
            <c:spPr>
              <a:solidFill>
                <a:schemeClr val="accent2">
                  <a:lumMod val="60000"/>
                  <a:lumOff val="40000"/>
                </a:schemeClr>
              </a:solidFill>
            </c:spPr>
          </c:dPt>
          <c:cat>
            <c:strRef>
              <c:f>Sheet1!$A$2:$A$3</c:f>
              <c:strCache>
                <c:ptCount val="2"/>
                <c:pt idx="0">
                  <c:v>Sociale</c:v>
                </c:pt>
                <c:pt idx="1">
                  <c:v>Dizabilitati</c:v>
                </c:pt>
              </c:strCache>
            </c:strRef>
          </c:cat>
          <c:val>
            <c:numRef>
              <c:f>Sheet1!$B$2:$B$3</c:f>
              <c:numCache>
                <c:formatCode>General</c:formatCode>
                <c:ptCount val="2"/>
                <c:pt idx="0">
                  <c:v>91</c:v>
                </c:pt>
                <c:pt idx="1">
                  <c:v>88</c:v>
                </c:pt>
              </c:numCache>
            </c:numRef>
          </c:val>
        </c:ser>
        <c:shape val="cylinder"/>
        <c:axId val="132891776"/>
        <c:axId val="132893312"/>
        <c:axId val="0"/>
      </c:bar3DChart>
      <c:catAx>
        <c:axId val="132891776"/>
        <c:scaling>
          <c:orientation val="minMax"/>
        </c:scaling>
        <c:axPos val="b"/>
        <c:numFmt formatCode="General" sourceLinked="0"/>
        <c:tickLblPos val="nextTo"/>
        <c:crossAx val="132893312"/>
        <c:crosses val="autoZero"/>
        <c:auto val="1"/>
        <c:lblAlgn val="ctr"/>
        <c:lblOffset val="100"/>
      </c:catAx>
      <c:valAx>
        <c:axId val="132893312"/>
        <c:scaling>
          <c:orientation val="minMax"/>
        </c:scaling>
        <c:axPos val="l"/>
        <c:majorGridlines/>
        <c:numFmt formatCode="General" sourceLinked="1"/>
        <c:tickLblPos val="nextTo"/>
        <c:crossAx val="132891776"/>
        <c:crosses val="autoZero"/>
        <c:crossBetween val="between"/>
      </c:valAx>
    </c:plotArea>
    <c:legend>
      <c:legendPos val="r"/>
    </c:legend>
    <c:plotVisOnly val="1"/>
    <c:dispBlanksAs val="gap"/>
  </c:chart>
  <c:spPr>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00" b="0" i="0" u="none" strike="noStrike" baseline="0">
                <a:solidFill>
                  <a:srgbClr val="000000"/>
                </a:solidFill>
                <a:latin typeface="Arial"/>
                <a:ea typeface="Arial"/>
                <a:cs typeface="Arial"/>
              </a:defRPr>
            </a:pPr>
            <a:r>
              <a:rPr lang="ro-RO"/>
              <a:t>Neuroinfectia West Nile - Bucuresti, 2018 - Incidente pe sectoare administrative</a:t>
            </a:r>
          </a:p>
        </c:rich>
      </c:tx>
      <c:layout>
        <c:manualLayout>
          <c:xMode val="edge"/>
          <c:yMode val="edge"/>
          <c:x val="0.14119601328903655"/>
          <c:y val="2.06896551724139E-2"/>
        </c:manualLayout>
      </c:layout>
      <c:spPr>
        <a:noFill/>
        <a:ln w="25400">
          <a:noFill/>
        </a:ln>
      </c:spPr>
    </c:title>
    <c:plotArea>
      <c:layout>
        <c:manualLayout>
          <c:layoutTarget val="inner"/>
          <c:xMode val="edge"/>
          <c:yMode val="edge"/>
          <c:x val="0.21594684385382182"/>
          <c:y val="0.26896551724137935"/>
          <c:w val="0.76910299003322269"/>
          <c:h val="0.46551724137931133"/>
        </c:manualLayout>
      </c:layout>
      <c:barChart>
        <c:barDir val="col"/>
        <c:grouping val="clustered"/>
        <c:ser>
          <c:idx val="1"/>
          <c:order val="0"/>
          <c:tx>
            <c:strRef>
              <c:f>Sheet1!$A$2</c:f>
              <c:strCache>
                <c:ptCount val="1"/>
                <c:pt idx="0">
                  <c:v>Sectoare</c:v>
                </c:pt>
              </c:strCache>
            </c:strRef>
          </c:tx>
          <c:spPr>
            <a:solidFill>
              <a:srgbClr val="FF8080"/>
            </a:solidFill>
            <a:ln w="12700">
              <a:solidFill>
                <a:srgbClr val="000000"/>
              </a:solidFill>
              <a:prstDash val="solid"/>
            </a:ln>
          </c:spPr>
          <c:cat>
            <c:strRef>
              <c:f>Sheet1!$B$1:$G$1</c:f>
              <c:strCache>
                <c:ptCount val="6"/>
                <c:pt idx="0">
                  <c:v>S1</c:v>
                </c:pt>
                <c:pt idx="1">
                  <c:v>S2</c:v>
                </c:pt>
                <c:pt idx="2">
                  <c:v>S3</c:v>
                </c:pt>
                <c:pt idx="3">
                  <c:v>S4</c:v>
                </c:pt>
                <c:pt idx="4">
                  <c:v>S5</c:v>
                </c:pt>
                <c:pt idx="5">
                  <c:v>S6</c:v>
                </c:pt>
              </c:strCache>
            </c:strRef>
          </c:cat>
          <c:val>
            <c:numRef>
              <c:f>Sheet1!$B$2:$G$2</c:f>
              <c:numCache>
                <c:formatCode>General</c:formatCode>
                <c:ptCount val="6"/>
                <c:pt idx="0">
                  <c:v>4.8</c:v>
                </c:pt>
                <c:pt idx="1">
                  <c:v>2.6</c:v>
                </c:pt>
                <c:pt idx="2">
                  <c:v>2.7</c:v>
                </c:pt>
                <c:pt idx="3">
                  <c:v>1.8</c:v>
                </c:pt>
                <c:pt idx="4">
                  <c:v>2.6</c:v>
                </c:pt>
                <c:pt idx="5">
                  <c:v>0.5</c:v>
                </c:pt>
              </c:numCache>
            </c:numRef>
          </c:val>
        </c:ser>
        <c:axId val="59659392"/>
        <c:axId val="59661312"/>
      </c:barChart>
      <c:lineChart>
        <c:grouping val="standard"/>
        <c:ser>
          <c:idx val="0"/>
          <c:order val="1"/>
          <c:tx>
            <c:strRef>
              <c:f>Sheet1!$A$3</c:f>
              <c:strCache>
                <c:ptCount val="1"/>
                <c:pt idx="0">
                  <c:v>Bucuresti</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cat>
            <c:strRef>
              <c:f>Sheet1!$B$1:$G$1</c:f>
              <c:strCache>
                <c:ptCount val="6"/>
                <c:pt idx="0">
                  <c:v>S1</c:v>
                </c:pt>
                <c:pt idx="1">
                  <c:v>S2</c:v>
                </c:pt>
                <c:pt idx="2">
                  <c:v>S3</c:v>
                </c:pt>
                <c:pt idx="3">
                  <c:v>S4</c:v>
                </c:pt>
                <c:pt idx="4">
                  <c:v>S5</c:v>
                </c:pt>
                <c:pt idx="5">
                  <c:v>S6</c:v>
                </c:pt>
              </c:strCache>
            </c:strRef>
          </c:cat>
          <c:val>
            <c:numRef>
              <c:f>Sheet1!$B$3:$G$3</c:f>
              <c:numCache>
                <c:formatCode>General</c:formatCode>
                <c:ptCount val="6"/>
                <c:pt idx="0">
                  <c:v>2.4</c:v>
                </c:pt>
                <c:pt idx="1">
                  <c:v>2.4</c:v>
                </c:pt>
                <c:pt idx="2">
                  <c:v>2.4</c:v>
                </c:pt>
                <c:pt idx="3">
                  <c:v>2.4</c:v>
                </c:pt>
                <c:pt idx="4">
                  <c:v>2.4</c:v>
                </c:pt>
                <c:pt idx="5">
                  <c:v>2.4</c:v>
                </c:pt>
              </c:numCache>
            </c:numRef>
          </c:val>
        </c:ser>
        <c:marker val="1"/>
        <c:axId val="64222336"/>
        <c:axId val="64223872"/>
      </c:lineChart>
      <c:catAx>
        <c:axId val="59659392"/>
        <c:scaling>
          <c:orientation val="minMax"/>
        </c:scaling>
        <c:axPos val="b"/>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o-RO"/>
          </a:p>
        </c:txPr>
        <c:crossAx val="59661312"/>
        <c:crosses val="autoZero"/>
        <c:lblAlgn val="ctr"/>
        <c:lblOffset val="100"/>
        <c:tickMarkSkip val="1"/>
      </c:catAx>
      <c:valAx>
        <c:axId val="59661312"/>
        <c:scaling>
          <c:orientation val="minMax"/>
        </c:scaling>
        <c:axPos val="l"/>
        <c:title>
          <c:tx>
            <c:rich>
              <a:bodyPr/>
              <a:lstStyle/>
              <a:p>
                <a:pPr>
                  <a:defRPr sz="1000" b="1" i="0" u="none" strike="noStrike" baseline="0">
                    <a:solidFill>
                      <a:srgbClr val="000000"/>
                    </a:solidFill>
                    <a:latin typeface="Arial"/>
                    <a:ea typeface="Arial"/>
                    <a:cs typeface="Arial"/>
                  </a:defRPr>
                </a:pPr>
                <a:r>
                  <a:rPr lang="ro-RO"/>
                  <a:t># cazuri la 1000000 locuitori</a:t>
                </a:r>
              </a:p>
            </c:rich>
          </c:tx>
          <c:layout>
            <c:manualLayout>
              <c:xMode val="edge"/>
              <c:yMode val="edge"/>
              <c:x val="1.8272425249169558E-2"/>
              <c:y val="0.18965517241379309"/>
            </c:manualLayout>
          </c:layout>
          <c:spPr>
            <a:noFill/>
            <a:ln w="25400">
              <a:noFill/>
            </a:ln>
          </c:spPr>
        </c:title>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o-RO"/>
          </a:p>
        </c:txPr>
        <c:crossAx val="59659392"/>
        <c:crosses val="autoZero"/>
        <c:crossBetween val="between"/>
      </c:valAx>
      <c:catAx>
        <c:axId val="64222336"/>
        <c:scaling>
          <c:orientation val="minMax"/>
        </c:scaling>
        <c:delete val="1"/>
        <c:axPos val="b"/>
        <c:tickLblPos val="none"/>
        <c:crossAx val="64223872"/>
        <c:crosses val="autoZero"/>
        <c:lblAlgn val="ctr"/>
        <c:lblOffset val="100"/>
      </c:catAx>
      <c:valAx>
        <c:axId val="64223872"/>
        <c:scaling>
          <c:orientation val="minMax"/>
        </c:scaling>
        <c:delete val="1"/>
        <c:axPos val="l"/>
        <c:numFmt formatCode="General" sourceLinked="1"/>
        <c:tickLblPos val="none"/>
        <c:crossAx val="64222336"/>
        <c:crosses val="autoZero"/>
        <c:crossBetween val="between"/>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a:ea typeface="Arial"/>
                <a:cs typeface="Arial"/>
              </a:defRPr>
            </a:pPr>
            <a:endParaRPr lang="ro-RO"/>
          </a:p>
        </c:txPr>
      </c:dTable>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ro-RO"/>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021" b="1" i="0" u="none" strike="noStrike" baseline="0">
                <a:solidFill>
                  <a:srgbClr val="000000"/>
                </a:solidFill>
                <a:latin typeface="Arial"/>
                <a:ea typeface="Arial"/>
                <a:cs typeface="Arial"/>
              </a:defRPr>
            </a:pPr>
            <a:r>
              <a:rPr lang="ro-RO"/>
              <a:t>Distributia procentuala pe luni calendaristice a cazurlor confirmate si respectiv infirmate de neuroinfectie West Nile - Bucuresti 2018 </a:t>
            </a:r>
          </a:p>
        </c:rich>
      </c:tx>
      <c:layout>
        <c:manualLayout>
          <c:xMode val="edge"/>
          <c:yMode val="edge"/>
          <c:x val="0.10420168067226925"/>
          <c:y val="2.150537634408603E-2"/>
        </c:manualLayout>
      </c:layout>
      <c:spPr>
        <a:noFill/>
        <a:ln w="25312">
          <a:noFill/>
        </a:ln>
      </c:spPr>
    </c:title>
    <c:plotArea>
      <c:layout>
        <c:manualLayout>
          <c:layoutTarget val="inner"/>
          <c:xMode val="edge"/>
          <c:yMode val="edge"/>
          <c:x val="0.14789915966386571"/>
          <c:y val="0.34408602150537637"/>
          <c:w val="0.64369747899160068"/>
          <c:h val="0.28673835125448038"/>
        </c:manualLayout>
      </c:layout>
      <c:barChart>
        <c:barDir val="col"/>
        <c:grouping val="percentStacked"/>
        <c:ser>
          <c:idx val="0"/>
          <c:order val="0"/>
          <c:tx>
            <c:strRef>
              <c:f>Sheet1!$A$2</c:f>
              <c:strCache>
                <c:ptCount val="1"/>
                <c:pt idx="0">
                  <c:v>Confirmate</c:v>
                </c:pt>
              </c:strCache>
            </c:strRef>
          </c:tx>
          <c:spPr>
            <a:solidFill>
              <a:srgbClr val="9999FF"/>
            </a:solidFill>
            <a:ln w="12656">
              <a:solidFill>
                <a:srgbClr val="000000"/>
              </a:solidFill>
              <a:prstDash val="solid"/>
            </a:ln>
          </c:spPr>
          <c:cat>
            <c:strRef>
              <c:f>Sheet1!$B$1:$F$1</c:f>
              <c:strCache>
                <c:ptCount val="5"/>
                <c:pt idx="0">
                  <c:v>Mai</c:v>
                </c:pt>
                <c:pt idx="1">
                  <c:v>Iunie</c:v>
                </c:pt>
                <c:pt idx="2">
                  <c:v>Iulie</c:v>
                </c:pt>
                <c:pt idx="3">
                  <c:v>August</c:v>
                </c:pt>
                <c:pt idx="4">
                  <c:v>Septembrie</c:v>
                </c:pt>
              </c:strCache>
            </c:strRef>
          </c:cat>
          <c:val>
            <c:numRef>
              <c:f>Sheet1!$B$2:$F$2</c:f>
              <c:numCache>
                <c:formatCode>General</c:formatCode>
                <c:ptCount val="5"/>
                <c:pt idx="0">
                  <c:v>0</c:v>
                </c:pt>
                <c:pt idx="1">
                  <c:v>0</c:v>
                </c:pt>
                <c:pt idx="2">
                  <c:v>3</c:v>
                </c:pt>
                <c:pt idx="3">
                  <c:v>27</c:v>
                </c:pt>
                <c:pt idx="4">
                  <c:v>22</c:v>
                </c:pt>
              </c:numCache>
            </c:numRef>
          </c:val>
        </c:ser>
        <c:ser>
          <c:idx val="1"/>
          <c:order val="1"/>
          <c:tx>
            <c:strRef>
              <c:f>Sheet1!$A$3</c:f>
              <c:strCache>
                <c:ptCount val="1"/>
                <c:pt idx="0">
                  <c:v>Infirmate</c:v>
                </c:pt>
              </c:strCache>
            </c:strRef>
          </c:tx>
          <c:spPr>
            <a:solidFill>
              <a:srgbClr val="FFCC00"/>
            </a:solidFill>
            <a:ln w="12656">
              <a:solidFill>
                <a:srgbClr val="000000"/>
              </a:solidFill>
              <a:prstDash val="solid"/>
            </a:ln>
          </c:spPr>
          <c:cat>
            <c:strRef>
              <c:f>Sheet1!$B$1:$F$1</c:f>
              <c:strCache>
                <c:ptCount val="5"/>
                <c:pt idx="0">
                  <c:v>Mai</c:v>
                </c:pt>
                <c:pt idx="1">
                  <c:v>Iunie</c:v>
                </c:pt>
                <c:pt idx="2">
                  <c:v>Iulie</c:v>
                </c:pt>
                <c:pt idx="3">
                  <c:v>August</c:v>
                </c:pt>
                <c:pt idx="4">
                  <c:v>Septembrie</c:v>
                </c:pt>
              </c:strCache>
            </c:strRef>
          </c:cat>
          <c:val>
            <c:numRef>
              <c:f>Sheet1!$B$3:$F$3</c:f>
              <c:numCache>
                <c:formatCode>General</c:formatCode>
                <c:ptCount val="5"/>
                <c:pt idx="0">
                  <c:v>12</c:v>
                </c:pt>
                <c:pt idx="1">
                  <c:v>8</c:v>
                </c:pt>
                <c:pt idx="2">
                  <c:v>7</c:v>
                </c:pt>
                <c:pt idx="3">
                  <c:v>22</c:v>
                </c:pt>
                <c:pt idx="4">
                  <c:v>14</c:v>
                </c:pt>
              </c:numCache>
            </c:numRef>
          </c:val>
        </c:ser>
        <c:overlap val="100"/>
        <c:axId val="59756928"/>
        <c:axId val="59758464"/>
      </c:barChart>
      <c:catAx>
        <c:axId val="59756928"/>
        <c:scaling>
          <c:orientation val="minMax"/>
        </c:scaling>
        <c:axPos val="b"/>
        <c:numFmt formatCode="General" sourceLinked="1"/>
        <c:tickLblPos val="nextTo"/>
        <c:spPr>
          <a:ln w="3164">
            <a:solidFill>
              <a:srgbClr val="000000"/>
            </a:solidFill>
            <a:prstDash val="solid"/>
          </a:ln>
        </c:spPr>
        <c:txPr>
          <a:bodyPr rot="-2700000" vert="horz"/>
          <a:lstStyle/>
          <a:p>
            <a:pPr>
              <a:defRPr sz="1196" b="1" i="0" u="none" strike="noStrike" baseline="0">
                <a:solidFill>
                  <a:srgbClr val="000000"/>
                </a:solidFill>
                <a:latin typeface="Arial"/>
                <a:ea typeface="Arial"/>
                <a:cs typeface="Arial"/>
              </a:defRPr>
            </a:pPr>
            <a:endParaRPr lang="ro-RO"/>
          </a:p>
        </c:txPr>
        <c:crossAx val="59758464"/>
        <c:crosses val="autoZero"/>
        <c:auto val="1"/>
        <c:lblAlgn val="ctr"/>
        <c:lblOffset val="100"/>
        <c:tickLblSkip val="1"/>
        <c:tickMarkSkip val="1"/>
      </c:catAx>
      <c:valAx>
        <c:axId val="59758464"/>
        <c:scaling>
          <c:orientation val="minMax"/>
        </c:scaling>
        <c:axPos val="l"/>
        <c:majorGridlines>
          <c:spPr>
            <a:ln w="3164">
              <a:solidFill>
                <a:srgbClr val="000000"/>
              </a:solidFill>
              <a:prstDash val="solid"/>
            </a:ln>
          </c:spPr>
        </c:majorGridlines>
        <c:numFmt formatCode="0%" sourceLinked="1"/>
        <c:tickLblPos val="nextTo"/>
        <c:spPr>
          <a:ln w="3164">
            <a:solidFill>
              <a:srgbClr val="000000"/>
            </a:solidFill>
            <a:prstDash val="solid"/>
          </a:ln>
        </c:spPr>
        <c:txPr>
          <a:bodyPr rot="0" vert="horz"/>
          <a:lstStyle/>
          <a:p>
            <a:pPr>
              <a:defRPr sz="1196" b="1" i="0" u="none" strike="noStrike" baseline="0">
                <a:solidFill>
                  <a:srgbClr val="000000"/>
                </a:solidFill>
                <a:latin typeface="Arial"/>
                <a:ea typeface="Arial"/>
                <a:cs typeface="Arial"/>
              </a:defRPr>
            </a:pPr>
            <a:endParaRPr lang="ro-RO"/>
          </a:p>
        </c:txPr>
        <c:crossAx val="59756928"/>
        <c:crosses val="autoZero"/>
        <c:crossBetween val="between"/>
      </c:valAx>
      <c:spPr>
        <a:solidFill>
          <a:srgbClr val="FFFFFF"/>
        </a:solidFill>
        <a:ln w="12656">
          <a:solidFill>
            <a:srgbClr val="808080"/>
          </a:solidFill>
          <a:prstDash val="solid"/>
        </a:ln>
      </c:spPr>
    </c:plotArea>
    <c:legend>
      <c:legendPos val="r"/>
      <c:layout>
        <c:manualLayout>
          <c:xMode val="edge"/>
          <c:yMode val="edge"/>
          <c:x val="0.8084033613445375"/>
          <c:y val="0.39784946236559315"/>
          <c:w val="0.18487394957983194"/>
          <c:h val="0.17562724014336972"/>
        </c:manualLayout>
      </c:layout>
      <c:spPr>
        <a:noFill/>
        <a:ln w="3164">
          <a:solidFill>
            <a:srgbClr val="000000"/>
          </a:solidFill>
          <a:prstDash val="solid"/>
        </a:ln>
      </c:spPr>
      <c:txPr>
        <a:bodyPr/>
        <a:lstStyle/>
        <a:p>
          <a:pPr>
            <a:defRPr sz="1096" b="1" i="0" u="none" strike="noStrike" baseline="0">
              <a:solidFill>
                <a:srgbClr val="000000"/>
              </a:solidFill>
              <a:latin typeface="Arial"/>
              <a:ea typeface="Arial"/>
              <a:cs typeface="Arial"/>
            </a:defRPr>
          </a:pPr>
          <a:endParaRPr lang="ro-RO"/>
        </a:p>
      </c:txPr>
    </c:legend>
    <c:plotVisOnly val="1"/>
    <c:dispBlanksAs val="gap"/>
  </c:chart>
  <c:spPr>
    <a:noFill/>
    <a:ln w="3164">
      <a:solidFill>
        <a:srgbClr val="000000"/>
      </a:solidFill>
      <a:prstDash val="solid"/>
    </a:ln>
  </c:spPr>
  <c:txPr>
    <a:bodyPr/>
    <a:lstStyle/>
    <a:p>
      <a:pPr>
        <a:defRPr sz="1196" b="1" i="0" u="none" strike="noStrike" baseline="0">
          <a:solidFill>
            <a:srgbClr val="000000"/>
          </a:solidFill>
          <a:latin typeface="Arial"/>
          <a:ea typeface="Arial"/>
          <a:cs typeface="Arial"/>
        </a:defRPr>
      </a:pPr>
      <a:endParaRPr lang="ro-RO"/>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view3D>
      <c:rAngAx val="1"/>
    </c:view3D>
    <c:plotArea>
      <c:layout/>
      <c:bar3DChart>
        <c:barDir val="col"/>
        <c:grouping val="stacked"/>
        <c:ser>
          <c:idx val="0"/>
          <c:order val="0"/>
          <c:tx>
            <c:strRef>
              <c:f>Sheet1!$B$1</c:f>
              <c:strCache>
                <c:ptCount val="1"/>
                <c:pt idx="0">
                  <c:v>TOTAL DOSARE</c:v>
                </c:pt>
              </c:strCache>
            </c:strRef>
          </c:tx>
          <c:cat>
            <c:strRef>
              <c:f>Sheet1!$A$2:$A$5</c:f>
              <c:strCache>
                <c:ptCount val="3"/>
                <c:pt idx="0">
                  <c:v>TOTAL DOSARE ANALIZA CZMI</c:v>
                </c:pt>
                <c:pt idx="1">
                  <c:v>FAVORABILE</c:v>
                </c:pt>
                <c:pt idx="2">
                  <c:v>RESPINSE</c:v>
                </c:pt>
              </c:strCache>
            </c:strRef>
          </c:cat>
          <c:val>
            <c:numRef>
              <c:f>Sheet1!$B$2:$B$5</c:f>
              <c:numCache>
                <c:formatCode>General</c:formatCode>
                <c:ptCount val="4"/>
                <c:pt idx="0">
                  <c:v>1883</c:v>
                </c:pt>
              </c:numCache>
            </c:numRef>
          </c:val>
        </c:ser>
        <c:ser>
          <c:idx val="1"/>
          <c:order val="1"/>
          <c:tx>
            <c:strRef>
              <c:f>Sheet1!$C$1</c:f>
              <c:strCache>
                <c:ptCount val="1"/>
                <c:pt idx="0">
                  <c:v>FAVORABILE</c:v>
                </c:pt>
              </c:strCache>
            </c:strRef>
          </c:tx>
          <c:cat>
            <c:strRef>
              <c:f>Sheet1!$A$2:$A$5</c:f>
              <c:strCache>
                <c:ptCount val="3"/>
                <c:pt idx="0">
                  <c:v>TOTAL DOSARE ANALIZA CZMI</c:v>
                </c:pt>
                <c:pt idx="1">
                  <c:v>FAVORABILE</c:v>
                </c:pt>
                <c:pt idx="2">
                  <c:v>RESPINSE</c:v>
                </c:pt>
              </c:strCache>
            </c:strRef>
          </c:cat>
          <c:val>
            <c:numRef>
              <c:f>Sheet1!$C$2:$C$5</c:f>
              <c:numCache>
                <c:formatCode>General</c:formatCode>
                <c:ptCount val="4"/>
                <c:pt idx="1">
                  <c:v>1394</c:v>
                </c:pt>
              </c:numCache>
            </c:numRef>
          </c:val>
        </c:ser>
        <c:ser>
          <c:idx val="2"/>
          <c:order val="2"/>
          <c:tx>
            <c:strRef>
              <c:f>Sheet1!$D$1</c:f>
              <c:strCache>
                <c:ptCount val="1"/>
                <c:pt idx="0">
                  <c:v>RESPINSE</c:v>
                </c:pt>
              </c:strCache>
            </c:strRef>
          </c:tx>
          <c:cat>
            <c:strRef>
              <c:f>Sheet1!$A$2:$A$5</c:f>
              <c:strCache>
                <c:ptCount val="3"/>
                <c:pt idx="0">
                  <c:v>TOTAL DOSARE ANALIZA CZMI</c:v>
                </c:pt>
                <c:pt idx="1">
                  <c:v>FAVORABILE</c:v>
                </c:pt>
                <c:pt idx="2">
                  <c:v>RESPINSE</c:v>
                </c:pt>
              </c:strCache>
            </c:strRef>
          </c:cat>
          <c:val>
            <c:numRef>
              <c:f>Sheet1!$D$2:$D$5</c:f>
              <c:numCache>
                <c:formatCode>General</c:formatCode>
                <c:ptCount val="4"/>
                <c:pt idx="2">
                  <c:v>489</c:v>
                </c:pt>
              </c:numCache>
            </c:numRef>
          </c:val>
        </c:ser>
        <c:shape val="cylinder"/>
        <c:axId val="59537664"/>
        <c:axId val="59547648"/>
        <c:axId val="0"/>
      </c:bar3DChart>
      <c:catAx>
        <c:axId val="59537664"/>
        <c:scaling>
          <c:orientation val="minMax"/>
        </c:scaling>
        <c:axPos val="b"/>
        <c:tickLblPos val="nextTo"/>
        <c:crossAx val="59547648"/>
        <c:crosses val="autoZero"/>
        <c:auto val="1"/>
        <c:lblAlgn val="ctr"/>
        <c:lblOffset val="100"/>
      </c:catAx>
      <c:valAx>
        <c:axId val="59547648"/>
        <c:scaling>
          <c:orientation val="minMax"/>
        </c:scaling>
        <c:axPos val="l"/>
        <c:majorGridlines/>
        <c:numFmt formatCode="General" sourceLinked="1"/>
        <c:tickLblPos val="nextTo"/>
        <c:crossAx val="59537664"/>
        <c:crosses val="autoZero"/>
        <c:crossBetween val="between"/>
      </c:valAx>
    </c:plotArea>
    <c:legend>
      <c:legendPos val="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rAngAx val="1"/>
    </c:view3D>
    <c:plotArea>
      <c:layout/>
      <c:bar3DChart>
        <c:barDir val="col"/>
        <c:grouping val="stacked"/>
        <c:ser>
          <c:idx val="0"/>
          <c:order val="0"/>
          <c:tx>
            <c:strRef>
              <c:f>Sheet1!$B$1</c:f>
              <c:strCache>
                <c:ptCount val="1"/>
                <c:pt idx="0">
                  <c:v>Series 1</c:v>
                </c:pt>
              </c:strCache>
            </c:strRef>
          </c:tx>
          <c:dPt>
            <c:idx val="1"/>
            <c:spPr>
              <a:solidFill>
                <a:schemeClr val="accent2"/>
              </a:solidFill>
            </c:spPr>
          </c:dPt>
          <c:cat>
            <c:numRef>
              <c:f>Sheet1!$A$2:$A$3</c:f>
              <c:numCache>
                <c:formatCode>General</c:formatCode>
                <c:ptCount val="2"/>
                <c:pt idx="0">
                  <c:v>2017</c:v>
                </c:pt>
                <c:pt idx="1">
                  <c:v>2018</c:v>
                </c:pt>
              </c:numCache>
            </c:numRef>
          </c:cat>
          <c:val>
            <c:numRef>
              <c:f>Sheet1!$B$2:$B$3</c:f>
              <c:numCache>
                <c:formatCode>General</c:formatCode>
                <c:ptCount val="2"/>
                <c:pt idx="0">
                  <c:v>72</c:v>
                </c:pt>
                <c:pt idx="1">
                  <c:v>15</c:v>
                </c:pt>
              </c:numCache>
            </c:numRef>
          </c:val>
        </c:ser>
        <c:shape val="cylinder"/>
        <c:axId val="59162624"/>
        <c:axId val="59164160"/>
        <c:axId val="0"/>
      </c:bar3DChart>
      <c:catAx>
        <c:axId val="59162624"/>
        <c:scaling>
          <c:orientation val="minMax"/>
        </c:scaling>
        <c:axPos val="b"/>
        <c:numFmt formatCode="General" sourceLinked="1"/>
        <c:tickLblPos val="nextTo"/>
        <c:crossAx val="59164160"/>
        <c:crosses val="autoZero"/>
        <c:auto val="1"/>
        <c:lblAlgn val="ctr"/>
        <c:lblOffset val="100"/>
      </c:catAx>
      <c:valAx>
        <c:axId val="59164160"/>
        <c:scaling>
          <c:orientation val="minMax"/>
        </c:scaling>
        <c:axPos val="l"/>
        <c:majorGridlines/>
        <c:numFmt formatCode="General" sourceLinked="1"/>
        <c:tickLblPos val="nextTo"/>
        <c:crossAx val="59162624"/>
        <c:crosses val="autoZero"/>
        <c:crossBetween val="between"/>
      </c:valAx>
    </c:plotArea>
    <c:legend>
      <c:legendPos val="r"/>
    </c:legend>
    <c:plotVisOnly val="1"/>
    <c:dispBlanksAs val="gap"/>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endParaRPr lang="ro-RO"/>
          </a:p>
          <a:p>
            <a:pPr>
              <a:defRPr/>
            </a:pPr>
            <a:endParaRPr lang="en-US"/>
          </a:p>
        </c:rich>
      </c:tx>
    </c:title>
    <c:view3D>
      <c:rAngAx val="1"/>
    </c:view3D>
    <c:plotArea>
      <c:layout>
        <c:manualLayout>
          <c:layoutTarget val="inner"/>
          <c:xMode val="edge"/>
          <c:yMode val="edge"/>
          <c:x val="5.1496923540295468E-2"/>
          <c:y val="4.6783047467903724E-2"/>
          <c:w val="0.84067498269124763"/>
          <c:h val="0.85439637388499867"/>
        </c:manualLayout>
      </c:layout>
      <c:bar3DChart>
        <c:barDir val="col"/>
        <c:grouping val="stacked"/>
        <c:ser>
          <c:idx val="0"/>
          <c:order val="0"/>
          <c:tx>
            <c:strRef>
              <c:f>Sheet1!$B$1</c:f>
              <c:strCache>
                <c:ptCount val="1"/>
                <c:pt idx="0">
                  <c:v>2018</c:v>
                </c:pt>
              </c:strCache>
            </c:strRef>
          </c:tx>
          <c:spPr>
            <a:solidFill>
              <a:schemeClr val="accent2">
                <a:lumMod val="60000"/>
                <a:lumOff val="40000"/>
              </a:schemeClr>
            </a:solidFill>
          </c:spPr>
          <c:dPt>
            <c:idx val="0"/>
            <c:spPr>
              <a:solidFill>
                <a:schemeClr val="accent1">
                  <a:lumMod val="60000"/>
                  <a:lumOff val="40000"/>
                </a:schemeClr>
              </a:solidFill>
            </c:spPr>
          </c:dPt>
          <c:cat>
            <c:numRef>
              <c:f>Sheet1!$A$2:$A$3</c:f>
              <c:numCache>
                <c:formatCode>General</c:formatCode>
                <c:ptCount val="2"/>
                <c:pt idx="0">
                  <c:v>2017</c:v>
                </c:pt>
                <c:pt idx="1">
                  <c:v>2018</c:v>
                </c:pt>
              </c:numCache>
            </c:numRef>
          </c:cat>
          <c:val>
            <c:numRef>
              <c:f>Sheet1!$B$2:$B$3</c:f>
              <c:numCache>
                <c:formatCode>General</c:formatCode>
                <c:ptCount val="2"/>
                <c:pt idx="0">
                  <c:v>10</c:v>
                </c:pt>
                <c:pt idx="1">
                  <c:v>1</c:v>
                </c:pt>
              </c:numCache>
            </c:numRef>
          </c:val>
        </c:ser>
        <c:ser>
          <c:idx val="1"/>
          <c:order val="1"/>
          <c:tx>
            <c:strRef>
              <c:f>Sheet1!$C$1</c:f>
              <c:strCache>
                <c:ptCount val="1"/>
                <c:pt idx="0">
                  <c:v>2017</c:v>
                </c:pt>
              </c:strCache>
            </c:strRef>
          </c:tx>
          <c:spPr>
            <a:solidFill>
              <a:schemeClr val="tx2">
                <a:lumMod val="60000"/>
                <a:lumOff val="40000"/>
              </a:schemeClr>
            </a:solidFill>
          </c:spPr>
          <c:cat>
            <c:numRef>
              <c:f>Sheet1!$A$2:$A$3</c:f>
              <c:numCache>
                <c:formatCode>General</c:formatCode>
                <c:ptCount val="2"/>
                <c:pt idx="0">
                  <c:v>2017</c:v>
                </c:pt>
                <c:pt idx="1">
                  <c:v>2018</c:v>
                </c:pt>
              </c:numCache>
            </c:numRef>
          </c:cat>
          <c:val>
            <c:numRef>
              <c:f>Sheet1!$C$2:$C$3</c:f>
              <c:numCache>
                <c:formatCode>General</c:formatCode>
                <c:ptCount val="2"/>
              </c:numCache>
            </c:numRef>
          </c:val>
        </c:ser>
        <c:shape val="cylinder"/>
        <c:axId val="59820288"/>
        <c:axId val="59826176"/>
        <c:axId val="0"/>
      </c:bar3DChart>
      <c:catAx>
        <c:axId val="59820288"/>
        <c:scaling>
          <c:orientation val="minMax"/>
        </c:scaling>
        <c:axPos val="b"/>
        <c:numFmt formatCode="General" sourceLinked="1"/>
        <c:tickLblPos val="nextTo"/>
        <c:crossAx val="59826176"/>
        <c:crosses val="autoZero"/>
        <c:auto val="1"/>
        <c:lblAlgn val="ctr"/>
        <c:lblOffset val="100"/>
      </c:catAx>
      <c:valAx>
        <c:axId val="59826176"/>
        <c:scaling>
          <c:orientation val="minMax"/>
        </c:scaling>
        <c:axPos val="l"/>
        <c:majorGridlines/>
        <c:numFmt formatCode="General" sourceLinked="1"/>
        <c:tickLblPos val="nextTo"/>
        <c:crossAx val="59820288"/>
        <c:crosses val="autoZero"/>
        <c:crossBetween val="between"/>
      </c:valAx>
    </c:plotArea>
    <c:legend>
      <c:legendPos val="r"/>
      <c:layout>
        <c:manualLayout>
          <c:xMode val="edge"/>
          <c:yMode val="edge"/>
          <c:x val="0.87230106668857821"/>
          <c:y val="0.18184801702936804"/>
          <c:w val="7.4047666545407814E-2"/>
          <c:h val="0.18984685969371939"/>
        </c:manualLayout>
      </c:layout>
    </c:legend>
    <c:plotVisOnly val="1"/>
    <c:dispBlanksAs val="gap"/>
  </c:chart>
  <c:spPr>
    <a:ln>
      <a:noFill/>
    </a:ln>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o-RO"/>
  <c:chart>
    <c:view3D>
      <c:perspective val="30"/>
    </c:view3D>
    <c:plotArea>
      <c:layout/>
      <c:bar3DChart>
        <c:barDir val="col"/>
        <c:grouping val="standard"/>
        <c:ser>
          <c:idx val="0"/>
          <c:order val="0"/>
          <c:tx>
            <c:strRef>
              <c:f>Sheet1!$B$1</c:f>
              <c:strCache>
                <c:ptCount val="1"/>
                <c:pt idx="0">
                  <c:v>scolare</c:v>
                </c:pt>
              </c:strCache>
            </c:strRef>
          </c:tx>
          <c:cat>
            <c:numRef>
              <c:f>Sheet1!$A$2:$A$3</c:f>
              <c:numCache>
                <c:formatCode>General</c:formatCode>
                <c:ptCount val="2"/>
                <c:pt idx="0">
                  <c:v>2017</c:v>
                </c:pt>
                <c:pt idx="1">
                  <c:v>2018</c:v>
                </c:pt>
              </c:numCache>
            </c:numRef>
          </c:cat>
          <c:val>
            <c:numRef>
              <c:f>Sheet1!$B$2:$B$3</c:f>
              <c:numCache>
                <c:formatCode>General</c:formatCode>
                <c:ptCount val="2"/>
                <c:pt idx="0">
                  <c:v>6</c:v>
                </c:pt>
                <c:pt idx="1">
                  <c:v>2</c:v>
                </c:pt>
              </c:numCache>
            </c:numRef>
          </c:val>
        </c:ser>
        <c:ser>
          <c:idx val="1"/>
          <c:order val="1"/>
          <c:tx>
            <c:strRef>
              <c:f>Sheet1!$C$1</c:f>
              <c:strCache>
                <c:ptCount val="1"/>
                <c:pt idx="0">
                  <c:v>private</c:v>
                </c:pt>
              </c:strCache>
            </c:strRef>
          </c:tx>
          <c:cat>
            <c:numRef>
              <c:f>Sheet1!$A$2:$A$3</c:f>
              <c:numCache>
                <c:formatCode>General</c:formatCode>
                <c:ptCount val="2"/>
                <c:pt idx="0">
                  <c:v>2017</c:v>
                </c:pt>
                <c:pt idx="1">
                  <c:v>2018</c:v>
                </c:pt>
              </c:numCache>
            </c:numRef>
          </c:cat>
          <c:val>
            <c:numRef>
              <c:f>Sheet1!$C$2:$C$3</c:f>
              <c:numCache>
                <c:formatCode>General</c:formatCode>
                <c:ptCount val="2"/>
                <c:pt idx="0">
                  <c:v>11</c:v>
                </c:pt>
                <c:pt idx="1">
                  <c:v>4.4000000000000004</c:v>
                </c:pt>
              </c:numCache>
            </c:numRef>
          </c:val>
        </c:ser>
        <c:shape val="cylinder"/>
        <c:axId val="59618048"/>
        <c:axId val="59619584"/>
        <c:axId val="59813888"/>
      </c:bar3DChart>
      <c:catAx>
        <c:axId val="59618048"/>
        <c:scaling>
          <c:orientation val="minMax"/>
        </c:scaling>
        <c:axPos val="b"/>
        <c:numFmt formatCode="General" sourceLinked="1"/>
        <c:tickLblPos val="nextTo"/>
        <c:crossAx val="59619584"/>
        <c:crosses val="autoZero"/>
        <c:auto val="1"/>
        <c:lblAlgn val="ctr"/>
        <c:lblOffset val="100"/>
      </c:catAx>
      <c:valAx>
        <c:axId val="59619584"/>
        <c:scaling>
          <c:orientation val="minMax"/>
        </c:scaling>
        <c:axPos val="l"/>
        <c:majorGridlines/>
        <c:numFmt formatCode="General" sourceLinked="1"/>
        <c:tickLblPos val="nextTo"/>
        <c:crossAx val="59618048"/>
        <c:crosses val="autoZero"/>
        <c:crossBetween val="between"/>
      </c:valAx>
      <c:serAx>
        <c:axId val="59813888"/>
        <c:scaling>
          <c:orientation val="minMax"/>
        </c:scaling>
        <c:axPos val="b"/>
        <c:tickLblPos val="nextTo"/>
        <c:crossAx val="59619584"/>
        <c:crosses val="autoZero"/>
      </c:serAx>
    </c:plotArea>
    <c:legend>
      <c:legendPos val="r"/>
    </c:legend>
    <c:plotVisOnly val="1"/>
    <c:dispBlanksAs val="gap"/>
  </c:chart>
  <c:spPr>
    <a:ln>
      <a:noFill/>
    </a:ln>
  </c:sp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o-RO"/>
  <c:style val="30"/>
  <c:chart>
    <c:autoTitleDeleted val="1"/>
    <c:plotArea>
      <c:layout>
        <c:manualLayout>
          <c:layoutTarget val="inner"/>
          <c:xMode val="edge"/>
          <c:yMode val="edge"/>
          <c:x val="0"/>
          <c:y val="0.13228671158373245"/>
          <c:w val="0.99228479055273777"/>
          <c:h val="0.73754146711042934"/>
        </c:manualLayout>
      </c:layout>
      <c:lineChart>
        <c:grouping val="standard"/>
        <c:ser>
          <c:idx val="0"/>
          <c:order val="0"/>
          <c:tx>
            <c:strRef>
              <c:f>Sheet1!$B$1</c:f>
              <c:strCache>
                <c:ptCount val="1"/>
                <c:pt idx="0">
                  <c:v>Series 1</c:v>
                </c:pt>
              </c:strCache>
            </c:strRef>
          </c:tx>
          <c:spPr>
            <a:ln>
              <a:solidFill>
                <a:schemeClr val="accent1"/>
              </a:solidFill>
            </a:ln>
          </c:spPr>
          <c:marker>
            <c:symbol val="diamond"/>
            <c:size val="13"/>
            <c:spPr>
              <a:solidFill>
                <a:srgbClr val="4F81BD"/>
              </a:solidFill>
            </c:spPr>
          </c:marker>
          <c:dLbls>
            <c:dLbl>
              <c:idx val="0"/>
              <c:layout>
                <c:manualLayout>
                  <c:x val="-7.394820075425193E-2"/>
                  <c:y val="-0.10298942013691589"/>
                </c:manualLayout>
              </c:layout>
              <c:tx>
                <c:rich>
                  <a:bodyPr/>
                  <a:lstStyle/>
                  <a:p>
                    <a:r>
                      <a:rPr lang="en-US" sz="1100" dirty="0" smtClean="0">
                        <a:latin typeface="Times New Roman" pitchFamily="18" charset="0"/>
                        <a:cs typeface="Times New Roman" pitchFamily="18" charset="0"/>
                      </a:rPr>
                      <a:t>9</a:t>
                    </a:r>
                    <a:r>
                      <a:rPr lang="en-US" dirty="0" smtClean="0"/>
                      <a:t>8.679</a:t>
                    </a:r>
                    <a:endParaRPr lang="en-US" dirty="0"/>
                  </a:p>
                </c:rich>
              </c:tx>
              <c:showVal val="1"/>
              <c:extLst xmlns:c16r2="http://schemas.microsoft.com/office/drawing/2015/06/chart">
                <c:ext xmlns:c16="http://schemas.microsoft.com/office/drawing/2014/chart" uri="{C3380CC4-5D6E-409C-BE32-E72D297353CC}">
                  <c16:uniqueId val="{00000000-0FE6-41D1-9CF5-848A573B5381}"/>
                </c:ext>
                <c:ext xmlns:c15="http://schemas.microsoft.com/office/drawing/2012/chart" uri="{CE6537A1-D6FC-4f65-9D91-7224C49458BB}">
                  <c15:layout/>
                </c:ext>
              </c:extLst>
            </c:dLbl>
            <c:dLbl>
              <c:idx val="1"/>
              <c:layout>
                <c:manualLayout>
                  <c:x val="-2.27920227920228E-2"/>
                  <c:y val="-6.8965517241379323E-2"/>
                </c:manualLayout>
              </c:layout>
              <c:tx>
                <c:rich>
                  <a:bodyPr/>
                  <a:lstStyle/>
                  <a:p>
                    <a:r>
                      <a:rPr lang="en-US" sz="1100" dirty="0" smtClean="0">
                        <a:latin typeface="Times New Roman" pitchFamily="18" charset="0"/>
                        <a:cs typeface="Times New Roman" pitchFamily="18" charset="0"/>
                      </a:rPr>
                      <a:t>9</a:t>
                    </a:r>
                    <a:r>
                      <a:rPr lang="en-US" dirty="0" smtClean="0"/>
                      <a:t>3.402</a:t>
                    </a:r>
                    <a:endParaRPr lang="en-US" dirty="0"/>
                  </a:p>
                </c:rich>
              </c:tx>
              <c:showVal val="1"/>
              <c:extLst xmlns:c16r2="http://schemas.microsoft.com/office/drawing/2015/06/chart">
                <c:ext xmlns:c16="http://schemas.microsoft.com/office/drawing/2014/chart" uri="{C3380CC4-5D6E-409C-BE32-E72D297353CC}">
                  <c16:uniqueId val="{00000001-0FE6-41D1-9CF5-848A573B5381}"/>
                </c:ext>
                <c:ext xmlns:c15="http://schemas.microsoft.com/office/drawing/2012/chart" uri="{CE6537A1-D6FC-4f65-9D91-7224C49458BB}">
                  <c15:layout/>
                </c:ext>
              </c:extLst>
            </c:dLbl>
            <c:dLbl>
              <c:idx val="2"/>
              <c:layout>
                <c:manualLayout>
                  <c:x val="-3.4188034188034191E-2"/>
                  <c:y val="-8.6206896551724227E-2"/>
                </c:manualLayout>
              </c:layout>
              <c:tx>
                <c:rich>
                  <a:bodyPr/>
                  <a:lstStyle/>
                  <a:p>
                    <a:r>
                      <a:rPr lang="en-US" sz="1100" dirty="0" smtClean="0">
                        <a:latin typeface="Times New Roman" pitchFamily="18" charset="0"/>
                        <a:cs typeface="Times New Roman" pitchFamily="18" charset="0"/>
                      </a:rPr>
                      <a:t>8</a:t>
                    </a:r>
                    <a:r>
                      <a:rPr lang="en-US" dirty="0" smtClean="0"/>
                      <a:t>9.159</a:t>
                    </a:r>
                    <a:endParaRPr lang="en-US" dirty="0"/>
                  </a:p>
                </c:rich>
              </c:tx>
              <c:showVal val="1"/>
              <c:extLst xmlns:c16r2="http://schemas.microsoft.com/office/drawing/2015/06/chart">
                <c:ext xmlns:c16="http://schemas.microsoft.com/office/drawing/2014/chart" uri="{C3380CC4-5D6E-409C-BE32-E72D297353CC}">
                  <c16:uniqueId val="{00000002-0FE6-41D1-9CF5-848A573B5381}"/>
                </c:ext>
                <c:ext xmlns:c15="http://schemas.microsoft.com/office/drawing/2012/chart" uri="{CE6537A1-D6FC-4f65-9D91-7224C49458BB}">
                  <c15:layout/>
                </c:ext>
              </c:extLst>
            </c:dLbl>
            <c:dLbl>
              <c:idx val="3"/>
              <c:layout>
                <c:manualLayout>
                  <c:x val="-2.5641025641026282E-2"/>
                  <c:y val="-0.10344827586206891"/>
                </c:manualLayout>
              </c:layout>
              <c:tx>
                <c:rich>
                  <a:bodyPr/>
                  <a:lstStyle/>
                  <a:p>
                    <a:r>
                      <a:rPr lang="en-US" sz="1100" dirty="0" smtClean="0">
                        <a:latin typeface="Times New Roman" pitchFamily="18" charset="0"/>
                        <a:cs typeface="Times New Roman" pitchFamily="18" charset="0"/>
                      </a:rPr>
                      <a:t>8</a:t>
                    </a:r>
                    <a:r>
                      <a:rPr lang="en-US" dirty="0" smtClean="0"/>
                      <a:t>2.817</a:t>
                    </a:r>
                    <a:endParaRPr lang="en-US" dirty="0"/>
                  </a:p>
                </c:rich>
              </c:tx>
              <c:showVal val="1"/>
              <c:extLst xmlns:c16r2="http://schemas.microsoft.com/office/drawing/2015/06/chart">
                <c:ext xmlns:c16="http://schemas.microsoft.com/office/drawing/2014/chart" uri="{C3380CC4-5D6E-409C-BE32-E72D297353CC}">
                  <c16:uniqueId val="{00000003-0FE6-41D1-9CF5-848A573B5381}"/>
                </c:ext>
                <c:ext xmlns:c15="http://schemas.microsoft.com/office/drawing/2012/chart" uri="{CE6537A1-D6FC-4f65-9D91-7224C49458BB}">
                  <c15:layout/>
                </c:ext>
              </c:extLst>
            </c:dLbl>
            <c:dLbl>
              <c:idx val="4"/>
              <c:layout>
                <c:manualLayout>
                  <c:x val="-3.5612535612535696E-2"/>
                  <c:y val="-9.1954022988507716E-2"/>
                </c:manualLayout>
              </c:layout>
              <c:tx>
                <c:rich>
                  <a:bodyPr/>
                  <a:lstStyle/>
                  <a:p>
                    <a:r>
                      <a:rPr lang="en-US" sz="1100" dirty="0" smtClean="0">
                        <a:latin typeface="Times New Roman" pitchFamily="18" charset="0"/>
                        <a:cs typeface="Times New Roman" pitchFamily="18" charset="0"/>
                      </a:rPr>
                      <a:t>8</a:t>
                    </a:r>
                    <a:r>
                      <a:rPr lang="en-US" dirty="0" smtClean="0"/>
                      <a:t>3.561</a:t>
                    </a:r>
                    <a:endParaRPr lang="en-US" dirty="0"/>
                  </a:p>
                </c:rich>
              </c:tx>
              <c:showVal val="1"/>
              <c:extLst xmlns:c16r2="http://schemas.microsoft.com/office/drawing/2015/06/chart">
                <c:ext xmlns:c16="http://schemas.microsoft.com/office/drawing/2014/chart" uri="{C3380CC4-5D6E-409C-BE32-E72D297353CC}">
                  <c16:uniqueId val="{00000004-0FE6-41D1-9CF5-848A573B5381}"/>
                </c:ext>
                <c:ext xmlns:c15="http://schemas.microsoft.com/office/drawing/2012/chart" uri="{CE6537A1-D6FC-4f65-9D91-7224C49458BB}">
                  <c15:layout/>
                </c:ext>
              </c:extLst>
            </c:dLbl>
            <c:dLbl>
              <c:idx val="5"/>
              <c:layout>
                <c:manualLayout>
                  <c:x val="-3.5612647778002451E-2"/>
                  <c:y val="-8.0459770114942528E-2"/>
                </c:manualLayout>
              </c:layout>
              <c:tx>
                <c:rich>
                  <a:bodyPr/>
                  <a:lstStyle/>
                  <a:p>
                    <a:r>
                      <a:rPr lang="en-US" sz="1100" dirty="0" smtClean="0">
                        <a:latin typeface="Times New Roman" pitchFamily="18" charset="0"/>
                        <a:cs typeface="Times New Roman" pitchFamily="18" charset="0"/>
                      </a:rPr>
                      <a:t>8</a:t>
                    </a:r>
                    <a:r>
                      <a:rPr lang="en-US" dirty="0" smtClean="0"/>
                      <a:t>0.163</a:t>
                    </a:r>
                    <a:endParaRPr lang="en-US" dirty="0"/>
                  </a:p>
                </c:rich>
              </c:tx>
              <c:showVal val="1"/>
              <c:extLst xmlns:c16r2="http://schemas.microsoft.com/office/drawing/2015/06/chart">
                <c:ext xmlns:c16="http://schemas.microsoft.com/office/drawing/2014/chart" uri="{C3380CC4-5D6E-409C-BE32-E72D297353CC}">
                  <c16:uniqueId val="{00000005-0FE6-41D1-9CF5-848A573B5381}"/>
                </c:ext>
                <c:ext xmlns:c15="http://schemas.microsoft.com/office/drawing/2012/chart" uri="{CE6537A1-D6FC-4f65-9D91-7224C49458BB}">
                  <c15:layout/>
                </c:ext>
              </c:extLst>
            </c:dLbl>
            <c:dLbl>
              <c:idx val="6"/>
              <c:layout>
                <c:manualLayout>
                  <c:x val="-3.2763532763532804E-2"/>
                  <c:y val="-0.1027445524894772"/>
                </c:manualLayout>
              </c:layout>
              <c:tx>
                <c:rich>
                  <a:bodyPr/>
                  <a:lstStyle/>
                  <a:p>
                    <a:r>
                      <a:rPr lang="en-US" sz="1100" smtClean="0">
                        <a:latin typeface="Times New Roman" pitchFamily="18" charset="0"/>
                        <a:cs typeface="Times New Roman" pitchFamily="18" charset="0"/>
                      </a:rPr>
                      <a:t>7</a:t>
                    </a:r>
                    <a:r>
                      <a:rPr lang="en-US" smtClean="0"/>
                      <a:t>3.054</a:t>
                    </a:r>
                    <a:endParaRPr lang="en-US"/>
                  </a:p>
                </c:rich>
              </c:tx>
              <c:showVal val="1"/>
              <c:extLst xmlns:c16r2="http://schemas.microsoft.com/office/drawing/2015/06/chart">
                <c:ext xmlns:c16="http://schemas.microsoft.com/office/drawing/2014/chart" uri="{C3380CC4-5D6E-409C-BE32-E72D297353CC}">
                  <c16:uniqueId val="{00000006-0FE6-41D1-9CF5-848A573B5381}"/>
                </c:ext>
                <c:ext xmlns:c15="http://schemas.microsoft.com/office/drawing/2012/chart" uri="{CE6537A1-D6FC-4f65-9D91-7224C49458BB}">
                  <c15:layout/>
                </c:ext>
              </c:extLst>
            </c:dLbl>
            <c:dLbl>
              <c:idx val="7"/>
              <c:layout>
                <c:manualLayout>
                  <c:x val="-3.7348184374427204E-2"/>
                  <c:y val="-0.10081554238709851"/>
                </c:manualLayout>
              </c:layout>
              <c:tx>
                <c:rich>
                  <a:bodyPr/>
                  <a:lstStyle/>
                  <a:p>
                    <a:r>
                      <a:rPr lang="en-US" sz="1100" smtClean="0">
                        <a:latin typeface="Times New Roman" pitchFamily="18" charset="0"/>
                        <a:cs typeface="Times New Roman" pitchFamily="18" charset="0"/>
                      </a:rPr>
                      <a:t>6</a:t>
                    </a:r>
                    <a:r>
                      <a:rPr lang="en-US" smtClean="0"/>
                      <a:t>7.725</a:t>
                    </a:r>
                    <a:endParaRPr lang="en-US" dirty="0"/>
                  </a:p>
                </c:rich>
              </c:tx>
              <c:showVal val="1"/>
              <c:extLst xmlns:c16r2="http://schemas.microsoft.com/office/drawing/2015/06/chart">
                <c:ext xmlns:c16="http://schemas.microsoft.com/office/drawing/2014/chart" uri="{C3380CC4-5D6E-409C-BE32-E72D297353CC}">
                  <c16:uniqueId val="{00000007-0FE6-41D1-9CF5-848A573B5381}"/>
                </c:ext>
                <c:ext xmlns:c15="http://schemas.microsoft.com/office/drawing/2012/chart" uri="{CE6537A1-D6FC-4f65-9D91-7224C49458BB}">
                  <c15:layout/>
                </c:ext>
              </c:extLst>
            </c:dLbl>
            <c:dLbl>
              <c:idx val="8"/>
              <c:layout>
                <c:manualLayout>
                  <c:x val="-2.7065639230993453E-2"/>
                  <c:y val="-9.3715696880359745E-2"/>
                </c:manualLayout>
              </c:layout>
              <c:showVal val="1"/>
              <c:extLst>
                <c:ext xmlns:c15="http://schemas.microsoft.com/office/drawing/2012/chart" uri="{CE6537A1-D6FC-4f65-9D91-7224C49458BB}">
                  <c15:layout/>
                </c:ext>
              </c:extLst>
            </c:dLbl>
            <c:spPr>
              <a:noFill/>
              <a:ln>
                <a:noFill/>
              </a:ln>
              <a:effectLst/>
            </c:spPr>
            <c:txPr>
              <a:bodyPr/>
              <a:lstStyle/>
              <a:p>
                <a:pPr algn="ctr">
                  <a:defRPr lang="en-US" sz="1100" b="1" i="0" u="none" strike="noStrike" kern="1200" baseline="0">
                    <a:solidFill>
                      <a:prstClr val="black"/>
                    </a:solidFill>
                    <a:latin typeface="Times New Roman" pitchFamily="18" charset="0"/>
                    <a:ea typeface="+mn-ea"/>
                    <a:cs typeface="Times New Roman" pitchFamily="18" charset="0"/>
                  </a:defRPr>
                </a:pPr>
                <a:endParaRPr lang="ro-RO"/>
              </a:p>
            </c:txPr>
            <c:showVal val="1"/>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#,##0</c:formatCode>
                <c:ptCount val="9"/>
                <c:pt idx="0">
                  <c:v>98679</c:v>
                </c:pt>
                <c:pt idx="1">
                  <c:v>93402</c:v>
                </c:pt>
                <c:pt idx="2">
                  <c:v>89159</c:v>
                </c:pt>
                <c:pt idx="3">
                  <c:v>82817</c:v>
                </c:pt>
                <c:pt idx="4">
                  <c:v>83561</c:v>
                </c:pt>
                <c:pt idx="5">
                  <c:v>80163</c:v>
                </c:pt>
                <c:pt idx="6">
                  <c:v>73054</c:v>
                </c:pt>
                <c:pt idx="7">
                  <c:v>67725</c:v>
                </c:pt>
                <c:pt idx="8">
                  <c:v>70843</c:v>
                </c:pt>
              </c:numCache>
            </c:numRef>
          </c:val>
          <c:extLst xmlns:c16r2="http://schemas.microsoft.com/office/drawing/2015/06/chart">
            <c:ext xmlns:c16="http://schemas.microsoft.com/office/drawing/2014/chart" uri="{C3380CC4-5D6E-409C-BE32-E72D297353CC}">
              <c16:uniqueId val="{00000008-0FE6-41D1-9CF5-848A573B5381}"/>
            </c:ext>
          </c:extLst>
        </c:ser>
        <c:marker val="1"/>
        <c:axId val="57163776"/>
        <c:axId val="57165312"/>
      </c:lineChart>
      <c:catAx>
        <c:axId val="57163776"/>
        <c:scaling>
          <c:orientation val="minMax"/>
        </c:scaling>
        <c:axPos val="b"/>
        <c:numFmt formatCode="General" sourceLinked="1"/>
        <c:majorTickMark val="none"/>
        <c:tickLblPos val="nextTo"/>
        <c:txPr>
          <a:bodyPr/>
          <a:lstStyle/>
          <a:p>
            <a:pPr>
              <a:defRPr sz="1000" b="1" i="0">
                <a:latin typeface="Times New Roman" pitchFamily="18" charset="0"/>
                <a:ea typeface="Tahoma" pitchFamily="34" charset="0"/>
                <a:cs typeface="Times New Roman" pitchFamily="18" charset="0"/>
              </a:defRPr>
            </a:pPr>
            <a:endParaRPr lang="ro-RO"/>
          </a:p>
        </c:txPr>
        <c:crossAx val="57165312"/>
        <c:crosses val="autoZero"/>
        <c:auto val="1"/>
        <c:lblAlgn val="ctr"/>
        <c:lblOffset val="100"/>
      </c:catAx>
      <c:valAx>
        <c:axId val="57165312"/>
        <c:scaling>
          <c:orientation val="minMax"/>
          <c:max val="100000"/>
          <c:min val="65000"/>
        </c:scaling>
        <c:axPos val="l"/>
        <c:numFmt formatCode="#,##0" sourceLinked="1"/>
        <c:majorTickMark val="none"/>
        <c:tickLblPos val="none"/>
        <c:spPr>
          <a:ln w="9525">
            <a:noFill/>
          </a:ln>
        </c:spPr>
        <c:crossAx val="57163776"/>
        <c:crosses val="autoZero"/>
        <c:crossBetween val="between"/>
        <c:majorUnit val="20000"/>
      </c:valAx>
      <c:spPr>
        <a:noFill/>
      </c:spPr>
    </c:plotArea>
    <c:plotVisOnly val="1"/>
    <c:dispBlanksAs val="gap"/>
  </c:chart>
  <c:spPr>
    <a:noFill/>
    <a:ln>
      <a:noFill/>
    </a:ln>
  </c:spPr>
  <c:txPr>
    <a:bodyPr/>
    <a:lstStyle/>
    <a:p>
      <a:pPr>
        <a:defRPr sz="1800"/>
      </a:pPr>
      <a:endParaRPr lang="ro-RO"/>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A9D957-F453-4CF9-AF9B-6508935EE074}" type="doc">
      <dgm:prSet loTypeId="urn:microsoft.com/office/officeart/2005/8/layout/vList2" loCatId="list" qsTypeId="urn:microsoft.com/office/officeart/2005/8/quickstyle/3d2#4" qsCatId="3D" csTypeId="urn:microsoft.com/office/officeart/2005/8/colors/accent1_1" csCatId="accent1" phldr="1"/>
      <dgm:spPr/>
      <dgm:t>
        <a:bodyPr/>
        <a:lstStyle/>
        <a:p>
          <a:endParaRPr lang="en-US"/>
        </a:p>
      </dgm:t>
    </dgm:pt>
    <dgm:pt modelId="{31FDADEA-8521-49B7-9A0F-2B21BAD4E890}">
      <dgm:prSet phldrT="[Text]" custT="1"/>
      <dgm:spPr>
        <a:xfrm>
          <a:off x="0" y="81064"/>
          <a:ext cx="8762998" cy="58032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ro-RO" sz="1200" b="1" dirty="0" smtClean="0">
              <a:solidFill>
                <a:sysClr val="windowText" lastClr="000000">
                  <a:hueOff val="0"/>
                  <a:satOff val="0"/>
                  <a:lumOff val="0"/>
                  <a:alphaOff val="0"/>
                </a:sysClr>
              </a:solidFill>
              <a:latin typeface="Times New Roman" pitchFamily="18" charset="0"/>
              <a:ea typeface="+mn-ea"/>
              <a:cs typeface="Times New Roman" pitchFamily="18" charset="0"/>
            </a:rPr>
            <a:t>C</a:t>
          </a:r>
          <a:r>
            <a:rPr lang="it-IT" sz="1200" b="1" dirty="0" smtClean="0">
              <a:solidFill>
                <a:sysClr val="windowText" lastClr="000000">
                  <a:hueOff val="0"/>
                  <a:satOff val="0"/>
                  <a:lumOff val="0"/>
                  <a:alphaOff val="0"/>
                </a:sysClr>
              </a:solidFill>
              <a:latin typeface="Times New Roman" pitchFamily="18" charset="0"/>
              <a:ea typeface="+mn-ea"/>
              <a:cs typeface="Times New Roman" pitchFamily="18" charset="0"/>
            </a:rPr>
            <a:t>riminalitatea stradala scade cu </a:t>
          </a:r>
          <a:r>
            <a:rPr lang="ro-RO" sz="1200" b="1" dirty="0" smtClean="0">
              <a:solidFill>
                <a:sysClr val="windowText" lastClr="000000">
                  <a:hueOff val="0"/>
                  <a:satOff val="0"/>
                  <a:lumOff val="0"/>
                  <a:alphaOff val="0"/>
                </a:sysClr>
              </a:solidFill>
              <a:latin typeface="Times New Roman" pitchFamily="18" charset="0"/>
              <a:ea typeface="+mn-ea"/>
              <a:cs typeface="Times New Roman" pitchFamily="18" charset="0"/>
            </a:rPr>
            <a:t>10</a:t>
          </a:r>
          <a:r>
            <a:rPr lang="it-IT" sz="1200" b="1" dirty="0" smtClean="0">
              <a:solidFill>
                <a:sysClr val="windowText" lastClr="000000">
                  <a:hueOff val="0"/>
                  <a:satOff val="0"/>
                  <a:lumOff val="0"/>
                  <a:alphaOff val="0"/>
                </a:sysClr>
              </a:solidFill>
              <a:latin typeface="Times New Roman" pitchFamily="18" charset="0"/>
              <a:ea typeface="+mn-ea"/>
              <a:cs typeface="Times New Roman" pitchFamily="18" charset="0"/>
            </a:rPr>
            <a:t>%</a:t>
          </a:r>
          <a:endParaRPr lang="en-US" sz="1200" b="1"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388546F9-E907-4302-B454-C5CC004A9101}" type="parTrans" cxnId="{5628C2E9-557F-48C4-958A-DBC143EE3E8A}">
      <dgm:prSet/>
      <dgm:spPr/>
      <dgm:t>
        <a:bodyPr/>
        <a:lstStyle/>
        <a:p>
          <a:endParaRPr lang="en-US" sz="2000" b="1">
            <a:solidFill>
              <a:schemeClr val="tx1"/>
            </a:solidFill>
          </a:endParaRPr>
        </a:p>
      </dgm:t>
    </dgm:pt>
    <dgm:pt modelId="{C37B5237-743F-4409-8A44-DF810C3BC8DF}" type="sibTrans" cxnId="{5628C2E9-557F-48C4-958A-DBC143EE3E8A}">
      <dgm:prSet/>
      <dgm:spPr/>
      <dgm:t>
        <a:bodyPr/>
        <a:lstStyle/>
        <a:p>
          <a:endParaRPr lang="en-US" sz="2000" b="1">
            <a:solidFill>
              <a:schemeClr val="tx1"/>
            </a:solidFill>
          </a:endParaRPr>
        </a:p>
      </dgm:t>
    </dgm:pt>
    <dgm:pt modelId="{39D0754A-9344-4999-B0DE-2EBD6D686ADA}">
      <dgm:prSet custT="1"/>
      <dgm:spPr>
        <a:xfrm>
          <a:off x="0" y="750664"/>
          <a:ext cx="8762998" cy="58032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ro-RO" sz="1200" b="1" dirty="0" smtClean="0">
              <a:solidFill>
                <a:sysClr val="windowText" lastClr="000000">
                  <a:hueOff val="0"/>
                  <a:satOff val="0"/>
                  <a:lumOff val="0"/>
                  <a:alphaOff val="0"/>
                </a:sysClr>
              </a:solidFill>
              <a:latin typeface="Times New Roman" pitchFamily="18" charset="0"/>
              <a:ea typeface="+mn-ea"/>
              <a:cs typeface="Times New Roman" pitchFamily="18" charset="0"/>
            </a:rPr>
            <a:t>I</a:t>
          </a:r>
          <a:r>
            <a:rPr lang="it-IT" sz="1200" b="1" dirty="0" smtClean="0">
              <a:solidFill>
                <a:sysClr val="windowText" lastClr="000000">
                  <a:hueOff val="0"/>
                  <a:satOff val="0"/>
                  <a:lumOff val="0"/>
                  <a:alphaOff val="0"/>
                </a:sysClr>
              </a:solidFill>
              <a:latin typeface="Times New Roman" pitchFamily="18" charset="0"/>
              <a:ea typeface="+mn-ea"/>
              <a:cs typeface="Times New Roman" pitchFamily="18" charset="0"/>
            </a:rPr>
            <a:t>nfracțiunile contra patrimoniului</a:t>
          </a:r>
          <a:r>
            <a:rPr lang="ro-RO" sz="1200" b="1" dirty="0" smtClean="0">
              <a:solidFill>
                <a:sysClr val="windowText" lastClr="000000">
                  <a:hueOff val="0"/>
                  <a:satOff val="0"/>
                  <a:lumOff val="0"/>
                  <a:alphaOff val="0"/>
                </a:sysClr>
              </a:solidFill>
              <a:latin typeface="Times New Roman" pitchFamily="18" charset="0"/>
              <a:ea typeface="+mn-ea"/>
              <a:cs typeface="Times New Roman" pitchFamily="18" charset="0"/>
            </a:rPr>
            <a:t> </a:t>
          </a:r>
          <a:r>
            <a:rPr lang="it-IT" sz="1200" b="1" dirty="0" smtClean="0">
              <a:solidFill>
                <a:sysClr val="windowText" lastClr="000000">
                  <a:hueOff val="0"/>
                  <a:satOff val="0"/>
                  <a:lumOff val="0"/>
                  <a:alphaOff val="0"/>
                </a:sysClr>
              </a:solidFill>
              <a:latin typeface="Times New Roman" pitchFamily="18" charset="0"/>
              <a:ea typeface="+mn-ea"/>
              <a:cs typeface="Times New Roman" pitchFamily="18" charset="0"/>
            </a:rPr>
            <a:t>scad cu </a:t>
          </a:r>
          <a:r>
            <a:rPr lang="ro-RO" sz="1200" b="1" dirty="0" smtClean="0">
              <a:solidFill>
                <a:sysClr val="windowText" lastClr="000000">
                  <a:hueOff val="0"/>
                  <a:satOff val="0"/>
                  <a:lumOff val="0"/>
                  <a:alphaOff val="0"/>
                </a:sysClr>
              </a:solidFill>
              <a:latin typeface="Times New Roman" pitchFamily="18" charset="0"/>
              <a:ea typeface="+mn-ea"/>
              <a:cs typeface="Times New Roman" pitchFamily="18" charset="0"/>
            </a:rPr>
            <a:t>3</a:t>
          </a:r>
          <a:r>
            <a:rPr lang="it-IT" sz="1200" b="1" dirty="0" smtClean="0">
              <a:solidFill>
                <a:sysClr val="windowText" lastClr="000000">
                  <a:hueOff val="0"/>
                  <a:satOff val="0"/>
                  <a:lumOff val="0"/>
                  <a:alphaOff val="0"/>
                </a:sysClr>
              </a:solidFill>
              <a:latin typeface="Times New Roman" pitchFamily="18" charset="0"/>
              <a:ea typeface="+mn-ea"/>
              <a:cs typeface="Times New Roman" pitchFamily="18" charset="0"/>
            </a:rPr>
            <a:t>%</a:t>
          </a:r>
          <a:endParaRPr lang="ro-RO" sz="1200" b="1" dirty="0" smtClean="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013B1BA8-7CF7-460C-848B-6E6601017743}" type="parTrans" cxnId="{10DB467F-C033-4A00-B8F9-99EB1F94E3BE}">
      <dgm:prSet/>
      <dgm:spPr/>
      <dgm:t>
        <a:bodyPr/>
        <a:lstStyle/>
        <a:p>
          <a:endParaRPr lang="en-US" sz="2000" b="1">
            <a:solidFill>
              <a:schemeClr val="tx1"/>
            </a:solidFill>
          </a:endParaRPr>
        </a:p>
      </dgm:t>
    </dgm:pt>
    <dgm:pt modelId="{1AD23E70-EDF9-4764-BE2D-78FE28A07107}" type="sibTrans" cxnId="{10DB467F-C033-4A00-B8F9-99EB1F94E3BE}">
      <dgm:prSet/>
      <dgm:spPr/>
      <dgm:t>
        <a:bodyPr/>
        <a:lstStyle/>
        <a:p>
          <a:endParaRPr lang="en-US" sz="2000" b="1">
            <a:solidFill>
              <a:schemeClr val="tx1"/>
            </a:solidFill>
          </a:endParaRPr>
        </a:p>
      </dgm:t>
    </dgm:pt>
    <dgm:pt modelId="{97471F8B-AF15-416A-ADCD-CA9EDA36577B}">
      <dgm:prSet custT="1"/>
      <dgm:spPr>
        <a:xfrm>
          <a:off x="0" y="4098665"/>
          <a:ext cx="8762998" cy="58032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ro-RO" sz="1200" b="1" dirty="0" smtClean="0">
              <a:solidFill>
                <a:sysClr val="windowText" lastClr="000000">
                  <a:hueOff val="0"/>
                  <a:satOff val="0"/>
                  <a:lumOff val="0"/>
                  <a:alphaOff val="0"/>
                </a:sysClr>
              </a:solidFill>
              <a:latin typeface="Times New Roman" pitchFamily="18" charset="0"/>
              <a:ea typeface="+mn-ea"/>
              <a:cs typeface="Times New Roman" pitchFamily="18" charset="0"/>
            </a:rPr>
            <a:t>F</a:t>
          </a:r>
          <a:r>
            <a:rPr lang="it-IT" sz="1200" b="1" dirty="0" smtClean="0">
              <a:solidFill>
                <a:sysClr val="windowText" lastClr="000000">
                  <a:hueOff val="0"/>
                  <a:satOff val="0"/>
                  <a:lumOff val="0"/>
                  <a:alphaOff val="0"/>
                </a:sysClr>
              </a:solidFill>
              <a:latin typeface="Times New Roman" pitchFamily="18" charset="0"/>
              <a:ea typeface="+mn-ea"/>
              <a:cs typeface="Times New Roman" pitchFamily="18" charset="0"/>
            </a:rPr>
            <a:t>urturile scad cu </a:t>
          </a:r>
          <a:r>
            <a:rPr lang="ro-RO" sz="1200" b="1" dirty="0" smtClean="0">
              <a:solidFill>
                <a:sysClr val="windowText" lastClr="000000">
                  <a:hueOff val="0"/>
                  <a:satOff val="0"/>
                  <a:lumOff val="0"/>
                  <a:alphaOff val="0"/>
                </a:sysClr>
              </a:solidFill>
              <a:latin typeface="Times New Roman" pitchFamily="18" charset="0"/>
              <a:ea typeface="+mn-ea"/>
              <a:cs typeface="Times New Roman" pitchFamily="18" charset="0"/>
            </a:rPr>
            <a:t>6</a:t>
          </a:r>
          <a:r>
            <a:rPr lang="it-IT" sz="1200" b="1" dirty="0" smtClean="0">
              <a:solidFill>
                <a:sysClr val="windowText" lastClr="000000">
                  <a:hueOff val="0"/>
                  <a:satOff val="0"/>
                  <a:lumOff val="0"/>
                  <a:alphaOff val="0"/>
                </a:sysClr>
              </a:solidFill>
              <a:latin typeface="Times New Roman" pitchFamily="18" charset="0"/>
              <a:ea typeface="+mn-ea"/>
              <a:cs typeface="Times New Roman" pitchFamily="18" charset="0"/>
            </a:rPr>
            <a:t>%</a:t>
          </a:r>
          <a:endParaRPr lang="ro-RO" sz="1200" b="1" dirty="0" smtClean="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EFA77C5-BF90-429C-B7A2-52460219CE86}" type="parTrans" cxnId="{F7A1A499-6476-440B-B2A8-B29F09A417E6}">
      <dgm:prSet/>
      <dgm:spPr/>
      <dgm:t>
        <a:bodyPr/>
        <a:lstStyle/>
        <a:p>
          <a:endParaRPr lang="en-US" sz="2000" b="1">
            <a:solidFill>
              <a:schemeClr val="tx1"/>
            </a:solidFill>
          </a:endParaRPr>
        </a:p>
      </dgm:t>
    </dgm:pt>
    <dgm:pt modelId="{E8B2146C-AE1A-4549-83C5-7EA25302AD1B}" type="sibTrans" cxnId="{F7A1A499-6476-440B-B2A8-B29F09A417E6}">
      <dgm:prSet/>
      <dgm:spPr/>
      <dgm:t>
        <a:bodyPr/>
        <a:lstStyle/>
        <a:p>
          <a:endParaRPr lang="en-US" sz="2000" b="1">
            <a:solidFill>
              <a:schemeClr val="tx1"/>
            </a:solidFill>
          </a:endParaRPr>
        </a:p>
      </dgm:t>
    </dgm:pt>
    <dgm:pt modelId="{F82AD7DA-A9CB-4EB0-8C28-8A768EC8F79F}">
      <dgm:prSet custT="1"/>
      <dgm:spPr>
        <a:xfrm>
          <a:off x="0" y="4768265"/>
          <a:ext cx="8762998" cy="58032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ro-RO" sz="1200" b="1" dirty="0" smtClean="0">
              <a:solidFill>
                <a:sysClr val="windowText" lastClr="000000">
                  <a:hueOff val="0"/>
                  <a:satOff val="0"/>
                  <a:lumOff val="0"/>
                  <a:alphaOff val="0"/>
                </a:sysClr>
              </a:solidFill>
              <a:latin typeface="Times New Roman" pitchFamily="18" charset="0"/>
              <a:ea typeface="+mn-ea"/>
              <a:cs typeface="Times New Roman" pitchFamily="18" charset="0"/>
            </a:rPr>
            <a:t>Ultrajul crește </a:t>
          </a:r>
          <a:r>
            <a:rPr lang="it-IT" sz="1200" b="1" dirty="0" smtClean="0">
              <a:solidFill>
                <a:sysClr val="windowText" lastClr="000000">
                  <a:hueOff val="0"/>
                  <a:satOff val="0"/>
                  <a:lumOff val="0"/>
                  <a:alphaOff val="0"/>
                </a:sysClr>
              </a:solidFill>
              <a:latin typeface="Times New Roman" pitchFamily="18" charset="0"/>
              <a:ea typeface="+mn-ea"/>
              <a:cs typeface="Times New Roman" pitchFamily="18" charset="0"/>
            </a:rPr>
            <a:t>cu </a:t>
          </a:r>
          <a:r>
            <a:rPr lang="ro-RO" sz="1200" b="1" dirty="0" smtClean="0">
              <a:solidFill>
                <a:sysClr val="windowText" lastClr="000000">
                  <a:hueOff val="0"/>
                  <a:satOff val="0"/>
                  <a:lumOff val="0"/>
                  <a:alphaOff val="0"/>
                </a:sysClr>
              </a:solidFill>
              <a:latin typeface="Times New Roman" pitchFamily="18" charset="0"/>
              <a:ea typeface="+mn-ea"/>
              <a:cs typeface="Times New Roman" pitchFamily="18" charset="0"/>
            </a:rPr>
            <a:t>6</a:t>
          </a:r>
          <a:r>
            <a:rPr lang="it-IT" sz="1200" b="1" dirty="0" smtClean="0">
              <a:solidFill>
                <a:sysClr val="windowText" lastClr="000000">
                  <a:hueOff val="0"/>
                  <a:satOff val="0"/>
                  <a:lumOff val="0"/>
                  <a:alphaOff val="0"/>
                </a:sysClr>
              </a:solidFill>
              <a:latin typeface="Times New Roman" pitchFamily="18" charset="0"/>
              <a:ea typeface="+mn-ea"/>
              <a:cs typeface="Times New Roman" pitchFamily="18" charset="0"/>
            </a:rPr>
            <a:t>%</a:t>
          </a:r>
          <a:endParaRPr lang="ro-RO" sz="1200" b="1"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7B09791-2672-4E06-B55B-5EC58BF33993}" type="parTrans" cxnId="{B6837E4E-46BB-4209-B848-BF3962A7F227}">
      <dgm:prSet/>
      <dgm:spPr/>
      <dgm:t>
        <a:bodyPr/>
        <a:lstStyle/>
        <a:p>
          <a:endParaRPr lang="en-US" sz="2000" b="1">
            <a:solidFill>
              <a:schemeClr val="tx1"/>
            </a:solidFill>
          </a:endParaRPr>
        </a:p>
      </dgm:t>
    </dgm:pt>
    <dgm:pt modelId="{7C36E81D-68AC-41F9-89BE-31CF51CDA48B}" type="sibTrans" cxnId="{B6837E4E-46BB-4209-B848-BF3962A7F227}">
      <dgm:prSet/>
      <dgm:spPr/>
      <dgm:t>
        <a:bodyPr/>
        <a:lstStyle/>
        <a:p>
          <a:endParaRPr lang="en-US" sz="2000" b="1">
            <a:solidFill>
              <a:schemeClr val="tx1"/>
            </a:solidFill>
          </a:endParaRPr>
        </a:p>
      </dgm:t>
    </dgm:pt>
    <dgm:pt modelId="{B2E81879-B908-45C4-BE42-946337BA75EB}">
      <dgm:prSet custT="1"/>
      <dgm:spPr>
        <a:xfrm>
          <a:off x="0" y="2089864"/>
          <a:ext cx="8762998" cy="58032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ro-RO" sz="1200" b="1" dirty="0" smtClean="0">
              <a:solidFill>
                <a:sysClr val="windowText" lastClr="000000">
                  <a:hueOff val="0"/>
                  <a:satOff val="0"/>
                  <a:lumOff val="0"/>
                  <a:alphaOff val="0"/>
                </a:sysClr>
              </a:solidFill>
              <a:latin typeface="Times New Roman" pitchFamily="18" charset="0"/>
              <a:ea typeface="+mn-ea"/>
              <a:cs typeface="Times New Roman" pitchFamily="18" charset="0"/>
            </a:rPr>
            <a:t>Infracțiunile contra persoanei cresc cu 15%</a:t>
          </a:r>
        </a:p>
      </dgm:t>
    </dgm:pt>
    <dgm:pt modelId="{7E081384-96BB-4E07-A46A-299192B632E6}" type="parTrans" cxnId="{806B1884-51E4-46A3-9779-55D9B98631A0}">
      <dgm:prSet/>
      <dgm:spPr/>
      <dgm:t>
        <a:bodyPr/>
        <a:lstStyle/>
        <a:p>
          <a:endParaRPr lang="en-US"/>
        </a:p>
      </dgm:t>
    </dgm:pt>
    <dgm:pt modelId="{FC99C0A6-B854-4FC6-83E3-FD356E7C305C}" type="sibTrans" cxnId="{806B1884-51E4-46A3-9779-55D9B98631A0}">
      <dgm:prSet/>
      <dgm:spPr/>
      <dgm:t>
        <a:bodyPr/>
        <a:lstStyle/>
        <a:p>
          <a:endParaRPr lang="en-US"/>
        </a:p>
      </dgm:t>
    </dgm:pt>
    <dgm:pt modelId="{9D27A669-0DE3-4DE4-B117-BCD3BC9209F2}">
      <dgm:prSet custT="1"/>
      <dgm:spPr>
        <a:xfrm>
          <a:off x="0" y="1420264"/>
          <a:ext cx="8762998" cy="58032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ro-RO" sz="1200" b="1" dirty="0" smtClean="0">
              <a:solidFill>
                <a:sysClr val="windowText" lastClr="000000">
                  <a:hueOff val="0"/>
                  <a:satOff val="0"/>
                  <a:lumOff val="0"/>
                  <a:alphaOff val="0"/>
                </a:sysClr>
              </a:solidFill>
              <a:latin typeface="Times New Roman" pitchFamily="18" charset="0"/>
              <a:ea typeface="+mn-ea"/>
              <a:cs typeface="Times New Roman" pitchFamily="18" charset="0"/>
            </a:rPr>
            <a:t>T</a:t>
          </a:r>
          <a:r>
            <a:rPr lang="vi-VN" sz="1200" b="1" dirty="0" smtClean="0">
              <a:solidFill>
                <a:sysClr val="windowText" lastClr="000000">
                  <a:hueOff val="0"/>
                  <a:satOff val="0"/>
                  <a:lumOff val="0"/>
                  <a:alphaOff val="0"/>
                </a:sysClr>
              </a:solidFill>
              <a:latin typeface="Times New Roman" pitchFamily="18" charset="0"/>
              <a:ea typeface="+mn-ea"/>
              <a:cs typeface="Times New Roman" pitchFamily="18" charset="0"/>
            </a:rPr>
            <a:t>âlhăriile scad cu </a:t>
          </a:r>
          <a:r>
            <a:rPr lang="ro-RO" sz="1200" b="1" dirty="0" smtClean="0">
              <a:solidFill>
                <a:sysClr val="windowText" lastClr="000000">
                  <a:hueOff val="0"/>
                  <a:satOff val="0"/>
                  <a:lumOff val="0"/>
                  <a:alphaOff val="0"/>
                </a:sysClr>
              </a:solidFill>
              <a:latin typeface="Times New Roman" pitchFamily="18" charset="0"/>
              <a:ea typeface="+mn-ea"/>
              <a:cs typeface="Times New Roman" pitchFamily="18" charset="0"/>
            </a:rPr>
            <a:t>7</a:t>
          </a:r>
          <a:r>
            <a:rPr lang="vi-VN" sz="1200" b="1" dirty="0" smtClean="0">
              <a:solidFill>
                <a:sysClr val="windowText" lastClr="000000">
                  <a:hueOff val="0"/>
                  <a:satOff val="0"/>
                  <a:lumOff val="0"/>
                  <a:alphaOff val="0"/>
                </a:sysClr>
              </a:solidFill>
              <a:latin typeface="Times New Roman" pitchFamily="18" charset="0"/>
              <a:ea typeface="+mn-ea"/>
              <a:cs typeface="Times New Roman" pitchFamily="18" charset="0"/>
            </a:rPr>
            <a:t>%</a:t>
          </a:r>
          <a:endParaRPr lang="ro-RO" sz="1200" b="1" dirty="0" smtClean="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D91BADE-E6B0-4A8B-8AB7-84F23EB96BD8}" type="parTrans" cxnId="{C4F79A08-CAFB-42C9-86EA-752AFEBF0C1B}">
      <dgm:prSet/>
      <dgm:spPr/>
      <dgm:t>
        <a:bodyPr/>
        <a:lstStyle/>
        <a:p>
          <a:endParaRPr lang="ro-RO"/>
        </a:p>
      </dgm:t>
    </dgm:pt>
    <dgm:pt modelId="{02957740-0D00-4F83-89B2-182E2124D21F}" type="sibTrans" cxnId="{C4F79A08-CAFB-42C9-86EA-752AFEBF0C1B}">
      <dgm:prSet/>
      <dgm:spPr/>
      <dgm:t>
        <a:bodyPr/>
        <a:lstStyle/>
        <a:p>
          <a:endParaRPr lang="ro-RO"/>
        </a:p>
      </dgm:t>
    </dgm:pt>
    <dgm:pt modelId="{D25B4F68-9E05-4818-8D09-2119512D1084}">
      <dgm:prSet custT="1"/>
      <dgm:spPr>
        <a:xfrm>
          <a:off x="0" y="2759464"/>
          <a:ext cx="8762998" cy="58032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ro-RO" sz="1200" b="1" dirty="0" smtClean="0">
              <a:solidFill>
                <a:sysClr val="windowText" lastClr="000000">
                  <a:hueOff val="0"/>
                  <a:satOff val="0"/>
                  <a:lumOff val="0"/>
                  <a:alphaOff val="0"/>
                </a:sysClr>
              </a:solidFill>
              <a:latin typeface="Times New Roman" pitchFamily="18" charset="0"/>
              <a:ea typeface="+mn-ea"/>
              <a:cs typeface="Times New Roman" pitchFamily="18" charset="0"/>
            </a:rPr>
            <a:t>Omorurile scad cu 15%</a:t>
          </a:r>
        </a:p>
      </dgm:t>
    </dgm:pt>
    <dgm:pt modelId="{4B1E0BCF-EEB8-414F-96CB-7D68AE3E267B}" type="parTrans" cxnId="{8D964CCC-EFF9-407D-BB41-096151424C33}">
      <dgm:prSet/>
      <dgm:spPr/>
      <dgm:t>
        <a:bodyPr/>
        <a:lstStyle/>
        <a:p>
          <a:endParaRPr lang="ro-RO"/>
        </a:p>
      </dgm:t>
    </dgm:pt>
    <dgm:pt modelId="{63C142F4-BC95-4CBF-8976-853AAFCEBCCC}" type="sibTrans" cxnId="{8D964CCC-EFF9-407D-BB41-096151424C33}">
      <dgm:prSet/>
      <dgm:spPr/>
      <dgm:t>
        <a:bodyPr/>
        <a:lstStyle/>
        <a:p>
          <a:endParaRPr lang="ro-RO"/>
        </a:p>
      </dgm:t>
    </dgm:pt>
    <dgm:pt modelId="{159D3205-AE92-4C72-885D-0A336498AA3D}">
      <dgm:prSet custT="1"/>
      <dgm:spPr>
        <a:xfrm>
          <a:off x="0" y="3429065"/>
          <a:ext cx="8762998" cy="58032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ro-RO" sz="1200" b="1" dirty="0" smtClean="0">
              <a:solidFill>
                <a:sysClr val="windowText" lastClr="000000">
                  <a:hueOff val="0"/>
                  <a:satOff val="0"/>
                  <a:lumOff val="0"/>
                  <a:alphaOff val="0"/>
                </a:sysClr>
              </a:solidFill>
              <a:latin typeface="Times New Roman" pitchFamily="18" charset="0"/>
              <a:ea typeface="+mn-ea"/>
              <a:cs typeface="Times New Roman" pitchFamily="18" charset="0"/>
            </a:rPr>
            <a:t>Lovirile sau alte violențe cresc cu 13%</a:t>
          </a:r>
        </a:p>
      </dgm:t>
    </dgm:pt>
    <dgm:pt modelId="{772A841E-BDFD-4945-BF47-B0E29CCCFB58}" type="parTrans" cxnId="{E1DB0FB5-3479-4887-B2D2-25883E9DE79F}">
      <dgm:prSet/>
      <dgm:spPr/>
      <dgm:t>
        <a:bodyPr/>
        <a:lstStyle/>
        <a:p>
          <a:endParaRPr lang="ro-RO"/>
        </a:p>
      </dgm:t>
    </dgm:pt>
    <dgm:pt modelId="{D7E6133E-E9C7-477D-B7F3-E9ABD8D5ED79}" type="sibTrans" cxnId="{E1DB0FB5-3479-4887-B2D2-25883E9DE79F}">
      <dgm:prSet/>
      <dgm:spPr/>
      <dgm:t>
        <a:bodyPr/>
        <a:lstStyle/>
        <a:p>
          <a:endParaRPr lang="ro-RO"/>
        </a:p>
      </dgm:t>
    </dgm:pt>
    <dgm:pt modelId="{7780FC75-9210-4204-BBD2-AC6B5EBEFD9B}" type="pres">
      <dgm:prSet presAssocID="{49A9D957-F453-4CF9-AF9B-6508935EE074}" presName="linear" presStyleCnt="0">
        <dgm:presLayoutVars>
          <dgm:animLvl val="lvl"/>
          <dgm:resizeHandles val="exact"/>
        </dgm:presLayoutVars>
      </dgm:prSet>
      <dgm:spPr/>
      <dgm:t>
        <a:bodyPr/>
        <a:lstStyle/>
        <a:p>
          <a:endParaRPr lang="en-US"/>
        </a:p>
      </dgm:t>
    </dgm:pt>
    <dgm:pt modelId="{221FB91E-904E-4895-BD3B-B5BE0F8AADCF}" type="pres">
      <dgm:prSet presAssocID="{31FDADEA-8521-49B7-9A0F-2B21BAD4E890}" presName="parentText" presStyleLbl="node1" presStyleIdx="0" presStyleCnt="8">
        <dgm:presLayoutVars>
          <dgm:chMax val="0"/>
          <dgm:bulletEnabled val="1"/>
        </dgm:presLayoutVars>
      </dgm:prSet>
      <dgm:spPr>
        <a:prstGeom prst="roundRect">
          <a:avLst/>
        </a:prstGeom>
      </dgm:spPr>
      <dgm:t>
        <a:bodyPr/>
        <a:lstStyle/>
        <a:p>
          <a:endParaRPr lang="en-US"/>
        </a:p>
      </dgm:t>
    </dgm:pt>
    <dgm:pt modelId="{A8AC3EA6-1204-4994-BBF6-F7344D59079C}" type="pres">
      <dgm:prSet presAssocID="{C37B5237-743F-4409-8A44-DF810C3BC8DF}" presName="spacer" presStyleCnt="0"/>
      <dgm:spPr/>
      <dgm:t>
        <a:bodyPr/>
        <a:lstStyle/>
        <a:p>
          <a:endParaRPr lang="en-US"/>
        </a:p>
      </dgm:t>
    </dgm:pt>
    <dgm:pt modelId="{EB78D88D-3E17-4EBA-B6BF-BFE9EAC1EDDF}" type="pres">
      <dgm:prSet presAssocID="{39D0754A-9344-4999-B0DE-2EBD6D686ADA}" presName="parentText" presStyleLbl="node1" presStyleIdx="1" presStyleCnt="8">
        <dgm:presLayoutVars>
          <dgm:chMax val="0"/>
          <dgm:bulletEnabled val="1"/>
        </dgm:presLayoutVars>
      </dgm:prSet>
      <dgm:spPr>
        <a:prstGeom prst="roundRect">
          <a:avLst/>
        </a:prstGeom>
      </dgm:spPr>
      <dgm:t>
        <a:bodyPr/>
        <a:lstStyle/>
        <a:p>
          <a:endParaRPr lang="en-US"/>
        </a:p>
      </dgm:t>
    </dgm:pt>
    <dgm:pt modelId="{6D24E5BF-468E-46CA-A12C-26FA50760242}" type="pres">
      <dgm:prSet presAssocID="{1AD23E70-EDF9-4764-BE2D-78FE28A07107}" presName="spacer" presStyleCnt="0"/>
      <dgm:spPr/>
      <dgm:t>
        <a:bodyPr/>
        <a:lstStyle/>
        <a:p>
          <a:endParaRPr lang="en-US"/>
        </a:p>
      </dgm:t>
    </dgm:pt>
    <dgm:pt modelId="{6EB89B03-2208-4F95-8E3B-2421E4A1CAFC}" type="pres">
      <dgm:prSet presAssocID="{9D27A669-0DE3-4DE4-B117-BCD3BC9209F2}" presName="parentText" presStyleLbl="node1" presStyleIdx="2" presStyleCnt="8">
        <dgm:presLayoutVars>
          <dgm:chMax val="0"/>
          <dgm:bulletEnabled val="1"/>
        </dgm:presLayoutVars>
      </dgm:prSet>
      <dgm:spPr>
        <a:prstGeom prst="roundRect">
          <a:avLst/>
        </a:prstGeom>
      </dgm:spPr>
      <dgm:t>
        <a:bodyPr/>
        <a:lstStyle/>
        <a:p>
          <a:endParaRPr lang="ro-RO"/>
        </a:p>
      </dgm:t>
    </dgm:pt>
    <dgm:pt modelId="{F14244EF-8A31-43F6-AD36-3FE783E7EFB4}" type="pres">
      <dgm:prSet presAssocID="{02957740-0D00-4F83-89B2-182E2124D21F}" presName="spacer" presStyleCnt="0"/>
      <dgm:spPr/>
    </dgm:pt>
    <dgm:pt modelId="{077284DA-5992-4A49-A79D-1B227E138033}" type="pres">
      <dgm:prSet presAssocID="{B2E81879-B908-45C4-BE42-946337BA75EB}" presName="parentText" presStyleLbl="node1" presStyleIdx="3" presStyleCnt="8">
        <dgm:presLayoutVars>
          <dgm:chMax val="0"/>
          <dgm:bulletEnabled val="1"/>
        </dgm:presLayoutVars>
      </dgm:prSet>
      <dgm:spPr>
        <a:prstGeom prst="roundRect">
          <a:avLst/>
        </a:prstGeom>
      </dgm:spPr>
      <dgm:t>
        <a:bodyPr/>
        <a:lstStyle/>
        <a:p>
          <a:endParaRPr lang="en-US"/>
        </a:p>
      </dgm:t>
    </dgm:pt>
    <dgm:pt modelId="{1B3B24FA-8F31-4621-90AE-5AF6099FD1F9}" type="pres">
      <dgm:prSet presAssocID="{FC99C0A6-B854-4FC6-83E3-FD356E7C305C}" presName="spacer" presStyleCnt="0"/>
      <dgm:spPr/>
    </dgm:pt>
    <dgm:pt modelId="{C884D391-F011-4BDB-A694-6561AA9A252C}" type="pres">
      <dgm:prSet presAssocID="{D25B4F68-9E05-4818-8D09-2119512D1084}" presName="parentText" presStyleLbl="node1" presStyleIdx="4" presStyleCnt="8">
        <dgm:presLayoutVars>
          <dgm:chMax val="0"/>
          <dgm:bulletEnabled val="1"/>
        </dgm:presLayoutVars>
      </dgm:prSet>
      <dgm:spPr>
        <a:prstGeom prst="roundRect">
          <a:avLst/>
        </a:prstGeom>
      </dgm:spPr>
      <dgm:t>
        <a:bodyPr/>
        <a:lstStyle/>
        <a:p>
          <a:endParaRPr lang="ro-RO"/>
        </a:p>
      </dgm:t>
    </dgm:pt>
    <dgm:pt modelId="{E3648279-8436-49ED-B266-46183E8CCDFC}" type="pres">
      <dgm:prSet presAssocID="{63C142F4-BC95-4CBF-8976-853AAFCEBCCC}" presName="spacer" presStyleCnt="0"/>
      <dgm:spPr/>
    </dgm:pt>
    <dgm:pt modelId="{087FB147-964C-41F0-9E03-E0179956DB60}" type="pres">
      <dgm:prSet presAssocID="{159D3205-AE92-4C72-885D-0A336498AA3D}" presName="parentText" presStyleLbl="node1" presStyleIdx="5" presStyleCnt="8">
        <dgm:presLayoutVars>
          <dgm:chMax val="0"/>
          <dgm:bulletEnabled val="1"/>
        </dgm:presLayoutVars>
      </dgm:prSet>
      <dgm:spPr>
        <a:prstGeom prst="roundRect">
          <a:avLst/>
        </a:prstGeom>
      </dgm:spPr>
      <dgm:t>
        <a:bodyPr/>
        <a:lstStyle/>
        <a:p>
          <a:endParaRPr lang="ro-RO"/>
        </a:p>
      </dgm:t>
    </dgm:pt>
    <dgm:pt modelId="{FCD8D40A-B7D5-4E9A-9E93-B22D3B33E6F2}" type="pres">
      <dgm:prSet presAssocID="{D7E6133E-E9C7-477D-B7F3-E9ABD8D5ED79}" presName="spacer" presStyleCnt="0"/>
      <dgm:spPr/>
    </dgm:pt>
    <dgm:pt modelId="{54D51786-E815-40F4-84B7-F9872B137316}" type="pres">
      <dgm:prSet presAssocID="{97471F8B-AF15-416A-ADCD-CA9EDA36577B}" presName="parentText" presStyleLbl="node1" presStyleIdx="6" presStyleCnt="8">
        <dgm:presLayoutVars>
          <dgm:chMax val="0"/>
          <dgm:bulletEnabled val="1"/>
        </dgm:presLayoutVars>
      </dgm:prSet>
      <dgm:spPr>
        <a:prstGeom prst="roundRect">
          <a:avLst/>
        </a:prstGeom>
      </dgm:spPr>
      <dgm:t>
        <a:bodyPr/>
        <a:lstStyle/>
        <a:p>
          <a:endParaRPr lang="en-US"/>
        </a:p>
      </dgm:t>
    </dgm:pt>
    <dgm:pt modelId="{3B4C5502-31AF-4ED4-A038-80491CF5E48B}" type="pres">
      <dgm:prSet presAssocID="{E8B2146C-AE1A-4549-83C5-7EA25302AD1B}" presName="spacer" presStyleCnt="0"/>
      <dgm:spPr/>
      <dgm:t>
        <a:bodyPr/>
        <a:lstStyle/>
        <a:p>
          <a:endParaRPr lang="en-US"/>
        </a:p>
      </dgm:t>
    </dgm:pt>
    <dgm:pt modelId="{344D440D-873B-4647-B24E-13067E99285C}" type="pres">
      <dgm:prSet presAssocID="{F82AD7DA-A9CB-4EB0-8C28-8A768EC8F79F}" presName="parentText" presStyleLbl="node1" presStyleIdx="7" presStyleCnt="8">
        <dgm:presLayoutVars>
          <dgm:chMax val="0"/>
          <dgm:bulletEnabled val="1"/>
        </dgm:presLayoutVars>
      </dgm:prSet>
      <dgm:spPr>
        <a:prstGeom prst="roundRect">
          <a:avLst/>
        </a:prstGeom>
      </dgm:spPr>
      <dgm:t>
        <a:bodyPr/>
        <a:lstStyle/>
        <a:p>
          <a:endParaRPr lang="en-US"/>
        </a:p>
      </dgm:t>
    </dgm:pt>
  </dgm:ptLst>
  <dgm:cxnLst>
    <dgm:cxn modelId="{806B1884-51E4-46A3-9779-55D9B98631A0}" srcId="{49A9D957-F453-4CF9-AF9B-6508935EE074}" destId="{B2E81879-B908-45C4-BE42-946337BA75EB}" srcOrd="3" destOrd="0" parTransId="{7E081384-96BB-4E07-A46A-299192B632E6}" sibTransId="{FC99C0A6-B854-4FC6-83E3-FD356E7C305C}"/>
    <dgm:cxn modelId="{E1DB0FB5-3479-4887-B2D2-25883E9DE79F}" srcId="{49A9D957-F453-4CF9-AF9B-6508935EE074}" destId="{159D3205-AE92-4C72-885D-0A336498AA3D}" srcOrd="5" destOrd="0" parTransId="{772A841E-BDFD-4945-BF47-B0E29CCCFB58}" sibTransId="{D7E6133E-E9C7-477D-B7F3-E9ABD8D5ED79}"/>
    <dgm:cxn modelId="{5628C2E9-557F-48C4-958A-DBC143EE3E8A}" srcId="{49A9D957-F453-4CF9-AF9B-6508935EE074}" destId="{31FDADEA-8521-49B7-9A0F-2B21BAD4E890}" srcOrd="0" destOrd="0" parTransId="{388546F9-E907-4302-B454-C5CC004A9101}" sibTransId="{C37B5237-743F-4409-8A44-DF810C3BC8DF}"/>
    <dgm:cxn modelId="{B6837E4E-46BB-4209-B848-BF3962A7F227}" srcId="{49A9D957-F453-4CF9-AF9B-6508935EE074}" destId="{F82AD7DA-A9CB-4EB0-8C28-8A768EC8F79F}" srcOrd="7" destOrd="0" parTransId="{57B09791-2672-4E06-B55B-5EC58BF33993}" sibTransId="{7C36E81D-68AC-41F9-89BE-31CF51CDA48B}"/>
    <dgm:cxn modelId="{9245FB6F-AD52-4932-964E-FF74E17C5E7E}" type="presOf" srcId="{49A9D957-F453-4CF9-AF9B-6508935EE074}" destId="{7780FC75-9210-4204-BBD2-AC6B5EBEFD9B}" srcOrd="0" destOrd="0" presId="urn:microsoft.com/office/officeart/2005/8/layout/vList2"/>
    <dgm:cxn modelId="{8D964CCC-EFF9-407D-BB41-096151424C33}" srcId="{49A9D957-F453-4CF9-AF9B-6508935EE074}" destId="{D25B4F68-9E05-4818-8D09-2119512D1084}" srcOrd="4" destOrd="0" parTransId="{4B1E0BCF-EEB8-414F-96CB-7D68AE3E267B}" sibTransId="{63C142F4-BC95-4CBF-8976-853AAFCEBCCC}"/>
    <dgm:cxn modelId="{E61FA9C7-A86A-4255-9539-7AE7181877C3}" type="presOf" srcId="{31FDADEA-8521-49B7-9A0F-2B21BAD4E890}" destId="{221FB91E-904E-4895-BD3B-B5BE0F8AADCF}" srcOrd="0" destOrd="0" presId="urn:microsoft.com/office/officeart/2005/8/layout/vList2"/>
    <dgm:cxn modelId="{3D7D6CDF-0F0A-4804-8F4B-307795895D8A}" type="presOf" srcId="{97471F8B-AF15-416A-ADCD-CA9EDA36577B}" destId="{54D51786-E815-40F4-84B7-F9872B137316}" srcOrd="0" destOrd="0" presId="urn:microsoft.com/office/officeart/2005/8/layout/vList2"/>
    <dgm:cxn modelId="{C2EFD5F3-5663-4251-884A-4244A3C7AD62}" type="presOf" srcId="{D25B4F68-9E05-4818-8D09-2119512D1084}" destId="{C884D391-F011-4BDB-A694-6561AA9A252C}" srcOrd="0" destOrd="0" presId="urn:microsoft.com/office/officeart/2005/8/layout/vList2"/>
    <dgm:cxn modelId="{10DB467F-C033-4A00-B8F9-99EB1F94E3BE}" srcId="{49A9D957-F453-4CF9-AF9B-6508935EE074}" destId="{39D0754A-9344-4999-B0DE-2EBD6D686ADA}" srcOrd="1" destOrd="0" parTransId="{013B1BA8-7CF7-460C-848B-6E6601017743}" sibTransId="{1AD23E70-EDF9-4764-BE2D-78FE28A07107}"/>
    <dgm:cxn modelId="{C4F79A08-CAFB-42C9-86EA-752AFEBF0C1B}" srcId="{49A9D957-F453-4CF9-AF9B-6508935EE074}" destId="{9D27A669-0DE3-4DE4-B117-BCD3BC9209F2}" srcOrd="2" destOrd="0" parTransId="{1D91BADE-E6B0-4A8B-8AB7-84F23EB96BD8}" sibTransId="{02957740-0D00-4F83-89B2-182E2124D21F}"/>
    <dgm:cxn modelId="{11D8556A-8FEE-478F-909C-34DA9EBE1AE5}" type="presOf" srcId="{B2E81879-B908-45C4-BE42-946337BA75EB}" destId="{077284DA-5992-4A49-A79D-1B227E138033}" srcOrd="0" destOrd="0" presId="urn:microsoft.com/office/officeart/2005/8/layout/vList2"/>
    <dgm:cxn modelId="{F7A1A499-6476-440B-B2A8-B29F09A417E6}" srcId="{49A9D957-F453-4CF9-AF9B-6508935EE074}" destId="{97471F8B-AF15-416A-ADCD-CA9EDA36577B}" srcOrd="6" destOrd="0" parTransId="{5EFA77C5-BF90-429C-B7A2-52460219CE86}" sibTransId="{E8B2146C-AE1A-4549-83C5-7EA25302AD1B}"/>
    <dgm:cxn modelId="{FF8F61CB-B69F-459B-B486-F2CE692BD510}" type="presOf" srcId="{F82AD7DA-A9CB-4EB0-8C28-8A768EC8F79F}" destId="{344D440D-873B-4647-B24E-13067E99285C}" srcOrd="0" destOrd="0" presId="urn:microsoft.com/office/officeart/2005/8/layout/vList2"/>
    <dgm:cxn modelId="{98971D33-C0F2-4692-B71E-9A4261F89B56}" type="presOf" srcId="{9D27A669-0DE3-4DE4-B117-BCD3BC9209F2}" destId="{6EB89B03-2208-4F95-8E3B-2421E4A1CAFC}" srcOrd="0" destOrd="0" presId="urn:microsoft.com/office/officeart/2005/8/layout/vList2"/>
    <dgm:cxn modelId="{DA8333A0-28B6-43BE-8C75-3DC64A114A30}" type="presOf" srcId="{159D3205-AE92-4C72-885D-0A336498AA3D}" destId="{087FB147-964C-41F0-9E03-E0179956DB60}" srcOrd="0" destOrd="0" presId="urn:microsoft.com/office/officeart/2005/8/layout/vList2"/>
    <dgm:cxn modelId="{CD7EE6E3-3BA5-47EA-9F59-491ECA8EC4E0}" type="presOf" srcId="{39D0754A-9344-4999-B0DE-2EBD6D686ADA}" destId="{EB78D88D-3E17-4EBA-B6BF-BFE9EAC1EDDF}" srcOrd="0" destOrd="0" presId="urn:microsoft.com/office/officeart/2005/8/layout/vList2"/>
    <dgm:cxn modelId="{E2E700FF-0F4C-4F1B-B04F-7390F9AAE47F}" type="presParOf" srcId="{7780FC75-9210-4204-BBD2-AC6B5EBEFD9B}" destId="{221FB91E-904E-4895-BD3B-B5BE0F8AADCF}" srcOrd="0" destOrd="0" presId="urn:microsoft.com/office/officeart/2005/8/layout/vList2"/>
    <dgm:cxn modelId="{D03BCA55-5979-4644-B915-3C9D5C3B3C4A}" type="presParOf" srcId="{7780FC75-9210-4204-BBD2-AC6B5EBEFD9B}" destId="{A8AC3EA6-1204-4994-BBF6-F7344D59079C}" srcOrd="1" destOrd="0" presId="urn:microsoft.com/office/officeart/2005/8/layout/vList2"/>
    <dgm:cxn modelId="{5889430A-5CA6-4923-8FD3-EBB0956696A5}" type="presParOf" srcId="{7780FC75-9210-4204-BBD2-AC6B5EBEFD9B}" destId="{EB78D88D-3E17-4EBA-B6BF-BFE9EAC1EDDF}" srcOrd="2" destOrd="0" presId="urn:microsoft.com/office/officeart/2005/8/layout/vList2"/>
    <dgm:cxn modelId="{00B0CD97-A6D5-45F7-B171-3352E27E6886}" type="presParOf" srcId="{7780FC75-9210-4204-BBD2-AC6B5EBEFD9B}" destId="{6D24E5BF-468E-46CA-A12C-26FA50760242}" srcOrd="3" destOrd="0" presId="urn:microsoft.com/office/officeart/2005/8/layout/vList2"/>
    <dgm:cxn modelId="{3FE7598C-6557-4200-B634-519B8FD2E7B8}" type="presParOf" srcId="{7780FC75-9210-4204-BBD2-AC6B5EBEFD9B}" destId="{6EB89B03-2208-4F95-8E3B-2421E4A1CAFC}" srcOrd="4" destOrd="0" presId="urn:microsoft.com/office/officeart/2005/8/layout/vList2"/>
    <dgm:cxn modelId="{6A0BB8DA-F951-4433-8DDE-195E586D74DD}" type="presParOf" srcId="{7780FC75-9210-4204-BBD2-AC6B5EBEFD9B}" destId="{F14244EF-8A31-43F6-AD36-3FE783E7EFB4}" srcOrd="5" destOrd="0" presId="urn:microsoft.com/office/officeart/2005/8/layout/vList2"/>
    <dgm:cxn modelId="{1176C94D-6E12-42CA-8661-F8231FE2032C}" type="presParOf" srcId="{7780FC75-9210-4204-BBD2-AC6B5EBEFD9B}" destId="{077284DA-5992-4A49-A79D-1B227E138033}" srcOrd="6" destOrd="0" presId="urn:microsoft.com/office/officeart/2005/8/layout/vList2"/>
    <dgm:cxn modelId="{E938B8C4-2070-45F3-B6D6-F9F5C9D92636}" type="presParOf" srcId="{7780FC75-9210-4204-BBD2-AC6B5EBEFD9B}" destId="{1B3B24FA-8F31-4621-90AE-5AF6099FD1F9}" srcOrd="7" destOrd="0" presId="urn:microsoft.com/office/officeart/2005/8/layout/vList2"/>
    <dgm:cxn modelId="{9D0F1F79-B0C3-4693-92C3-B1FF8719DA00}" type="presParOf" srcId="{7780FC75-9210-4204-BBD2-AC6B5EBEFD9B}" destId="{C884D391-F011-4BDB-A694-6561AA9A252C}" srcOrd="8" destOrd="0" presId="urn:microsoft.com/office/officeart/2005/8/layout/vList2"/>
    <dgm:cxn modelId="{31E652F3-5C01-41FA-B93B-BCABCF3FE0E5}" type="presParOf" srcId="{7780FC75-9210-4204-BBD2-AC6B5EBEFD9B}" destId="{E3648279-8436-49ED-B266-46183E8CCDFC}" srcOrd="9" destOrd="0" presId="urn:microsoft.com/office/officeart/2005/8/layout/vList2"/>
    <dgm:cxn modelId="{CDB16E6F-00E4-441C-9B0D-7DE49B58A28B}" type="presParOf" srcId="{7780FC75-9210-4204-BBD2-AC6B5EBEFD9B}" destId="{087FB147-964C-41F0-9E03-E0179956DB60}" srcOrd="10" destOrd="0" presId="urn:microsoft.com/office/officeart/2005/8/layout/vList2"/>
    <dgm:cxn modelId="{1FCF6696-D579-426F-9FE6-6E73C34D0CC9}" type="presParOf" srcId="{7780FC75-9210-4204-BBD2-AC6B5EBEFD9B}" destId="{FCD8D40A-B7D5-4E9A-9E93-B22D3B33E6F2}" srcOrd="11" destOrd="0" presId="urn:microsoft.com/office/officeart/2005/8/layout/vList2"/>
    <dgm:cxn modelId="{C19B2783-D505-419B-8DCF-84D845F4D492}" type="presParOf" srcId="{7780FC75-9210-4204-BBD2-AC6B5EBEFD9B}" destId="{54D51786-E815-40F4-84B7-F9872B137316}" srcOrd="12" destOrd="0" presId="urn:microsoft.com/office/officeart/2005/8/layout/vList2"/>
    <dgm:cxn modelId="{079E6827-4005-44FC-86AC-3899548FD2C6}" type="presParOf" srcId="{7780FC75-9210-4204-BBD2-AC6B5EBEFD9B}" destId="{3B4C5502-31AF-4ED4-A038-80491CF5E48B}" srcOrd="13" destOrd="0" presId="urn:microsoft.com/office/officeart/2005/8/layout/vList2"/>
    <dgm:cxn modelId="{04FBA39D-8B4A-409E-BD7A-1E9678862100}" type="presParOf" srcId="{7780FC75-9210-4204-BBD2-AC6B5EBEFD9B}" destId="{344D440D-873B-4647-B24E-13067E99285C}" srcOrd="14" destOrd="0" presId="urn:microsoft.com/office/officeart/2005/8/layout/vList2"/>
  </dgm:cxnLst>
  <dgm:bg/>
  <dgm:whole/>
  <dgm:extLst>
    <a:ext uri="http://schemas.microsoft.com/office/drawing/2008/diagram">
      <dsp:dataModelExt xmlns:dsp="http://schemas.microsoft.com/office/drawing/2008/diagram" xmlns="" relId="rId3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21FB91E-904E-4895-BD3B-B5BE0F8AADCF}">
      <dsp:nvSpPr>
        <dsp:cNvPr id="0" name=""/>
        <dsp:cNvSpPr/>
      </dsp:nvSpPr>
      <dsp:spPr>
        <a:xfrm>
          <a:off x="0" y="65"/>
          <a:ext cx="6305550" cy="264346"/>
        </a:xfrm>
        <a:prstGeom prst="round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o-RO"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C</a:t>
          </a:r>
          <a:r>
            <a:rPr lang="it-IT"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riminalitatea stradala scade cu </a:t>
          </a:r>
          <a:r>
            <a:rPr lang="ro-RO"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10</a:t>
          </a:r>
          <a:r>
            <a:rPr lang="it-IT"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a:t>
          </a:r>
          <a:endParaRPr lang="en-US" sz="1200" b="1"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65"/>
        <a:ext cx="6305550" cy="264346"/>
      </dsp:txXfrm>
    </dsp:sp>
    <dsp:sp modelId="{EB78D88D-3E17-4EBA-B6BF-BFE9EAC1EDDF}">
      <dsp:nvSpPr>
        <dsp:cNvPr id="0" name=""/>
        <dsp:cNvSpPr/>
      </dsp:nvSpPr>
      <dsp:spPr>
        <a:xfrm>
          <a:off x="0" y="277968"/>
          <a:ext cx="6305550" cy="264346"/>
        </a:xfrm>
        <a:prstGeom prst="round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o-RO"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I</a:t>
          </a:r>
          <a:r>
            <a:rPr lang="it-IT"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nfracțiunile contra patrimoniului</a:t>
          </a:r>
          <a:r>
            <a:rPr lang="ro-RO"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 </a:t>
          </a:r>
          <a:r>
            <a:rPr lang="it-IT"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scad cu </a:t>
          </a:r>
          <a:r>
            <a:rPr lang="ro-RO"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3</a:t>
          </a:r>
          <a:r>
            <a:rPr lang="it-IT"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a:t>
          </a:r>
          <a:endParaRPr lang="ro-RO"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277968"/>
        <a:ext cx="6305550" cy="264346"/>
      </dsp:txXfrm>
    </dsp:sp>
    <dsp:sp modelId="{6EB89B03-2208-4F95-8E3B-2421E4A1CAFC}">
      <dsp:nvSpPr>
        <dsp:cNvPr id="0" name=""/>
        <dsp:cNvSpPr/>
      </dsp:nvSpPr>
      <dsp:spPr>
        <a:xfrm>
          <a:off x="0" y="555871"/>
          <a:ext cx="6305550" cy="264346"/>
        </a:xfrm>
        <a:prstGeom prst="round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o-RO"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T</a:t>
          </a:r>
          <a:r>
            <a:rPr lang="vi-VN"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âlhăriile scad cu </a:t>
          </a:r>
          <a:r>
            <a:rPr lang="ro-RO"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7</a:t>
          </a:r>
          <a:r>
            <a:rPr lang="vi-VN"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a:t>
          </a:r>
          <a:endParaRPr lang="ro-RO"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555871"/>
        <a:ext cx="6305550" cy="264346"/>
      </dsp:txXfrm>
    </dsp:sp>
    <dsp:sp modelId="{077284DA-5992-4A49-A79D-1B227E138033}">
      <dsp:nvSpPr>
        <dsp:cNvPr id="0" name=""/>
        <dsp:cNvSpPr/>
      </dsp:nvSpPr>
      <dsp:spPr>
        <a:xfrm>
          <a:off x="0" y="833774"/>
          <a:ext cx="6305550" cy="264346"/>
        </a:xfrm>
        <a:prstGeom prst="round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o-RO"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Infracțiunile contra persoanei cresc cu 15%</a:t>
          </a:r>
        </a:p>
      </dsp:txBody>
      <dsp:txXfrm>
        <a:off x="0" y="833774"/>
        <a:ext cx="6305550" cy="264346"/>
      </dsp:txXfrm>
    </dsp:sp>
    <dsp:sp modelId="{C884D391-F011-4BDB-A694-6561AA9A252C}">
      <dsp:nvSpPr>
        <dsp:cNvPr id="0" name=""/>
        <dsp:cNvSpPr/>
      </dsp:nvSpPr>
      <dsp:spPr>
        <a:xfrm>
          <a:off x="0" y="1111678"/>
          <a:ext cx="6305550" cy="264346"/>
        </a:xfrm>
        <a:prstGeom prst="round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o-RO"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Omorurile scad cu 15%</a:t>
          </a:r>
        </a:p>
      </dsp:txBody>
      <dsp:txXfrm>
        <a:off x="0" y="1111678"/>
        <a:ext cx="6305550" cy="264346"/>
      </dsp:txXfrm>
    </dsp:sp>
    <dsp:sp modelId="{087FB147-964C-41F0-9E03-E0179956DB60}">
      <dsp:nvSpPr>
        <dsp:cNvPr id="0" name=""/>
        <dsp:cNvSpPr/>
      </dsp:nvSpPr>
      <dsp:spPr>
        <a:xfrm>
          <a:off x="0" y="1389581"/>
          <a:ext cx="6305550" cy="264346"/>
        </a:xfrm>
        <a:prstGeom prst="round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o-RO"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Lovirile sau alte violențe cresc cu 13%</a:t>
          </a:r>
        </a:p>
      </dsp:txBody>
      <dsp:txXfrm>
        <a:off x="0" y="1389581"/>
        <a:ext cx="6305550" cy="264346"/>
      </dsp:txXfrm>
    </dsp:sp>
    <dsp:sp modelId="{54D51786-E815-40F4-84B7-F9872B137316}">
      <dsp:nvSpPr>
        <dsp:cNvPr id="0" name=""/>
        <dsp:cNvSpPr/>
      </dsp:nvSpPr>
      <dsp:spPr>
        <a:xfrm>
          <a:off x="0" y="1667484"/>
          <a:ext cx="6305550" cy="264346"/>
        </a:xfrm>
        <a:prstGeom prst="round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o-RO"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F</a:t>
          </a:r>
          <a:r>
            <a:rPr lang="it-IT"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urturile scad cu </a:t>
          </a:r>
          <a:r>
            <a:rPr lang="ro-RO"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6</a:t>
          </a:r>
          <a:r>
            <a:rPr lang="it-IT"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a:t>
          </a:r>
          <a:endParaRPr lang="ro-RO"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1667484"/>
        <a:ext cx="6305550" cy="264346"/>
      </dsp:txXfrm>
    </dsp:sp>
    <dsp:sp modelId="{344D440D-873B-4647-B24E-13067E99285C}">
      <dsp:nvSpPr>
        <dsp:cNvPr id="0" name=""/>
        <dsp:cNvSpPr/>
      </dsp:nvSpPr>
      <dsp:spPr>
        <a:xfrm>
          <a:off x="0" y="1945387"/>
          <a:ext cx="6305550" cy="264346"/>
        </a:xfrm>
        <a:prstGeom prst="round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o-RO"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Ultrajul crește </a:t>
          </a:r>
          <a:r>
            <a:rPr lang="it-IT"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cu </a:t>
          </a:r>
          <a:r>
            <a:rPr lang="ro-RO"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6</a:t>
          </a:r>
          <a:r>
            <a:rPr lang="it-IT" sz="1200" b="1" kern="1200" dirty="0" smtClean="0">
              <a:solidFill>
                <a:sysClr val="windowText" lastClr="000000">
                  <a:hueOff val="0"/>
                  <a:satOff val="0"/>
                  <a:lumOff val="0"/>
                  <a:alphaOff val="0"/>
                </a:sysClr>
              </a:solidFill>
              <a:latin typeface="Times New Roman" pitchFamily="18" charset="0"/>
              <a:ea typeface="+mn-ea"/>
              <a:cs typeface="Times New Roman" pitchFamily="18" charset="0"/>
            </a:rPr>
            <a:t>%</a:t>
          </a:r>
          <a:endParaRPr lang="ro-RO" sz="1200" b="1"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1945387"/>
        <a:ext cx="6305550" cy="264346"/>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4">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0.27083</cdr:x>
      <cdr:y>0.26786</cdr:y>
    </cdr:from>
    <cdr:to>
      <cdr:x>0.33507</cdr:x>
      <cdr:y>0.375</cdr:y>
    </cdr:to>
    <cdr:sp macro="" textlink="">
      <cdr:nvSpPr>
        <cdr:cNvPr id="3" name="Text Box 2"/>
        <cdr:cNvSpPr txBox="1"/>
      </cdr:nvSpPr>
      <cdr:spPr>
        <a:xfrm xmlns:a="http://schemas.openxmlformats.org/drawingml/2006/main">
          <a:off x="1485899" y="857250"/>
          <a:ext cx="352425"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o-RO" sz="1100"/>
            <a:t>72</a:t>
          </a:r>
        </a:p>
        <a:p xmlns:a="http://schemas.openxmlformats.org/drawingml/2006/main">
          <a:endParaRPr lang="en-US" sz="1100"/>
        </a:p>
      </cdr:txBody>
    </cdr:sp>
  </cdr:relSizeAnchor>
  <cdr:relSizeAnchor xmlns:cdr="http://schemas.openxmlformats.org/drawingml/2006/chartDrawing">
    <cdr:from>
      <cdr:x>0.61458</cdr:x>
      <cdr:y>0.74107</cdr:y>
    </cdr:from>
    <cdr:to>
      <cdr:x>0.63542</cdr:x>
      <cdr:y>0.80357</cdr:y>
    </cdr:to>
    <cdr:sp macro="" textlink="">
      <cdr:nvSpPr>
        <cdr:cNvPr id="4" name="Text Box 3"/>
        <cdr:cNvSpPr txBox="1"/>
      </cdr:nvSpPr>
      <cdr:spPr>
        <a:xfrm xmlns:a="http://schemas.openxmlformats.org/drawingml/2006/main">
          <a:off x="3371851" y="2371726"/>
          <a:ext cx="114299"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o-RO" sz="1100"/>
            <a:t>7</a:t>
          </a:r>
        </a:p>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0.29291</cdr:x>
      <cdr:y>0.67521</cdr:y>
    </cdr:from>
    <cdr:to>
      <cdr:x>0.35541</cdr:x>
      <cdr:y>0.77342</cdr:y>
    </cdr:to>
    <cdr:sp macro="" textlink="">
      <cdr:nvSpPr>
        <cdr:cNvPr id="2" name="Text Box 1"/>
        <cdr:cNvSpPr txBox="1"/>
      </cdr:nvSpPr>
      <cdr:spPr>
        <a:xfrm xmlns:a="http://schemas.openxmlformats.org/drawingml/2006/main">
          <a:off x="1872072" y="1299142"/>
          <a:ext cx="399455" cy="188961"/>
        </a:xfrm>
        <a:prstGeom xmlns:a="http://schemas.openxmlformats.org/drawingml/2006/main" prst="rect">
          <a:avLst/>
        </a:prstGeom>
        <a:noFill xmlns:a="http://schemas.openxmlformats.org/drawingml/2006/main"/>
      </cdr:spPr>
      <cdr:txBody>
        <a:bodyPr xmlns:a="http://schemas.openxmlformats.org/drawingml/2006/main" vertOverflow="clip" wrap="square" rtlCol="0"/>
        <a:lstStyle xmlns:a="http://schemas.openxmlformats.org/drawingml/2006/main"/>
        <a:p xmlns:a="http://schemas.openxmlformats.org/drawingml/2006/main">
          <a:r>
            <a:rPr lang="ro-RO" sz="1100"/>
            <a:t>10</a:t>
          </a:r>
        </a:p>
        <a:p xmlns:a="http://schemas.openxmlformats.org/drawingml/2006/main">
          <a:endParaRPr lang="en-US" sz="1100"/>
        </a:p>
      </cdr:txBody>
    </cdr:sp>
  </cdr:relSizeAnchor>
  <cdr:relSizeAnchor xmlns:cdr="http://schemas.openxmlformats.org/drawingml/2006/chartDrawing">
    <cdr:from>
      <cdr:x>0.59326</cdr:x>
      <cdr:y>0.65215</cdr:y>
    </cdr:from>
    <cdr:to>
      <cdr:x>0.65055</cdr:x>
      <cdr:y>0.78586</cdr:y>
    </cdr:to>
    <cdr:sp macro="" textlink="">
      <cdr:nvSpPr>
        <cdr:cNvPr id="3" name="Text Box 2"/>
        <cdr:cNvSpPr txBox="1"/>
      </cdr:nvSpPr>
      <cdr:spPr>
        <a:xfrm xmlns:a="http://schemas.openxmlformats.org/drawingml/2006/main">
          <a:off x="3791692" y="1254772"/>
          <a:ext cx="366156" cy="2572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o-RO" sz="1100"/>
            <a:t>1</a:t>
          </a:r>
        </a:p>
        <a:p xmlns:a="http://schemas.openxmlformats.org/drawingml/2006/main">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0.29255</cdr:x>
      <cdr:y>0.50409</cdr:y>
    </cdr:from>
    <cdr:to>
      <cdr:x>0.34984</cdr:x>
      <cdr:y>0.58148</cdr:y>
    </cdr:to>
    <cdr:sp macro="" textlink="">
      <cdr:nvSpPr>
        <cdr:cNvPr id="2" name="Text Box 1"/>
        <cdr:cNvSpPr txBox="1"/>
      </cdr:nvSpPr>
      <cdr:spPr>
        <a:xfrm xmlns:a="http://schemas.openxmlformats.org/drawingml/2006/main">
          <a:off x="1727660" y="1229167"/>
          <a:ext cx="338326" cy="1887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o-RO" sz="1100"/>
            <a:t>6</a:t>
          </a:r>
          <a:endParaRPr lang="en-US" sz="1100"/>
        </a:p>
      </cdr:txBody>
    </cdr:sp>
  </cdr:relSizeAnchor>
  <cdr:relSizeAnchor xmlns:cdr="http://schemas.openxmlformats.org/drawingml/2006/chartDrawing">
    <cdr:from>
      <cdr:x>0.37327</cdr:x>
      <cdr:y>0.24925</cdr:y>
    </cdr:from>
    <cdr:to>
      <cdr:x>0.43925</cdr:x>
      <cdr:y>0.32367</cdr:y>
    </cdr:to>
    <cdr:sp macro="" textlink="">
      <cdr:nvSpPr>
        <cdr:cNvPr id="3" name="Text Box 2"/>
        <cdr:cNvSpPr txBox="1"/>
      </cdr:nvSpPr>
      <cdr:spPr>
        <a:xfrm xmlns:a="http://schemas.openxmlformats.org/drawingml/2006/main">
          <a:off x="2204350" y="607783"/>
          <a:ext cx="389645" cy="1814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o-RO" sz="1100"/>
            <a:t>11</a:t>
          </a:r>
        </a:p>
      </cdr:txBody>
    </cdr:sp>
  </cdr:relSizeAnchor>
  <cdr:relSizeAnchor xmlns:cdr="http://schemas.openxmlformats.org/drawingml/2006/chartDrawing">
    <cdr:from>
      <cdr:x>0.50658</cdr:x>
      <cdr:y>0.65792</cdr:y>
    </cdr:from>
    <cdr:to>
      <cdr:x>0.55519</cdr:x>
      <cdr:y>0.74609</cdr:y>
    </cdr:to>
    <cdr:sp macro="" textlink="">
      <cdr:nvSpPr>
        <cdr:cNvPr id="4" name="Text Box 3"/>
        <cdr:cNvSpPr txBox="1"/>
      </cdr:nvSpPr>
      <cdr:spPr>
        <a:xfrm xmlns:a="http://schemas.openxmlformats.org/drawingml/2006/main">
          <a:off x="2991601" y="1604275"/>
          <a:ext cx="287066" cy="215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o-RO" sz="1100"/>
            <a:t>2</a:t>
          </a:r>
          <a:endParaRPr lang="en-US" sz="1100"/>
        </a:p>
      </cdr:txBody>
    </cdr:sp>
  </cdr:relSizeAnchor>
  <cdr:relSizeAnchor xmlns:cdr="http://schemas.openxmlformats.org/drawingml/2006/chartDrawing">
    <cdr:from>
      <cdr:x>0.56647</cdr:x>
      <cdr:y>0.45424</cdr:y>
    </cdr:from>
    <cdr:to>
      <cdr:x>0.61681</cdr:x>
      <cdr:y>0.52567</cdr:y>
    </cdr:to>
    <cdr:sp macro="" textlink="">
      <cdr:nvSpPr>
        <cdr:cNvPr id="5" name="Text Box 4"/>
        <cdr:cNvSpPr txBox="1"/>
      </cdr:nvSpPr>
      <cdr:spPr>
        <a:xfrm xmlns:a="http://schemas.openxmlformats.org/drawingml/2006/main">
          <a:off x="3345279" y="1107625"/>
          <a:ext cx="297283" cy="174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o-RO" sz="1100"/>
            <a:t>3</a:t>
          </a:r>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0.25521</cdr:x>
      <cdr:y>0.29762</cdr:y>
    </cdr:from>
    <cdr:to>
      <cdr:x>0.34028</cdr:x>
      <cdr:y>0.4375</cdr:y>
    </cdr:to>
    <cdr:sp macro="" textlink="">
      <cdr:nvSpPr>
        <cdr:cNvPr id="2" name="Text Box 1"/>
        <cdr:cNvSpPr txBox="1"/>
      </cdr:nvSpPr>
      <cdr:spPr>
        <a:xfrm xmlns:a="http://schemas.openxmlformats.org/drawingml/2006/main">
          <a:off x="1400175" y="952500"/>
          <a:ext cx="466726" cy="4476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o-RO" sz="1100">
              <a:solidFill>
                <a:schemeClr val="bg1"/>
              </a:solidFill>
            </a:rPr>
            <a:t>91</a:t>
          </a:r>
          <a:endParaRPr lang="en-US" sz="1100">
            <a:solidFill>
              <a:schemeClr val="bg1"/>
            </a:solidFill>
          </a:endParaRPr>
        </a:p>
      </cdr:txBody>
    </cdr:sp>
  </cdr:relSizeAnchor>
  <cdr:relSizeAnchor xmlns:cdr="http://schemas.openxmlformats.org/drawingml/2006/chartDrawing">
    <cdr:from>
      <cdr:x>0.56196</cdr:x>
      <cdr:y>0.6582</cdr:y>
    </cdr:from>
    <cdr:to>
      <cdr:x>0.63661</cdr:x>
      <cdr:y>0.76832</cdr:y>
    </cdr:to>
    <cdr:sp macro="" textlink="">
      <cdr:nvSpPr>
        <cdr:cNvPr id="3" name="Text Box 2"/>
        <cdr:cNvSpPr txBox="1"/>
      </cdr:nvSpPr>
      <cdr:spPr>
        <a:xfrm xmlns:a="http://schemas.openxmlformats.org/drawingml/2006/main">
          <a:off x="2456864" y="1667659"/>
          <a:ext cx="326368" cy="2790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o-RO" sz="1100">
              <a:solidFill>
                <a:schemeClr val="bg1"/>
              </a:solidFill>
            </a:rPr>
            <a:t>88</a:t>
          </a:r>
          <a:endParaRPr lang="en-US" sz="1100">
            <a:solidFill>
              <a:schemeClr val="bg1"/>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3">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6FB6E0-861F-49B8-B2A7-333E0412F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722</TotalTime>
  <Pages>131</Pages>
  <Words>63086</Words>
  <Characters>365900</Characters>
  <Application>Microsoft Office Word</Application>
  <DocSecurity>0</DocSecurity>
  <Lines>3049</Lines>
  <Paragraphs>856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User_88</dc:creator>
  <cp:lastModifiedBy>User_88</cp:lastModifiedBy>
  <cp:revision>78</cp:revision>
  <cp:lastPrinted>2019-04-15T08:14:00Z</cp:lastPrinted>
  <dcterms:created xsi:type="dcterms:W3CDTF">2019-02-08T08:49:00Z</dcterms:created>
  <dcterms:modified xsi:type="dcterms:W3CDTF">2019-07-11T05:42:00Z</dcterms:modified>
</cp:coreProperties>
</file>