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E3" w:rsidRPr="00437C0D" w:rsidRDefault="001F3FE3" w:rsidP="001F3FE3">
      <w:pPr>
        <w:jc w:val="center"/>
        <w:rPr>
          <w:b/>
          <w:sz w:val="28"/>
          <w:szCs w:val="28"/>
          <w:lang w:val="en-GB"/>
        </w:rPr>
      </w:pPr>
      <w:r w:rsidRPr="00437C0D">
        <w:rPr>
          <w:b/>
          <w:sz w:val="28"/>
          <w:szCs w:val="28"/>
          <w:lang w:val="en-GB"/>
        </w:rPr>
        <w:t>INSTITUȚIA PREFECTULUI MUNICIPIULUI BUCUREȘTI</w:t>
      </w:r>
    </w:p>
    <w:p w:rsidR="001F3FE3" w:rsidRDefault="001F3FE3" w:rsidP="001F3FE3">
      <w:pPr>
        <w:jc w:val="right"/>
        <w:rPr>
          <w:sz w:val="28"/>
          <w:szCs w:val="28"/>
          <w:lang w:val="en-GB"/>
        </w:rPr>
      </w:pPr>
    </w:p>
    <w:p w:rsidR="001F3FE3" w:rsidRPr="004B2B0C" w:rsidRDefault="001F3FE3" w:rsidP="001F3FE3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1F3FE3" w:rsidRPr="004B2B0C" w:rsidRDefault="001F3FE3" w:rsidP="001F3FE3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</w:p>
    <w:p w:rsidR="001F3FE3" w:rsidRPr="004B2B0C" w:rsidRDefault="001F3FE3" w:rsidP="001F3FE3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  <w:r w:rsidR="00B72D24">
        <w:rPr>
          <w:b/>
          <w:sz w:val="28"/>
          <w:szCs w:val="28"/>
        </w:rPr>
        <w:t>V</w:t>
      </w:r>
    </w:p>
    <w:p w:rsidR="001F3FE3" w:rsidRDefault="001F3FE3" w:rsidP="001F3FE3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1F3FE3" w:rsidTr="00AD0681">
        <w:tc>
          <w:tcPr>
            <w:tcW w:w="14220" w:type="dxa"/>
            <w:gridSpan w:val="2"/>
            <w:shd w:val="clear" w:color="auto" w:fill="FABF8F" w:themeFill="accent6" w:themeFillTint="99"/>
          </w:tcPr>
          <w:p w:rsidR="001F3FE3" w:rsidRPr="005835F0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1F3FE3" w:rsidTr="00AD0681">
        <w:tc>
          <w:tcPr>
            <w:tcW w:w="14220" w:type="dxa"/>
            <w:gridSpan w:val="2"/>
            <w:shd w:val="clear" w:color="auto" w:fill="E36C0A" w:themeFill="accent6" w:themeFillShade="BF"/>
          </w:tcPr>
          <w:p w:rsidR="001F3FE3" w:rsidRPr="005835F0" w:rsidRDefault="001F3FE3" w:rsidP="00AD0681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>
              <w:t>Instituția Prefectului Municipiului București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>
              <w:t>București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1F3FE3" w:rsidRDefault="001F3FE3" w:rsidP="00930559">
            <w:pPr>
              <w:jc w:val="center"/>
            </w:pPr>
            <w:r w:rsidRPr="00930559">
              <w:t>4</w:t>
            </w:r>
            <w:r w:rsidR="00930559" w:rsidRPr="00930559">
              <w:t>6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FA3E1E">
            <w:pPr>
              <w:jc w:val="center"/>
            </w:pPr>
            <w:r>
              <w:t>Numele și prenumele consilie</w:t>
            </w:r>
            <w:r w:rsidR="00FA3E1E">
              <w:t>r</w:t>
            </w:r>
            <w:r>
              <w:t>ului de etică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>
              <w:t>Jereghie Andreea Alexandra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>
              <w:t>Compartimentul management operațional și al performanței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 w:rsidRPr="001F3FE3">
              <w:t>„Etica organizațională și integritate în Ministerul Afacerilor Interne” organizat de DGA 25-27 noiembrie 2015</w:t>
            </w:r>
          </w:p>
        </w:tc>
      </w:tr>
      <w:tr w:rsidR="001F3FE3" w:rsidTr="00CF1FC7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Nr. Telefon</w:t>
            </w:r>
          </w:p>
        </w:tc>
        <w:tc>
          <w:tcPr>
            <w:tcW w:w="7110" w:type="dxa"/>
            <w:vAlign w:val="center"/>
          </w:tcPr>
          <w:p w:rsidR="001F3FE3" w:rsidRPr="002D17B7" w:rsidRDefault="001F3FE3" w:rsidP="00CF1FC7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1F3FE3" w:rsidTr="00CF1FC7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Nr. Fax</w:t>
            </w:r>
          </w:p>
        </w:tc>
        <w:tc>
          <w:tcPr>
            <w:tcW w:w="7110" w:type="dxa"/>
            <w:vAlign w:val="center"/>
          </w:tcPr>
          <w:p w:rsidR="001F3FE3" w:rsidRPr="002D17B7" w:rsidRDefault="001F3FE3" w:rsidP="00CF1FC7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1F3FE3" w:rsidTr="00AD0681">
        <w:tc>
          <w:tcPr>
            <w:tcW w:w="7110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1F3FE3" w:rsidRDefault="001F3FE3" w:rsidP="00AD0681">
            <w:pPr>
              <w:jc w:val="center"/>
            </w:pPr>
            <w:r>
              <w:t>andreea.jereghie.ipmb@mai.gov.ro</w:t>
            </w:r>
          </w:p>
        </w:tc>
      </w:tr>
    </w:tbl>
    <w:p w:rsidR="001B321F" w:rsidRDefault="001B321F" w:rsidP="001B321F">
      <w:pPr>
        <w:ind w:right="142"/>
        <w:jc w:val="right"/>
      </w:pPr>
    </w:p>
    <w:p w:rsidR="00017542" w:rsidRDefault="00017542" w:rsidP="001B321F">
      <w:pPr>
        <w:ind w:right="142"/>
        <w:jc w:val="right"/>
      </w:pPr>
    </w:p>
    <w:p w:rsidR="00017542" w:rsidRDefault="00017542" w:rsidP="001B321F">
      <w:pPr>
        <w:ind w:right="142"/>
        <w:jc w:val="right"/>
      </w:pPr>
    </w:p>
    <w:p w:rsidR="00017542" w:rsidRDefault="00017542" w:rsidP="001B321F">
      <w:pPr>
        <w:ind w:right="142"/>
        <w:jc w:val="right"/>
      </w:pPr>
    </w:p>
    <w:p w:rsidR="00017542" w:rsidRDefault="00017542" w:rsidP="001B321F">
      <w:pPr>
        <w:ind w:right="142"/>
        <w:jc w:val="right"/>
      </w:pPr>
    </w:p>
    <w:p w:rsidR="001B321F" w:rsidRDefault="001B321F" w:rsidP="001B321F">
      <w:pPr>
        <w:spacing w:after="0" w:line="240" w:lineRule="auto"/>
        <w:jc w:val="right"/>
      </w:pPr>
    </w:p>
    <w:p w:rsidR="00017542" w:rsidRDefault="00017542" w:rsidP="001B321F">
      <w:pPr>
        <w:spacing w:after="0" w:line="240" w:lineRule="auto"/>
        <w:jc w:val="right"/>
      </w:pPr>
    </w:p>
    <w:p w:rsidR="00017542" w:rsidRPr="002D17B7" w:rsidRDefault="00017542" w:rsidP="001B321F">
      <w:pPr>
        <w:spacing w:after="0" w:line="240" w:lineRule="auto"/>
        <w:jc w:val="right"/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992"/>
        <w:gridCol w:w="284"/>
        <w:gridCol w:w="1984"/>
        <w:gridCol w:w="1134"/>
        <w:gridCol w:w="284"/>
        <w:gridCol w:w="850"/>
        <w:gridCol w:w="851"/>
        <w:gridCol w:w="283"/>
        <w:gridCol w:w="1701"/>
        <w:gridCol w:w="1418"/>
        <w:gridCol w:w="283"/>
        <w:gridCol w:w="709"/>
        <w:gridCol w:w="1559"/>
        <w:gridCol w:w="1276"/>
      </w:tblGrid>
      <w:tr w:rsidR="001F3FE3" w:rsidTr="001B321F">
        <w:tc>
          <w:tcPr>
            <w:tcW w:w="14567" w:type="dxa"/>
            <w:gridSpan w:val="15"/>
            <w:shd w:val="clear" w:color="auto" w:fill="FABF8F" w:themeFill="accent6" w:themeFillTint="99"/>
          </w:tcPr>
          <w:p w:rsidR="001F3FE3" w:rsidRPr="005835F0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1F3FE3" w:rsidTr="004074AA">
        <w:trPr>
          <w:trHeight w:val="1700"/>
        </w:trPr>
        <w:tc>
          <w:tcPr>
            <w:tcW w:w="959" w:type="dxa"/>
            <w:vMerge w:val="restart"/>
            <w:shd w:val="clear" w:color="auto" w:fill="FABF8F" w:themeFill="accent6" w:themeFillTint="99"/>
            <w:vAlign w:val="center"/>
          </w:tcPr>
          <w:p w:rsidR="001F3FE3" w:rsidRDefault="001F3FE3" w:rsidP="00AD0681">
            <w:pPr>
              <w:jc w:val="center"/>
            </w:pPr>
            <w:r>
              <w:t>Nr. ședințe de consultare</w:t>
            </w:r>
          </w:p>
        </w:tc>
        <w:tc>
          <w:tcPr>
            <w:tcW w:w="127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F3FE3" w:rsidRDefault="001F3FE3" w:rsidP="00AD0681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:rsidR="001F3FE3" w:rsidRDefault="001F3FE3" w:rsidP="00AD0681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1F3FE3" w:rsidRDefault="001F3FE3" w:rsidP="00AD0681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  <w:vAlign w:val="center"/>
          </w:tcPr>
          <w:p w:rsidR="001F3FE3" w:rsidRDefault="001F3FE3" w:rsidP="00AD0681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2410" w:type="dxa"/>
            <w:gridSpan w:val="3"/>
            <w:shd w:val="clear" w:color="auto" w:fill="FABF8F" w:themeFill="accent6" w:themeFillTint="99"/>
            <w:vAlign w:val="center"/>
          </w:tcPr>
          <w:p w:rsidR="001F3FE3" w:rsidRDefault="001F3FE3" w:rsidP="00FA3E1E">
            <w:pPr>
              <w:jc w:val="center"/>
            </w:pPr>
            <w:r>
              <w:t>Nr</w:t>
            </w:r>
            <w:r w:rsidR="00FA3E1E">
              <w:t>.</w:t>
            </w:r>
            <w:r>
              <w:t xml:space="preserve"> funcționari publici care au beneficiat de consiliere etică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1F3FE3" w:rsidRDefault="001F3FE3" w:rsidP="00AD0681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1F3FE3" w:rsidRDefault="001F3FE3" w:rsidP="00AD0681">
            <w:pPr>
              <w:jc w:val="center"/>
            </w:pPr>
            <w:r>
              <w:t>Obs.</w:t>
            </w:r>
          </w:p>
        </w:tc>
      </w:tr>
      <w:tr w:rsidR="001F3FE3" w:rsidTr="004074AA">
        <w:tc>
          <w:tcPr>
            <w:tcW w:w="959" w:type="dxa"/>
            <w:vMerge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De conducere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De execuție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Nr. spețe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Tipologii de dileme etice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1F3FE3" w:rsidRDefault="001F3FE3" w:rsidP="00AD0681">
            <w:pPr>
              <w:jc w:val="center"/>
            </w:pPr>
            <w:r>
              <w:t>De execuție</w:t>
            </w: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</w:p>
        </w:tc>
      </w:tr>
      <w:tr w:rsidR="001F3FE3" w:rsidTr="004074AA">
        <w:tc>
          <w:tcPr>
            <w:tcW w:w="959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12</w:t>
            </w:r>
          </w:p>
        </w:tc>
      </w:tr>
      <w:tr w:rsidR="001F3FE3" w:rsidTr="004074AA">
        <w:tc>
          <w:tcPr>
            <w:tcW w:w="959" w:type="dxa"/>
          </w:tcPr>
          <w:p w:rsidR="001F3FE3" w:rsidRDefault="00930559" w:rsidP="00AD0681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F3FE3" w:rsidRPr="00930559" w:rsidRDefault="00930559" w:rsidP="00AD0681">
            <w:pPr>
              <w:jc w:val="center"/>
            </w:pPr>
            <w:r w:rsidRPr="00930559">
              <w:t>0</w:t>
            </w:r>
          </w:p>
        </w:tc>
        <w:tc>
          <w:tcPr>
            <w:tcW w:w="1984" w:type="dxa"/>
          </w:tcPr>
          <w:p w:rsidR="001F3FE3" w:rsidRDefault="00930559" w:rsidP="00AD068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F3FE3" w:rsidRDefault="001F3FE3" w:rsidP="00AD068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1F3FE3" w:rsidRDefault="0075106B" w:rsidP="00AD068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1F3FE3" w:rsidRDefault="00930559" w:rsidP="00AD068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F3FE3" w:rsidRDefault="00930559" w:rsidP="00AD0681">
            <w:pPr>
              <w:jc w:val="center"/>
            </w:pPr>
            <w:r>
              <w:t>Nu este cazul</w:t>
            </w:r>
          </w:p>
        </w:tc>
        <w:tc>
          <w:tcPr>
            <w:tcW w:w="1701" w:type="dxa"/>
            <w:gridSpan w:val="2"/>
          </w:tcPr>
          <w:p w:rsidR="001F3FE3" w:rsidRDefault="001F3FE3" w:rsidP="00AD068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F3FE3" w:rsidRDefault="00930559" w:rsidP="00AD068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F3FE3" w:rsidRDefault="004074AA" w:rsidP="00AD0681">
            <w:pPr>
              <w:jc w:val="center"/>
            </w:pPr>
            <w:r>
              <w:t>N</w:t>
            </w:r>
            <w:r w:rsidR="001F3FE3">
              <w:t>u este cazul</w:t>
            </w:r>
          </w:p>
        </w:tc>
        <w:tc>
          <w:tcPr>
            <w:tcW w:w="1276" w:type="dxa"/>
          </w:tcPr>
          <w:p w:rsidR="001F3FE3" w:rsidRDefault="004074AA" w:rsidP="00AD0681">
            <w:pPr>
              <w:jc w:val="center"/>
            </w:pPr>
            <w:r>
              <w:t>N</w:t>
            </w:r>
            <w:r w:rsidR="001F3FE3">
              <w:t>u este cazul</w:t>
            </w:r>
          </w:p>
        </w:tc>
      </w:tr>
      <w:tr w:rsidR="001F3FE3" w:rsidTr="001B321F">
        <w:tc>
          <w:tcPr>
            <w:tcW w:w="14567" w:type="dxa"/>
            <w:gridSpan w:val="15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1F3FE3" w:rsidTr="001B321F">
        <w:tc>
          <w:tcPr>
            <w:tcW w:w="7338" w:type="dxa"/>
            <w:gridSpan w:val="8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229" w:type="dxa"/>
            <w:gridSpan w:val="7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1F3FE3" w:rsidTr="001B321F">
        <w:tc>
          <w:tcPr>
            <w:tcW w:w="7338" w:type="dxa"/>
            <w:gridSpan w:val="8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13</w:t>
            </w:r>
          </w:p>
        </w:tc>
        <w:tc>
          <w:tcPr>
            <w:tcW w:w="7229" w:type="dxa"/>
            <w:gridSpan w:val="7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14</w:t>
            </w:r>
          </w:p>
        </w:tc>
      </w:tr>
      <w:tr w:rsidR="001F3FE3" w:rsidTr="001B321F">
        <w:tc>
          <w:tcPr>
            <w:tcW w:w="7338" w:type="dxa"/>
            <w:gridSpan w:val="8"/>
          </w:tcPr>
          <w:p w:rsidR="001F3FE3" w:rsidRDefault="004074AA" w:rsidP="00AD0681">
            <w:pPr>
              <w:jc w:val="center"/>
            </w:pPr>
            <w:r>
              <w:t>N</w:t>
            </w:r>
            <w:r w:rsidR="001F3FE3">
              <w:t>u este cazul</w:t>
            </w:r>
          </w:p>
        </w:tc>
        <w:tc>
          <w:tcPr>
            <w:tcW w:w="7229" w:type="dxa"/>
            <w:gridSpan w:val="7"/>
          </w:tcPr>
          <w:p w:rsidR="001F3FE3" w:rsidRDefault="004074AA" w:rsidP="00AD0681">
            <w:pPr>
              <w:jc w:val="center"/>
            </w:pPr>
            <w:r>
              <w:t>N</w:t>
            </w:r>
            <w:r w:rsidR="001F3FE3">
              <w:t>u este cazul</w:t>
            </w:r>
          </w:p>
        </w:tc>
      </w:tr>
      <w:tr w:rsidR="001F3FE3" w:rsidTr="001B321F">
        <w:tc>
          <w:tcPr>
            <w:tcW w:w="14567" w:type="dxa"/>
            <w:gridSpan w:val="15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1F3FE3" w:rsidTr="001B321F">
        <w:tc>
          <w:tcPr>
            <w:tcW w:w="14567" w:type="dxa"/>
            <w:gridSpan w:val="15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15</w:t>
            </w:r>
          </w:p>
        </w:tc>
      </w:tr>
      <w:tr w:rsidR="001F3FE3" w:rsidTr="001B321F">
        <w:tc>
          <w:tcPr>
            <w:tcW w:w="14567" w:type="dxa"/>
            <w:gridSpan w:val="15"/>
          </w:tcPr>
          <w:p w:rsidR="001F3FE3" w:rsidRDefault="007964C0" w:rsidP="00357C42">
            <w:pPr>
              <w:jc w:val="center"/>
            </w:pPr>
            <w:r>
              <w:t>1.</w:t>
            </w:r>
            <w:r w:rsidR="00357C42">
              <w:t xml:space="preserve">În perioada 18-27 noiembrie 2015 au fost trimiși la cursul </w:t>
            </w:r>
            <w:r w:rsidR="00357C42" w:rsidRPr="001F3FE3">
              <w:t>„Etica organizațională și integritate în Ministerul Afacerilor Interne”</w:t>
            </w:r>
            <w:r w:rsidR="00FA3E1E">
              <w:t>,</w:t>
            </w:r>
            <w:r w:rsidR="00357C42" w:rsidRPr="001F3FE3">
              <w:t xml:space="preserve"> organizat de </w:t>
            </w:r>
            <w:r w:rsidR="00357C42">
              <w:t>Direcția Generală Anticorupție</w:t>
            </w:r>
            <w:r w:rsidR="00FA3E1E">
              <w:t>,</w:t>
            </w:r>
            <w:r w:rsidR="00357C42">
              <w:t xml:space="preserve"> cinci (5) funcționari publici </w:t>
            </w:r>
            <w:r w:rsidR="00E66932">
              <w:t xml:space="preserve">cu funcții de execuție, </w:t>
            </w:r>
            <w:r w:rsidR="00357C42">
              <w:t xml:space="preserve">din cadrul </w:t>
            </w:r>
            <w:r>
              <w:t>IPMB.</w:t>
            </w:r>
          </w:p>
          <w:p w:rsidR="007964C0" w:rsidRDefault="007964C0" w:rsidP="00F73F46">
            <w:pPr>
              <w:jc w:val="center"/>
            </w:pPr>
            <w:r>
              <w:t xml:space="preserve">2. </w:t>
            </w:r>
            <w:r w:rsidR="00E66932">
              <w:t xml:space="preserve">Pe 7 decembrie 2015 </w:t>
            </w:r>
            <w:r w:rsidR="00E630DC">
              <w:t>trei (3)</w:t>
            </w:r>
            <w:r w:rsidR="00E66932">
              <w:t xml:space="preserve"> funcționari publici, dintre care </w:t>
            </w:r>
            <w:r w:rsidR="00E630DC">
              <w:t>un (</w:t>
            </w:r>
            <w:r w:rsidR="00E66932">
              <w:t>1</w:t>
            </w:r>
            <w:r w:rsidR="00E630DC">
              <w:t>)</w:t>
            </w:r>
            <w:r w:rsidR="00E66932">
              <w:t xml:space="preserve"> înalt funcționar public cu funcție de conducere și </w:t>
            </w:r>
            <w:r w:rsidR="00E630DC">
              <w:t>doi (</w:t>
            </w:r>
            <w:r w:rsidR="00E66932">
              <w:t>2</w:t>
            </w:r>
            <w:r w:rsidR="00E630DC">
              <w:t>)</w:t>
            </w:r>
            <w:r w:rsidR="00E66932">
              <w:t xml:space="preserve"> funcționari</w:t>
            </w:r>
            <w:r w:rsidR="00E630DC">
              <w:t xml:space="preserve"> pubilici cu funcție de execuție au participat la </w:t>
            </w:r>
            <w:r w:rsidR="00FA59C9">
              <w:t xml:space="preserve">o </w:t>
            </w:r>
            <w:r w:rsidR="00122BE7">
              <w:t>activitate</w:t>
            </w:r>
            <w:r w:rsidR="00E630DC">
              <w:t xml:space="preserve"> organizată de DGA în parteneriat cu </w:t>
            </w:r>
            <w:r w:rsidR="0059156A">
              <w:t xml:space="preserve">organizația nonguvernamentală </w:t>
            </w:r>
            <w:r w:rsidR="00E630DC">
              <w:t xml:space="preserve">Expert Forum </w:t>
            </w:r>
            <w:r w:rsidR="00FA59C9">
              <w:t xml:space="preserve">– proiectarea filmului „De ce eu?” al regizorului Tudor Giurgiu, prezentând cazul procurorului Cristian Panait, urmat de o sesiune de discuții </w:t>
            </w:r>
            <w:r w:rsidR="005E60C2">
              <w:t>pe teme de etică și integritate</w:t>
            </w:r>
            <w:r w:rsidR="00F73F46">
              <w:t>,</w:t>
            </w:r>
            <w:r w:rsidR="005E60C2">
              <w:t xml:space="preserve"> </w:t>
            </w:r>
            <w:r w:rsidR="00FA59C9">
              <w:t>moderat</w:t>
            </w:r>
            <w:r w:rsidR="00F73F46">
              <w:t>ă</w:t>
            </w:r>
            <w:r w:rsidR="00FA59C9">
              <w:t xml:space="preserve"> de </w:t>
            </w:r>
            <w:r w:rsidR="005E60C2">
              <w:t>expertul anticorupție Laura Ștefan</w:t>
            </w:r>
            <w:r w:rsidR="0059156A">
              <w:t xml:space="preserve"> din cadrul EFOR, cu participarea regizorului</w:t>
            </w:r>
            <w:r w:rsidR="005E60C2">
              <w:t>.</w:t>
            </w:r>
            <w:r w:rsidR="00E66932">
              <w:t xml:space="preserve">  </w:t>
            </w:r>
          </w:p>
        </w:tc>
      </w:tr>
      <w:tr w:rsidR="001F3FE3" w:rsidTr="001B321F">
        <w:tc>
          <w:tcPr>
            <w:tcW w:w="14567" w:type="dxa"/>
            <w:gridSpan w:val="15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1F3FE3" w:rsidRDefault="001F3FE3" w:rsidP="00AD0681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1F3FE3" w:rsidTr="001B321F">
        <w:tc>
          <w:tcPr>
            <w:tcW w:w="7338" w:type="dxa"/>
            <w:gridSpan w:val="8"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  <w:r>
              <w:t>Nr. măsuri adoptate</w:t>
            </w:r>
          </w:p>
        </w:tc>
        <w:tc>
          <w:tcPr>
            <w:tcW w:w="7229" w:type="dxa"/>
            <w:gridSpan w:val="7"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  <w:r>
              <w:t>Enumerare măsuri adoptate</w:t>
            </w:r>
          </w:p>
        </w:tc>
      </w:tr>
      <w:tr w:rsidR="001F3FE3" w:rsidTr="001B321F">
        <w:tc>
          <w:tcPr>
            <w:tcW w:w="7338" w:type="dxa"/>
            <w:gridSpan w:val="8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16</w:t>
            </w:r>
          </w:p>
        </w:tc>
        <w:tc>
          <w:tcPr>
            <w:tcW w:w="7229" w:type="dxa"/>
            <w:gridSpan w:val="7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17</w:t>
            </w:r>
          </w:p>
        </w:tc>
      </w:tr>
      <w:tr w:rsidR="001F3FE3" w:rsidTr="001B321F">
        <w:tc>
          <w:tcPr>
            <w:tcW w:w="7338" w:type="dxa"/>
            <w:gridSpan w:val="8"/>
          </w:tcPr>
          <w:p w:rsidR="001F3FE3" w:rsidRDefault="001F3FE3" w:rsidP="00AD0681">
            <w:pPr>
              <w:jc w:val="center"/>
            </w:pPr>
            <w:r>
              <w:t>0</w:t>
            </w:r>
          </w:p>
        </w:tc>
        <w:tc>
          <w:tcPr>
            <w:tcW w:w="7229" w:type="dxa"/>
            <w:gridSpan w:val="7"/>
          </w:tcPr>
          <w:p w:rsidR="001F3FE3" w:rsidRDefault="001F3FE3" w:rsidP="00AD0681">
            <w:pPr>
              <w:jc w:val="center"/>
            </w:pPr>
            <w:r>
              <w:t>Nu este cazul</w:t>
            </w:r>
          </w:p>
        </w:tc>
      </w:tr>
      <w:tr w:rsidR="001F3FE3" w:rsidTr="001B321F">
        <w:tc>
          <w:tcPr>
            <w:tcW w:w="14567" w:type="dxa"/>
            <w:gridSpan w:val="15"/>
            <w:shd w:val="clear" w:color="auto" w:fill="FBD4B4" w:themeFill="accent6" w:themeFillTint="66"/>
          </w:tcPr>
          <w:p w:rsidR="001F3FE3" w:rsidRDefault="001F3FE3" w:rsidP="00AD06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1F3FE3" w:rsidTr="001B321F">
        <w:tc>
          <w:tcPr>
            <w:tcW w:w="1951" w:type="dxa"/>
            <w:gridSpan w:val="2"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  <w:r>
              <w:t>Nr. cazuri</w:t>
            </w:r>
          </w:p>
        </w:tc>
        <w:tc>
          <w:tcPr>
            <w:tcW w:w="3686" w:type="dxa"/>
            <w:gridSpan w:val="4"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  <w:r>
              <w:t>Descrierea pe scurt a cazurilor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</w:tcPr>
          <w:p w:rsidR="001F3FE3" w:rsidRDefault="001F3FE3" w:rsidP="00AD0681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1F3FE3" w:rsidTr="001B321F">
        <w:tc>
          <w:tcPr>
            <w:tcW w:w="1951" w:type="dxa"/>
            <w:gridSpan w:val="2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18</w:t>
            </w:r>
          </w:p>
        </w:tc>
        <w:tc>
          <w:tcPr>
            <w:tcW w:w="3686" w:type="dxa"/>
            <w:gridSpan w:val="4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19</w:t>
            </w:r>
          </w:p>
        </w:tc>
        <w:tc>
          <w:tcPr>
            <w:tcW w:w="8930" w:type="dxa"/>
            <w:gridSpan w:val="9"/>
            <w:shd w:val="clear" w:color="auto" w:fill="E36C0A" w:themeFill="accent6" w:themeFillShade="BF"/>
          </w:tcPr>
          <w:p w:rsidR="001F3FE3" w:rsidRDefault="001F3FE3" w:rsidP="00AD0681">
            <w:pPr>
              <w:jc w:val="center"/>
            </w:pPr>
            <w:r>
              <w:t>20</w:t>
            </w:r>
          </w:p>
        </w:tc>
      </w:tr>
      <w:tr w:rsidR="001F3FE3" w:rsidTr="001B321F">
        <w:tc>
          <w:tcPr>
            <w:tcW w:w="1951" w:type="dxa"/>
            <w:gridSpan w:val="2"/>
          </w:tcPr>
          <w:p w:rsidR="001F3FE3" w:rsidRDefault="001F3FE3" w:rsidP="00AD0681">
            <w:pPr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</w:tcPr>
          <w:p w:rsidR="001F3FE3" w:rsidRDefault="001F3FE3" w:rsidP="00AD0681">
            <w:pPr>
              <w:jc w:val="center"/>
            </w:pPr>
            <w:r>
              <w:t>Nu este cazul</w:t>
            </w:r>
          </w:p>
        </w:tc>
        <w:tc>
          <w:tcPr>
            <w:tcW w:w="8930" w:type="dxa"/>
            <w:gridSpan w:val="9"/>
          </w:tcPr>
          <w:p w:rsidR="001F3FE3" w:rsidRDefault="001F3FE3" w:rsidP="00AD0681">
            <w:pPr>
              <w:jc w:val="center"/>
            </w:pPr>
            <w:r>
              <w:t>Nu este cazul</w:t>
            </w:r>
          </w:p>
        </w:tc>
      </w:tr>
    </w:tbl>
    <w:p w:rsidR="00A87C01" w:rsidRDefault="00CB5CB7"/>
    <w:sectPr w:rsidR="00A87C01" w:rsidSect="001B321F">
      <w:footerReference w:type="default" r:id="rId7"/>
      <w:pgSz w:w="16838" w:h="11906" w:orient="landscape"/>
      <w:pgMar w:top="709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B7" w:rsidRDefault="00CB5CB7" w:rsidP="00253E67">
      <w:pPr>
        <w:spacing w:after="0" w:line="240" w:lineRule="auto"/>
      </w:pPr>
      <w:r>
        <w:separator/>
      </w:r>
    </w:p>
  </w:endnote>
  <w:endnote w:type="continuationSeparator" w:id="0">
    <w:p w:rsidR="00CB5CB7" w:rsidRDefault="00CB5CB7" w:rsidP="0025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832156">
            <w:pPr>
              <w:pStyle w:val="Footer"/>
              <w:jc w:val="right"/>
            </w:pPr>
            <w:r>
              <w:t xml:space="preserve">Pagina </w:t>
            </w:r>
            <w:r w:rsidR="001F28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F2868">
              <w:rPr>
                <w:b/>
                <w:sz w:val="24"/>
                <w:szCs w:val="24"/>
              </w:rPr>
              <w:fldChar w:fldCharType="separate"/>
            </w:r>
            <w:r w:rsidR="00CF1FC7">
              <w:rPr>
                <w:b/>
                <w:noProof/>
              </w:rPr>
              <w:t>1</w:t>
            </w:r>
            <w:r w:rsidR="001F2868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1F28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F2868">
              <w:rPr>
                <w:b/>
                <w:sz w:val="24"/>
                <w:szCs w:val="24"/>
              </w:rPr>
              <w:fldChar w:fldCharType="separate"/>
            </w:r>
            <w:r w:rsidR="00CF1FC7">
              <w:rPr>
                <w:b/>
                <w:noProof/>
              </w:rPr>
              <w:t>2</w:t>
            </w:r>
            <w:r w:rsidR="001F28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CB5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B7" w:rsidRDefault="00CB5CB7" w:rsidP="00253E67">
      <w:pPr>
        <w:spacing w:after="0" w:line="240" w:lineRule="auto"/>
      </w:pPr>
      <w:r>
        <w:separator/>
      </w:r>
    </w:p>
  </w:footnote>
  <w:footnote w:type="continuationSeparator" w:id="0">
    <w:p w:rsidR="00CB5CB7" w:rsidRDefault="00CB5CB7" w:rsidP="0025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3FE3"/>
    <w:rsid w:val="000001B9"/>
    <w:rsid w:val="00017542"/>
    <w:rsid w:val="00122BE7"/>
    <w:rsid w:val="00180B95"/>
    <w:rsid w:val="001B321F"/>
    <w:rsid w:val="001F2868"/>
    <w:rsid w:val="001F3FE3"/>
    <w:rsid w:val="00232AAF"/>
    <w:rsid w:val="00253E67"/>
    <w:rsid w:val="002E1626"/>
    <w:rsid w:val="00357C42"/>
    <w:rsid w:val="004074AA"/>
    <w:rsid w:val="00457D9C"/>
    <w:rsid w:val="00511DE5"/>
    <w:rsid w:val="0059156A"/>
    <w:rsid w:val="005B027A"/>
    <w:rsid w:val="005B7DAA"/>
    <w:rsid w:val="005C3E8F"/>
    <w:rsid w:val="005C4943"/>
    <w:rsid w:val="005E60C2"/>
    <w:rsid w:val="00694070"/>
    <w:rsid w:val="0075106B"/>
    <w:rsid w:val="007964C0"/>
    <w:rsid w:val="00832156"/>
    <w:rsid w:val="00930559"/>
    <w:rsid w:val="00A97459"/>
    <w:rsid w:val="00AB1600"/>
    <w:rsid w:val="00AB358C"/>
    <w:rsid w:val="00B4648D"/>
    <w:rsid w:val="00B72D24"/>
    <w:rsid w:val="00B84F2C"/>
    <w:rsid w:val="00B959FA"/>
    <w:rsid w:val="00BA4CCF"/>
    <w:rsid w:val="00CB5CB7"/>
    <w:rsid w:val="00CF1FC7"/>
    <w:rsid w:val="00D47226"/>
    <w:rsid w:val="00DE4090"/>
    <w:rsid w:val="00E630DC"/>
    <w:rsid w:val="00E66932"/>
    <w:rsid w:val="00F73F46"/>
    <w:rsid w:val="00FA3E1E"/>
    <w:rsid w:val="00FA59C9"/>
    <w:rsid w:val="00FA722E"/>
    <w:rsid w:val="00FC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E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F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FE3"/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321F"/>
  </w:style>
  <w:style w:type="character" w:customStyle="1" w:styleId="DateChar">
    <w:name w:val="Date Char"/>
    <w:basedOn w:val="DefaultParagraphFont"/>
    <w:link w:val="Date"/>
    <w:uiPriority w:val="99"/>
    <w:semiHidden/>
    <w:rsid w:val="001B321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CMOP</cp:lastModifiedBy>
  <cp:revision>4</cp:revision>
  <cp:lastPrinted>2015-12-17T15:08:00Z</cp:lastPrinted>
  <dcterms:created xsi:type="dcterms:W3CDTF">2018-04-24T08:39:00Z</dcterms:created>
  <dcterms:modified xsi:type="dcterms:W3CDTF">2018-04-24T09:18:00Z</dcterms:modified>
</cp:coreProperties>
</file>